
<file path=[Content_Types].xml><?xml version="1.0" encoding="utf-8"?>
<Types xmlns="http://schemas.openxmlformats.org/package/2006/content-types">
  <Default Extension="svg" ContentType="image/svg+xml"/>
  <Default Extension="jpg" ContentType="image/jpeg"/>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app.xml" ContentType="application/vnd.openxmlformats-officedocument.extended-properties+xml"/>
  <Override PartName="/word/footer272.xml" ContentType="application/vnd.openxmlformats-officedocument.wordprocessingml.footer+xml"/>
  <Override PartName="/word/footer271.xml" ContentType="application/vnd.openxmlformats-officedocument.wordprocessingml.footer+xml"/>
  <Override PartName="/word/footer270.xml" ContentType="application/vnd.openxmlformats-officedocument.wordprocessingml.footer+xml"/>
  <Override PartName="/word/footer266.xml" ContentType="application/vnd.openxmlformats-officedocument.wordprocessingml.footer+xml"/>
  <Override PartName="/word/footer264.xml" ContentType="application/vnd.openxmlformats-officedocument.wordprocessingml.footer+xml"/>
  <Override PartName="/word/footer263.xml" ContentType="application/vnd.openxmlformats-officedocument.wordprocessingml.footer+xml"/>
  <Override PartName="/word/footer262.xml" ContentType="application/vnd.openxmlformats-officedocument.wordprocessingml.footer+xml"/>
  <Override PartName="/word/footer261.xml" ContentType="application/vnd.openxmlformats-officedocument.wordprocessingml.footer+xml"/>
  <Override PartName="/word/footer259.xml" ContentType="application/vnd.openxmlformats-officedocument.wordprocessingml.footer+xml"/>
  <Override PartName="/word/footer258.xml" ContentType="application/vnd.openxmlformats-officedocument.wordprocessingml.footer+xml"/>
  <Override PartName="/word/footer256.xml" ContentType="application/vnd.openxmlformats-officedocument.wordprocessingml.footer+xml"/>
  <Override PartName="/word/footer254.xml" ContentType="application/vnd.openxmlformats-officedocument.wordprocessingml.footer+xml"/>
  <Override PartName="/word/footer250.xml" ContentType="application/vnd.openxmlformats-officedocument.wordprocessingml.footer+xml"/>
  <Override PartName="/word/footer249.xml" ContentType="application/vnd.openxmlformats-officedocument.wordprocessingml.footer+xml"/>
  <Override PartName="/word/footer248.xml" ContentType="application/vnd.openxmlformats-officedocument.wordprocessingml.footer+xml"/>
  <Override PartName="/word/footer247.xml" ContentType="application/vnd.openxmlformats-officedocument.wordprocessingml.footer+xml"/>
  <Override PartName="/word/footer246.xml" ContentType="application/vnd.openxmlformats-officedocument.wordprocessingml.footer+xml"/>
  <Override PartName="/word/footer245.xml" ContentType="application/vnd.openxmlformats-officedocument.wordprocessingml.footer+xml"/>
  <Override PartName="/word/footer244.xml" ContentType="application/vnd.openxmlformats-officedocument.wordprocessingml.footer+xml"/>
  <Override PartName="/word/footer243.xml" ContentType="application/vnd.openxmlformats-officedocument.wordprocessingml.footer+xml"/>
  <Override PartName="/word/footer242.xml" ContentType="application/vnd.openxmlformats-officedocument.wordprocessingml.footer+xml"/>
  <Override PartName="/word/footer239.xml" ContentType="application/vnd.openxmlformats-officedocument.wordprocessingml.footer+xml"/>
  <Override PartName="/word/footer238.xml" ContentType="application/vnd.openxmlformats-officedocument.wordprocessingml.footer+xml"/>
  <Override PartName="/word/footer237.xml" ContentType="application/vnd.openxmlformats-officedocument.wordprocessingml.footer+xml"/>
  <Override PartName="/word/footer235.xml" ContentType="application/vnd.openxmlformats-officedocument.wordprocessingml.footer+xml"/>
  <Override PartName="/word/footer234.xml" ContentType="application/vnd.openxmlformats-officedocument.wordprocessingml.footer+xml"/>
  <Override PartName="/word/footer231.xml" ContentType="application/vnd.openxmlformats-officedocument.wordprocessingml.footer+xml"/>
  <Override PartName="/word/footer230.xml" ContentType="application/vnd.openxmlformats-officedocument.wordprocessingml.footer+xml"/>
  <Override PartName="/word/footer226.xml" ContentType="application/vnd.openxmlformats-officedocument.wordprocessingml.footer+xml"/>
  <Override PartName="/word/footer224.xml" ContentType="application/vnd.openxmlformats-officedocument.wordprocessingml.footer+xml"/>
  <Override PartName="/word/footer219.xml" ContentType="application/vnd.openxmlformats-officedocument.wordprocessingml.footer+xml"/>
  <Override PartName="/word/footer221.xml" ContentType="application/vnd.openxmlformats-officedocument.wordprocessingml.footer+xml"/>
  <Override PartName="/word/footer218.xml" ContentType="application/vnd.openxmlformats-officedocument.wordprocessingml.footer+xml"/>
  <Override PartName="/word/footer216.xml" ContentType="application/vnd.openxmlformats-officedocument.wordprocessingml.footer+xml"/>
  <Override PartName="/word/footer214.xml" ContentType="application/vnd.openxmlformats-officedocument.wordprocessingml.footer+xml"/>
  <Override PartName="/word/footer213.xml" ContentType="application/vnd.openxmlformats-officedocument.wordprocessingml.footer+xml"/>
  <Override PartName="/word/footer212.xml" ContentType="application/vnd.openxmlformats-officedocument.wordprocessingml.footer+xml"/>
  <Override PartName="/word/footer210.xml" ContentType="application/vnd.openxmlformats-officedocument.wordprocessingml.footer+xml"/>
  <Override PartName="/word/footer207.xml" ContentType="application/vnd.openxmlformats-officedocument.wordprocessingml.footer+xml"/>
  <Override PartName="/word/footer205.xml" ContentType="application/vnd.openxmlformats-officedocument.wordprocessingml.footer+xml"/>
  <Override PartName="/word/footer204.xml" ContentType="application/vnd.openxmlformats-officedocument.wordprocessingml.footer+xml"/>
  <Override PartName="/word/footer203.xml" ContentType="application/vnd.openxmlformats-officedocument.wordprocessingml.footer+xml"/>
  <Override PartName="/word/footer202.xml" ContentType="application/vnd.openxmlformats-officedocument.wordprocessingml.footer+xml"/>
  <Override PartName="/word/footer200.xml" ContentType="application/vnd.openxmlformats-officedocument.wordprocessingml.footer+xml"/>
  <Override PartName="/word/footer199.xml" ContentType="application/vnd.openxmlformats-officedocument.wordprocessingml.footer+xml"/>
  <Override PartName="/word/footer198.xml" ContentType="application/vnd.openxmlformats-officedocument.wordprocessingml.footer+xml"/>
  <Override PartName="/word/footer196.xml" ContentType="application/vnd.openxmlformats-officedocument.wordprocessingml.footer+xml"/>
  <Override PartName="/word/footer194.xml" ContentType="application/vnd.openxmlformats-officedocument.wordprocessingml.footer+xml"/>
  <Override PartName="/word/footer193.xml" ContentType="application/vnd.openxmlformats-officedocument.wordprocessingml.footer+xml"/>
  <Override PartName="/word/footer191.xml" ContentType="application/vnd.openxmlformats-officedocument.wordprocessingml.footer+xml"/>
  <Override PartName="/word/footer189.xml" ContentType="application/vnd.openxmlformats-officedocument.wordprocessingml.footer+xml"/>
  <Override PartName="/word/footer187.xml" ContentType="application/vnd.openxmlformats-officedocument.wordprocessingml.footer+xml"/>
  <Override PartName="/word/footer186.xml" ContentType="application/vnd.openxmlformats-officedocument.wordprocessingml.footer+xml"/>
  <Override PartName="/word/footer185.xml" ContentType="application/vnd.openxmlformats-officedocument.wordprocessingml.footer+xml"/>
  <Override PartName="/word/footer181.xml" ContentType="application/vnd.openxmlformats-officedocument.wordprocessingml.footer+xml"/>
  <Override PartName="/word/footer178.xml" ContentType="application/vnd.openxmlformats-officedocument.wordprocessingml.footer+xml"/>
  <Override PartName="/word/footer177.xml" ContentType="application/vnd.openxmlformats-officedocument.wordprocessingml.footer+xml"/>
  <Override PartName="/word/footer175.xml" ContentType="application/vnd.openxmlformats-officedocument.wordprocessingml.footer+xml"/>
  <Override PartName="/word/footer220.xml" ContentType="application/vnd.openxmlformats-officedocument.wordprocessingml.footer+xml"/>
  <Override PartName="/word/footer174.xml" ContentType="application/vnd.openxmlformats-officedocument.wordprocessingml.footer+xml"/>
  <Override PartName="/word/footer190.xml" ContentType="application/vnd.openxmlformats-officedocument.wordprocessingml.footer+xml"/>
  <Override PartName="/word/footer172.xml" ContentType="application/vnd.openxmlformats-officedocument.wordprocessingml.footer+xml"/>
  <Override PartName="/word/footer171.xml" ContentType="application/vnd.openxmlformats-officedocument.wordprocessingml.footer+xml"/>
  <Override PartName="/word/footer170.xml" ContentType="application/vnd.openxmlformats-officedocument.wordprocessingml.footer+xml"/>
  <Override PartName="/word/footer168.xml" ContentType="application/vnd.openxmlformats-officedocument.wordprocessingml.footer+xml"/>
  <Override PartName="/word/footer241.xml" ContentType="application/vnd.openxmlformats-officedocument.wordprocessingml.footer+xml"/>
  <Override PartName="/word/footer166.xml" ContentType="application/vnd.openxmlformats-officedocument.wordprocessingml.footer+xml"/>
  <Override PartName="/word/footer163.xml" ContentType="application/vnd.openxmlformats-officedocument.wordprocessingml.footer+xml"/>
  <Override PartName="/word/footer161.xml" ContentType="application/vnd.openxmlformats-officedocument.wordprocessingml.footer+xml"/>
  <Override PartName="/word/footer160.xml" ContentType="application/vnd.openxmlformats-officedocument.wordprocessingml.footer+xml"/>
  <Override PartName="/word/footer159.xml" ContentType="application/vnd.openxmlformats-officedocument.wordprocessingml.footer+xml"/>
  <Override PartName="/word/footer158.xml" ContentType="application/vnd.openxmlformats-officedocument.wordprocessingml.footer+xml"/>
  <Override PartName="/word/footer156.xml" ContentType="application/vnd.openxmlformats-officedocument.wordprocessingml.footer+xml"/>
  <Override PartName="/word/footer232.xml" ContentType="application/vnd.openxmlformats-officedocument.wordprocessingml.footer+xml"/>
  <Override PartName="/word/footer154.xml" ContentType="application/vnd.openxmlformats-officedocument.wordprocessingml.footer+xml"/>
  <Override PartName="/word/footer153.xml" ContentType="application/vnd.openxmlformats-officedocument.wordprocessingml.footer+xml"/>
  <Override PartName="/word/footer152.xml" ContentType="application/vnd.openxmlformats-officedocument.wordprocessingml.footer+xml"/>
  <Override PartName="/word/footer151.xml" ContentType="application/vnd.openxmlformats-officedocument.wordprocessingml.footer+xml"/>
  <Override PartName="/word/footer255.xml" ContentType="application/vnd.openxmlformats-officedocument.wordprocessingml.footer+xml"/>
  <Override PartName="/word/footer147.xml" ContentType="application/vnd.openxmlformats-officedocument.wordprocessingml.footer+xml"/>
  <Override PartName="/word/footer145.xml" ContentType="application/vnd.openxmlformats-officedocument.wordprocessingml.footer+xml"/>
  <Override PartName="/word/footer144.xml" ContentType="application/vnd.openxmlformats-officedocument.wordprocessingml.footer+xml"/>
  <Override PartName="/word/footer143.xml" ContentType="application/vnd.openxmlformats-officedocument.wordprocessingml.footer+xml"/>
  <Override PartName="/word/footer142.xml" ContentType="application/vnd.openxmlformats-officedocument.wordprocessingml.footer+xml"/>
  <Override PartName="/word/footer139.xml" ContentType="application/vnd.openxmlformats-officedocument.wordprocessingml.footer+xml"/>
  <Override PartName="/word/footer138.xml" ContentType="application/vnd.openxmlformats-officedocument.wordprocessingml.footer+xml"/>
  <Override PartName="/word/footer228.xml" ContentType="application/vnd.openxmlformats-officedocument.wordprocessingml.footer+xml"/>
  <Override PartName="/word/footer137.xml" ContentType="application/vnd.openxmlformats-officedocument.wordprocessingml.footer+xml"/>
  <Override PartName="/word/footer136.xml" ContentType="application/vnd.openxmlformats-officedocument.wordprocessingml.footer+xml"/>
  <Override PartName="/word/footer134.xml" ContentType="application/vnd.openxmlformats-officedocument.wordprocessingml.footer+xml"/>
  <Override PartName="/word/header186.xml" ContentType="application/vnd.openxmlformats-officedocument.wordprocessingml.header+xml"/>
  <Override PartName="/word/header184.xml" ContentType="application/vnd.openxmlformats-officedocument.wordprocessingml.header+xml"/>
  <Override PartName="/word/footer28.xml" ContentType="application/vnd.openxmlformats-officedocument.wordprocessingml.footer+xml"/>
  <Override PartName="/word/header181.xml" ContentType="application/vnd.openxmlformats-officedocument.wordprocessingml.header+xml"/>
  <Override PartName="/word/footer150.xml" ContentType="application/vnd.openxmlformats-officedocument.wordprocessingml.footer+xml"/>
  <Override PartName="/word/header42.xml" ContentType="application/vnd.openxmlformats-officedocument.wordprocessingml.header+xml"/>
  <Override PartName="/word/header177.xml" ContentType="application/vnd.openxmlformats-officedocument.wordprocessingml.header+xml"/>
  <Override PartName="/word/header176.xml" ContentType="application/vnd.openxmlformats-officedocument.wordprocessingml.header+xml"/>
  <Override PartName="/word/footer125.xml" ContentType="application/vnd.openxmlformats-officedocument.wordprocessingml.footer+xml"/>
  <Override PartName="/word/header175.xml" ContentType="application/vnd.openxmlformats-officedocument.wordprocessingml.header+xml"/>
  <Override PartName="/word/header173.xml" ContentType="application/vnd.openxmlformats-officedocument.wordprocessingml.header+xml"/>
  <Override PartName="/word/footer162.xml" ContentType="application/vnd.openxmlformats-officedocument.wordprocessingml.footer+xml"/>
  <Override PartName="/word/header115.xml" ContentType="application/vnd.openxmlformats-officedocument.wordprocessingml.header+xml"/>
  <Override PartName="/word/footer201.xml" ContentType="application/vnd.openxmlformats-officedocument.wordprocessingml.footer+xml"/>
  <Override PartName="/word/footer14.xml" ContentType="application/vnd.openxmlformats-officedocument.wordprocessingml.footer+xml"/>
  <Override PartName="/word/header169.xml" ContentType="application/vnd.openxmlformats-officedocument.wordprocessingml.header+xml"/>
  <Override PartName="/word/header249.xml" ContentType="application/vnd.openxmlformats-officedocument.wordprocessingml.header+xml"/>
  <Override PartName="/word/footer182.xml" ContentType="application/vnd.openxmlformats-officedocument.wordprocessingml.footer+xml"/>
  <Override PartName="/word/header168.xml" ContentType="application/vnd.openxmlformats-officedocument.wordprocessingml.header+xml"/>
  <Override PartName="/word/footer57.xml" ContentType="application/vnd.openxmlformats-officedocument.wordprocessingml.footer+xml"/>
  <Override PartName="/word/header167.xml" ContentType="application/vnd.openxmlformats-officedocument.wordprocessingml.header+xml"/>
  <Override PartName="/word/header165.xml" ContentType="application/vnd.openxmlformats-officedocument.wordprocessingml.header+xml"/>
  <Override PartName="/word/header70.xml" ContentType="application/vnd.openxmlformats-officedocument.wordprocessingml.header+xml"/>
  <Override PartName="/word/header162.xml" ContentType="application/vnd.openxmlformats-officedocument.wordprocessingml.header+xml"/>
  <Override PartName="/word/footer66.xml" ContentType="application/vnd.openxmlformats-officedocument.wordprocessingml.footer+xml"/>
  <Override PartName="/word/header158.xml" ContentType="application/vnd.openxmlformats-officedocument.wordprocessingml.header+xml"/>
  <Override PartName="/word/header199.xml" ContentType="application/vnd.openxmlformats-officedocument.wordprocessingml.header+xml"/>
  <Override PartName="/word/header54.xml" ContentType="application/vnd.openxmlformats-officedocument.wordprocessingml.header+xml"/>
  <Override PartName="/word/footer76.xml" ContentType="application/vnd.openxmlformats-officedocument.wordprocessingml.footer+xml"/>
  <Override PartName="/word/header146.xml" ContentType="application/vnd.openxmlformats-officedocument.wordprocessingml.header+xml"/>
  <Override PartName="/word/header210.xml" ContentType="application/vnd.openxmlformats-officedocument.wordprocessingml.header+xml"/>
  <Override PartName="/word/footer114.xml" ContentType="application/vnd.openxmlformats-officedocument.wordprocessingml.footer+xml"/>
  <Override PartName="/word/header144.xml" ContentType="application/vnd.openxmlformats-officedocument.wordprocessingml.header+xml"/>
  <Override PartName="/word/footer17.xml" ContentType="application/vnd.openxmlformats-officedocument.wordprocessingml.footer+xml"/>
  <Override PartName="/word/header143.xml" ContentType="application/vnd.openxmlformats-officedocument.wordprocessingml.header+xml"/>
  <Override PartName="/word/header140.xml" ContentType="application/vnd.openxmlformats-officedocument.wordprocessingml.header+xml"/>
  <Override PartName="/word/header163.xml" ContentType="application/vnd.openxmlformats-officedocument.wordprocessingml.header+xml"/>
  <Override PartName="/word/footer67.xml" ContentType="application/vnd.openxmlformats-officedocument.wordprocessingml.footer+xml"/>
  <Override PartName="/word/header236.xml" ContentType="application/vnd.openxmlformats-officedocument.wordprocessingml.header+xml"/>
  <Override PartName="/word/header83.xml" ContentType="application/vnd.openxmlformats-officedocument.wordprocessingml.header+xml"/>
  <Override PartName="/word/footer108.xml" ContentType="application/vnd.openxmlformats-officedocument.wordprocessingml.footer+xml"/>
  <Override PartName="/word/footer195.xml" ContentType="application/vnd.openxmlformats-officedocument.wordprocessingml.footer+xml"/>
  <Override PartName="/word/header132.xml" ContentType="application/vnd.openxmlformats-officedocument.wordprocessingml.header+xml"/>
  <Override PartName="/word/header1.xml" ContentType="application/vnd.openxmlformats-officedocument.wordprocessingml.header+xml"/>
  <Override PartName="/word/footer97.xml" ContentType="application/vnd.openxmlformats-officedocument.wordprocessingml.footer+xml"/>
  <Override PartName="/word/header127.xml" ContentType="application/vnd.openxmlformats-officedocument.wordprocessingml.header+xml"/>
  <Override PartName="/word/header3.xml" ContentType="application/vnd.openxmlformats-officedocument.wordprocessingml.header+xml"/>
  <Override PartName="/word/footer211.xml" ContentType="application/vnd.openxmlformats-officedocument.wordprocessingml.footer+xml"/>
  <Override PartName="/word/footer173.xml" ContentType="application/vnd.openxmlformats-officedocument.wordprocessingml.footer+xml"/>
  <Override PartName="/word/header126.xml" ContentType="application/vnd.openxmlformats-officedocument.wordprocessingml.header+xml"/>
  <Override PartName="/word/header134.xml" ContentType="application/vnd.openxmlformats-officedocument.wordprocessingml.header+xml"/>
  <Override PartName="/word/header124.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71.xml" ContentType="application/vnd.openxmlformats-officedocument.wordprocessingml.header+xml"/>
  <Override PartName="/word/header106.xml" ContentType="application/vnd.openxmlformats-officedocument.wordprocessingml.header+xml"/>
  <Override PartName="/word/header104.xml" ContentType="application/vnd.openxmlformats-officedocument.wordprocessingml.header+xml"/>
  <Override PartName="/word/footer268.xml" ContentType="application/vnd.openxmlformats-officedocument.wordprocessingml.footer+xml"/>
  <Override PartName="/word/footer120.xml" ContentType="application/vnd.openxmlformats-officedocument.wordprocessingml.footer+xml"/>
  <Override PartName="/word/header72.xml" ContentType="application/vnd.openxmlformats-officedocument.wordprocessingml.header+xml"/>
  <Override PartName="/word/header99.xml" ContentType="application/vnd.openxmlformats-officedocument.wordprocessingml.header+xml"/>
  <Override PartName="/word/header103.xml" ContentType="application/vnd.openxmlformats-officedocument.wordprocessingml.header+xml"/>
  <Override PartName="/word/footer116.xml" ContentType="application/vnd.openxmlformats-officedocument.wordprocessingml.footer+xml"/>
  <Override PartName="/word/header190.xml" ContentType="application/vnd.openxmlformats-officedocument.wordprocessingml.header+xml"/>
  <Override PartName="/word/header102.xml" ContentType="application/vnd.openxmlformats-officedocument.wordprocessingml.header+xml"/>
  <Override PartName="/word/header244.xml" ContentType="application/vnd.openxmlformats-officedocument.wordprocessingml.header+xml"/>
  <Override PartName="/word/header152.xml" ContentType="application/vnd.openxmlformats-officedocument.wordprocessingml.header+xml"/>
  <Override PartName="/word/header100.xml" ContentType="application/vnd.openxmlformats-officedocument.wordprocessingml.header+xml"/>
  <Override PartName="/word/footer127.xml" ContentType="application/vnd.openxmlformats-officedocument.wordprocessingml.footer+xml"/>
  <Override PartName="/word/header120.xml" ContentType="application/vnd.openxmlformats-officedocument.wordprocessingml.header+xml"/>
  <Override PartName="/word/header189.xml" ContentType="application/vnd.openxmlformats-officedocument.wordprocessingml.header+xml"/>
  <Override PartName="/word/footer3.xml" ContentType="application/vnd.openxmlformats-officedocument.wordprocessingml.footer+xml"/>
  <Override PartName="/word/header142.xml" ContentType="application/vnd.openxmlformats-officedocument.wordprocessingml.header+xml"/>
  <Override PartName="/word/footer164.xml" ContentType="application/vnd.openxmlformats-officedocument.wordprocessingml.footer+xml"/>
  <Override PartName="/word/header105.xml" ContentType="application/vnd.openxmlformats-officedocument.wordprocessingml.header+xml"/>
  <Override PartName="/word/header96.xml" ContentType="application/vnd.openxmlformats-officedocument.wordprocessingml.header+xml"/>
  <Override PartName="/word/header161.xml" ContentType="application/vnd.openxmlformats-officedocument.wordprocessingml.header+xml"/>
  <Override PartName="/word/header95.xml" ContentType="application/vnd.openxmlformats-officedocument.wordprocessingml.header+xml"/>
  <Override PartName="/word/header94.xml" ContentType="application/vnd.openxmlformats-officedocument.wordprocessingml.header+xml"/>
  <Override PartName="/word/header14.xml" ContentType="application/vnd.openxmlformats-officedocument.wordprocessingml.header+xml"/>
  <Override PartName="/word/header10.xml" ContentType="application/vnd.openxmlformats-officedocument.wordprocessingml.header+xml"/>
  <Override PartName="/word/footer240.xml" ContentType="application/vnd.openxmlformats-officedocument.wordprocessingml.footer+xml"/>
  <Override PartName="/word/header149.xml" ContentType="application/vnd.openxmlformats-officedocument.wordprocessingml.header+xml"/>
  <Override PartName="/word/header93.xml" ContentType="application/vnd.openxmlformats-officedocument.wordprocessingml.header+xml"/>
  <Override PartName="/word/footer149.xml" ContentType="application/vnd.openxmlformats-officedocument.wordprocessingml.footer+xml"/>
  <Override PartName="/word/header91.xml" ContentType="application/vnd.openxmlformats-officedocument.wordprocessingml.header+xml"/>
  <Override PartName="/word/header90.xml" ContentType="application/vnd.openxmlformats-officedocument.wordprocessingml.header+xml"/>
  <Override PartName="/word/footer63.xml" ContentType="application/vnd.openxmlformats-officedocument.wordprocessingml.footer+xml"/>
  <Override PartName="/word/header136.xml" ContentType="application/vnd.openxmlformats-officedocument.wordprocessingml.header+xml"/>
  <Override PartName="/word/header88.xml" ContentType="application/vnd.openxmlformats-officedocument.wordprocessingml.header+xml"/>
  <Override PartName="/word/header123.xml" ContentType="application/vnd.openxmlformats-officedocument.wordprocessingml.header+xml"/>
  <Override PartName="/word/header32.xml" ContentType="application/vnd.openxmlformats-officedocument.wordprocessingml.header+xml"/>
  <Override PartName="/word/header60.xml" ContentType="application/vnd.openxmlformats-officedocument.wordprocessingml.header+xml"/>
  <Override PartName="/word/header30.xml" ContentType="application/vnd.openxmlformats-officedocument.wordprocessingml.header+xml"/>
  <Override PartName="/word/header174.xml" ContentType="application/vnd.openxmlformats-officedocument.wordprocessingml.header+xml"/>
  <Override PartName="/word/header2.xml" ContentType="application/vnd.openxmlformats-officedocument.wordprocessingml.header+xml"/>
  <Override PartName="/word/footer50.xml" ContentType="application/vnd.openxmlformats-officedocument.wordprocessingml.footer+xml"/>
  <Override PartName="/word/header185.xml" ContentType="application/vnd.openxmlformats-officedocument.wordprocessingml.header+xml"/>
  <Override PartName="/word/footer260.xml" ContentType="application/vnd.openxmlformats-officedocument.wordprocessingml.footer+xml"/>
  <Override PartName="/word/header156.xml" ContentType="application/vnd.openxmlformats-officedocument.wordprocessingml.header+xml"/>
  <Override PartName="/word/header40.xml" ContentType="application/vnd.openxmlformats-officedocument.wordprocessingml.header+xml"/>
  <Override PartName="/word/header73.xml" ContentType="application/vnd.openxmlformats-officedocument.wordprocessingml.header+xml"/>
  <Override PartName="/word/header26.xml" ContentType="application/vnd.openxmlformats-officedocument.wordprocessingml.header+xml"/>
  <Override PartName="/word/header22.xml" ContentType="application/vnd.openxmlformats-officedocument.wordprocessingml.header+xml"/>
  <Override PartName="/word/header188.xml" ContentType="application/vnd.openxmlformats-officedocument.wordprocessingml.header+xml"/>
  <Override PartName="/word/footer23.xml" ContentType="application/vnd.openxmlformats-officedocument.wordprocessingml.footer+xml"/>
  <Override PartName="/word/header172.xml" ContentType="application/vnd.openxmlformats-officedocument.wordprocessingml.header+xml"/>
  <Override PartName="/word/header166.xml" ContentType="application/vnd.openxmlformats-officedocument.wordprocessingml.header+xml"/>
  <Override PartName="/word/header71.xml" ContentType="application/vnd.openxmlformats-officedocument.wordprocessingml.header+xml"/>
  <Override PartName="/word/header118.xml" ContentType="application/vnd.openxmlformats-officedocument.wordprocessingml.header+xml"/>
  <Override PartName="/word/header8.xml" ContentType="application/vnd.openxmlformats-officedocument.wordprocessingml.header+xml"/>
  <Override PartName="/word/footer269.xml" ContentType="application/vnd.openxmlformats-officedocument.wordprocessingml.footer+xml"/>
  <Override PartName="/word/header34.xml" ContentType="application/vnd.openxmlformats-officedocument.wordprocessingml.header+xml"/>
  <Override PartName="/word/footer208.xml" ContentType="application/vnd.openxmlformats-officedocument.wordprocessingml.footer+xml"/>
  <Override PartName="/word/header201.xml" ContentType="application/vnd.openxmlformats-officedocument.wordprocessingml.header+xml"/>
  <Override PartName="/word/header21.xml" ContentType="application/vnd.openxmlformats-officedocument.wordprocessingml.header+xml"/>
  <Override PartName="/word/footer118.xml" ContentType="application/vnd.openxmlformats-officedocument.wordprocessingml.footer+xml"/>
  <Override PartName="/word/header16.xml" ContentType="application/vnd.openxmlformats-officedocument.wordprocessingml.header+xml"/>
  <Override PartName="/word/footer12.xml" ContentType="application/vnd.openxmlformats-officedocument.wordprocessingml.footer+xml"/>
  <Override PartName="/word/header121.xml" ContentType="application/vnd.openxmlformats-officedocument.wordprocessingml.header+xml"/>
  <Override PartName="/word/footer102.xml" ContentType="application/vnd.openxmlformats-officedocument.wordprocessingml.footer+xml"/>
  <Override PartName="/word/header92.xml" ContentType="application/vnd.openxmlformats-officedocument.wordprocessingml.header+xml"/>
  <Override PartName="/word/header18.xml" ContentType="application/vnd.openxmlformats-officedocument.wordprocessingml.header+xml"/>
  <Override PartName="/word/header87.xml" ContentType="application/vnd.openxmlformats-officedocument.wordprocessingml.header+xml"/>
  <Override PartName="/word/header15.xml" ContentType="application/vnd.openxmlformats-officedocument.wordprocessingml.header+xml"/>
  <Override PartName="/word/header262.xml" ContentType="application/vnd.openxmlformats-officedocument.wordprocessingml.header+xml"/>
  <Override PartName="/word/footer44.xml" ContentType="application/vnd.openxmlformats-officedocument.wordprocessingml.footer+xml"/>
  <Override PartName="/word/header12.xml" ContentType="application/vnd.openxmlformats-officedocument.wordprocessingml.header+xml"/>
  <Override PartName="/word/header242.xml" ContentType="application/vnd.openxmlformats-officedocument.wordprocessingml.header+xml"/>
  <Override PartName="/word/footer58.xml" ContentType="application/vnd.openxmlformats-officedocument.wordprocessingml.footer+xml"/>
  <Override PartName="/word/header43.xml" ContentType="application/vnd.openxmlformats-officedocument.wordprocessingml.header+xml"/>
  <Override PartName="/word/header131.xml" ContentType="application/vnd.openxmlformats-officedocument.wordprocessingml.header+xml"/>
  <Override PartName="/word/header77.xml" ContentType="application/vnd.openxmlformats-officedocument.wordprocessingml.header+xml"/>
  <Override PartName="/word/header209.xml" ContentType="application/vnd.openxmlformats-officedocument.wordprocessingml.header+xml"/>
  <Override PartName="/word/footer252.xml" ContentType="application/vnd.openxmlformats-officedocument.wordprocessingml.footer+xml"/>
  <Override PartName="/word/styles.xml" ContentType="application/vnd.openxmlformats-officedocument.wordprocessingml.styles+xml"/>
  <Override PartName="/word/header84.xml" ContentType="application/vnd.openxmlformats-officedocument.wordprocessingml.header+xml"/>
  <Override PartName="/word/header216.xml" ContentType="application/vnd.openxmlformats-officedocument.wordprocessingml.header+xml"/>
  <Override PartName="/word/header119.xml" ContentType="application/vnd.openxmlformats-officedocument.wordprocessingml.header+xml"/>
  <Override PartName="/word/header66.xml" ContentType="application/vnd.openxmlformats-officedocument.wordprocessingml.header+xml"/>
  <Override PartName="/word/header24.xml" ContentType="application/vnd.openxmlformats-officedocument.wordprocessingml.header+xml"/>
  <Override PartName="/customXml/itemProps1.xml" ContentType="application/vnd.openxmlformats-officedocument.customXmlProperties+xml"/>
  <Override PartName="/word/footer41.xml" ContentType="application/vnd.openxmlformats-officedocument.wordprocessingml.footer+xml"/>
  <Override PartName="/word/footer5.xml" ContentType="application/vnd.openxmlformats-officedocument.wordprocessingml.footer+xml"/>
  <Override PartName="/word/footer61.xml" ContentType="application/vnd.openxmlformats-officedocument.wordprocessingml.footer+xml"/>
  <Override PartName="/word/footer222.xml" ContentType="application/vnd.openxmlformats-officedocument.wordprocessingml.footer+xml"/>
  <Override PartName="/word/footer141.xml" ContentType="application/vnd.openxmlformats-officedocument.wordprocessingml.footer+xml"/>
  <Override PartName="/word/header7.xml" ContentType="application/vnd.openxmlformats-officedocument.wordprocessingml.header+xml"/>
  <Override PartName="/word/footer165.xml" ContentType="application/vnd.openxmlformats-officedocument.wordprocessingml.footer+xml"/>
  <Override PartName="/word/header214.xml" ContentType="application/vnd.openxmlformats-officedocument.wordprocessingml.header+xml"/>
  <Override PartName="/word/footer115.xml" ContentType="application/vnd.openxmlformats-officedocument.wordprocessingml.footer+xml"/>
  <Override PartName="/word/header36.xml" ContentType="application/vnd.openxmlformats-officedocument.wordprocessingml.header+xml"/>
  <Override PartName="/word/document.xml" ContentType="application/vnd.openxmlformats-officedocument.wordprocessingml.document.main+xml"/>
  <Override PartName="/word/header254.xml" ContentType="application/vnd.openxmlformats-officedocument.wordprocessingml.header+xml"/>
  <Override PartName="/word/footer46.xml" ContentType="application/vnd.openxmlformats-officedocument.wordprocessingml.footer+xml"/>
  <Override PartName="/word/footer233.xml" ContentType="application/vnd.openxmlformats-officedocument.wordprocessingml.footer+xml"/>
  <Override PartName="/word/header153.xml" ContentType="application/vnd.openxmlformats-officedocument.wordprocessingml.header+xml"/>
  <Override PartName="/word/header9.xml" ContentType="application/vnd.openxmlformats-officedocument.wordprocessingml.header+xml"/>
  <Override PartName="/word/footer157.xml" ContentType="application/vnd.openxmlformats-officedocument.wordprocessingml.footer+xml"/>
  <Override PartName="/word/footer104.xml" ContentType="application/vnd.openxmlformats-officedocument.wordprocessingml.footer+xml"/>
  <Override PartName="/word/footer140.xml" ContentType="application/vnd.openxmlformats-officedocument.wordprocessingml.footer+xml"/>
  <Override PartName="/word/header33.xml" ContentType="application/vnd.openxmlformats-officedocument.wordprocessingml.header+xml"/>
  <Override PartName="/word/header89.xml" ContentType="application/vnd.openxmlformats-officedocument.wordprocessingml.header+xml"/>
  <Override PartName="/word/header147.xml" ContentType="application/vnd.openxmlformats-officedocument.wordprocessingml.header+xml"/>
  <Override PartName="/word/header19.xml" ContentType="application/vnd.openxmlformats-officedocument.wordprocessingml.header+xml"/>
  <Override PartName="/word/footer183.xml" ContentType="application/vnd.openxmlformats-officedocument.wordprocessingml.footer+xml"/>
  <Override PartName="/word/header133.xml" ContentType="application/vnd.openxmlformats-officedocument.wordprocessingml.header+xml"/>
  <Override PartName="/word/footnotes.xml" ContentType="application/vnd.openxmlformats-officedocument.wordprocessingml.footnotes+xml"/>
  <Override PartName="/word/footer126.xml" ContentType="application/vnd.openxmlformats-officedocument.wordprocessingml.footer+xml"/>
  <Override PartName="/word/header79.xml" ContentType="application/vnd.openxmlformats-officedocument.wordprocessingml.header+xml"/>
  <Override PartName="/word/header5.xml" ContentType="application/vnd.openxmlformats-officedocument.wordprocessingml.header+xml"/>
  <Override PartName="/word/header178.xml" ContentType="application/vnd.openxmlformats-officedocument.wordprocessingml.header+xml"/>
  <Override PartName="/word/header159.xml" ContentType="application/vnd.openxmlformats-officedocument.wordprocessingml.header+xml"/>
  <Override PartName="/word/header116.xml" ContentType="application/vnd.openxmlformats-officedocument.wordprocessingml.header+xml"/>
  <Override PartName="/word/header47.xml" ContentType="application/vnd.openxmlformats-officedocument.wordprocessingml.header+xml"/>
  <Override PartName="/word/footer227.xml" ContentType="application/vnd.openxmlformats-officedocument.wordprocessingml.footer+xml"/>
  <Override PartName="/word/header20.xml" ContentType="application/vnd.openxmlformats-officedocument.wordprocessingml.header+xml"/>
  <Override PartName="/word/header45.xml" ContentType="application/vnd.openxmlformats-officedocument.wordprocessingml.header+xml"/>
  <Override PartName="/word/header187.xml" ContentType="application/vnd.openxmlformats-officedocument.wordprocessingml.header+xml"/>
  <Override PartName="/word/header46.xml" ContentType="application/vnd.openxmlformats-officedocument.wordprocessingml.header+xml"/>
  <Override PartName="/word/header6.xml" ContentType="application/vnd.openxmlformats-officedocument.wordprocessingml.header+xml"/>
  <Override PartName="/word/header195.xml" ContentType="application/vnd.openxmlformats-officedocument.wordprocessingml.header+xml"/>
  <Override PartName="/word/footer257.xml" ContentType="application/vnd.openxmlformats-officedocument.wordprocessingml.footer+xml"/>
  <Override PartName="/word/header112.xml" ContentType="application/vnd.openxmlformats-officedocument.wordprocessingml.header+xml"/>
  <Override PartName="/word/footer197.xml" ContentType="application/vnd.openxmlformats-officedocument.wordprocessingml.footer+xml"/>
  <Override PartName="/word/header110.xml" ContentType="application/vnd.openxmlformats-officedocument.wordprocessingml.header+xml"/>
  <Override PartName="/word/footer78.xml" ContentType="application/vnd.openxmlformats-officedocument.wordprocessingml.footer+xml"/>
  <Override PartName="/word/header17.xml" ContentType="application/vnd.openxmlformats-officedocument.wordprocessingml.header+xml"/>
  <Override PartName="/word/header251.xml" ContentType="application/vnd.openxmlformats-officedocument.wordprocessingml.header+xml"/>
  <Override PartName="/word/footer122.xml" ContentType="application/vnd.openxmlformats-officedocument.wordprocessingml.footer+xml"/>
  <Override PartName="/word/settings.xml" ContentType="application/vnd.openxmlformats-officedocument.wordprocessingml.settings+xml"/>
  <Override PartName="/word/header11.xml" ContentType="application/vnd.openxmlformats-officedocument.wordprocessingml.header+xml"/>
  <Override PartName="/word/header183.xml" ContentType="application/vnd.openxmlformats-officedocument.wordprocessingml.header+xml"/>
  <Override PartName="/word/header237.xml" ContentType="application/vnd.openxmlformats-officedocument.wordprocessingml.header+xml"/>
  <Override PartName="/word/header180.xml" ContentType="application/vnd.openxmlformats-officedocument.wordprocessingml.header+xml"/>
  <Override PartName="/word/header108.xml" ContentType="application/vnd.openxmlformats-officedocument.wordprocessingml.header+xml"/>
  <Override PartName="/word/footer38.xml" ContentType="application/vnd.openxmlformats-officedocument.wordprocessingml.footer+xml"/>
  <Override PartName="/word/header179.xml" ContentType="application/vnd.openxmlformats-officedocument.wordprocessingml.header+xml"/>
  <Override PartName="/word/header233.xml" ContentType="application/vnd.openxmlformats-officedocument.wordprocessingml.header+xml"/>
  <Override PartName="/word/footer65.xml" ContentType="application/vnd.openxmlformats-officedocument.wordprocessingml.footer+xml"/>
  <Override PartName="/word/footer92.xml" ContentType="application/vnd.openxmlformats-officedocument.wordprocessingml.footer+xml"/>
  <Override PartName="/word/header51.xml" ContentType="application/vnd.openxmlformats-officedocument.wordprocessingml.header+xml"/>
  <Override PartName="/word/header170.xml" ContentType="application/vnd.openxmlformats-officedocument.wordprocessingml.header+xml"/>
  <Override PartName="/word/header141.xml" ContentType="application/vnd.openxmlformats-officedocument.wordprocessingml.header+xml"/>
  <Override PartName="/word/header48.xml" ContentType="application/vnd.openxmlformats-officedocument.wordprocessingml.header+xml"/>
  <Override PartName="/word/footer20.xml" ContentType="application/vnd.openxmlformats-officedocument.wordprocessingml.footer+xml"/>
  <Override PartName="/word/footer130.xml" ContentType="application/vnd.openxmlformats-officedocument.wordprocessingml.footer+xml"/>
  <Override PartName="/word/header53.xml" ContentType="application/vnd.openxmlformats-officedocument.wordprocessingml.header+xml"/>
  <Override PartName="/word/footer94.xml" ContentType="application/vnd.openxmlformats-officedocument.wordprocessingml.footer+xml"/>
  <Override PartName="/word/header52.xml" ContentType="application/vnd.openxmlformats-officedocument.wordprocessingml.header+xml"/>
  <Override PartName="/word/footer7.xml" ContentType="application/vnd.openxmlformats-officedocument.wordprocessingml.footer+xml"/>
  <Override PartName="/word/header138.xml" ContentType="application/vnd.openxmlformats-officedocument.wordprocessingml.header+xml"/>
  <Override PartName="/word/header63.xml" ContentType="application/vnd.openxmlformats-officedocument.wordprocessingml.header+xml"/>
  <Override PartName="/word/header155.xml" ContentType="application/vnd.openxmlformats-officedocument.wordprocessingml.header+xml"/>
  <Override PartName="/word/header154.xml" ContentType="application/vnd.openxmlformats-officedocument.wordprocessingml.header+xml"/>
  <Override PartName="/word/header29.xml" ContentType="application/vnd.openxmlformats-officedocument.wordprocessingml.header+xml"/>
  <Override PartName="/word/header55.xml" ContentType="application/vnd.openxmlformats-officedocument.wordprocessingml.header+xml"/>
  <Override PartName="/word/footer74.xml" ContentType="application/vnd.openxmlformats-officedocument.wordprocessingml.footer+xml"/>
  <Override PartName="/word/header234.xml" ContentType="application/vnd.openxmlformats-officedocument.wordprocessingml.header+xml"/>
  <Override PartName="/word/header243.xml" ContentType="application/vnd.openxmlformats-officedocument.wordprocessingml.header+xml"/>
  <Override PartName="/word/header57.xml" ContentType="application/vnd.openxmlformats-officedocument.wordprocessingml.header+xml"/>
  <Override PartName="/word/header151.xml" ContentType="application/vnd.openxmlformats-officedocument.wordprocessingml.header+xml"/>
  <Override PartName="/word/header109.xml" ContentType="application/vnd.openxmlformats-officedocument.wordprocessingml.header+xml"/>
  <Override PartName="/word/header196.xml" ContentType="application/vnd.openxmlformats-officedocument.wordprocessingml.header+xml"/>
  <Override PartName="/word/header107.xml" ContentType="application/vnd.openxmlformats-officedocument.wordprocessingml.header+xml"/>
  <Override PartName="/word/header58.xml" ContentType="application/vnd.openxmlformats-officedocument.wordprocessingml.header+xml"/>
  <Override PartName="/word/header111.xml" ContentType="application/vnd.openxmlformats-officedocument.wordprocessingml.header+xml"/>
  <Override PartName="/word/header76.xml" ContentType="application/vnd.openxmlformats-officedocument.wordprocessingml.header+xml"/>
  <Override PartName="/word/header157.xml" ContentType="application/vnd.openxmlformats-officedocument.wordprocessingml.header+xml"/>
  <Override PartName="/word/header232.xml" ContentType="application/vnd.openxmlformats-officedocument.wordprocessingml.header+xml"/>
  <Override PartName="/word/header13.xml" ContentType="application/vnd.openxmlformats-officedocument.wordprocessingml.header+xml"/>
  <Override PartName="/word/webSettings.xml" ContentType="application/vnd.openxmlformats-officedocument.wordprocessingml.webSettings+xml"/>
  <Override PartName="/word/header56.xml" ContentType="application/vnd.openxmlformats-officedocument.wordprocessingml.header+xml"/>
  <Override PartName="/word/header59.xml" ContentType="application/vnd.openxmlformats-officedocument.wordprocessingml.header+xml"/>
  <Override PartName="/word/header61.xml" ContentType="application/vnd.openxmlformats-officedocument.wordprocessingml.header+xml"/>
  <Override PartName="/word/footer54.xml" ContentType="application/vnd.openxmlformats-officedocument.wordprocessingml.footer+xml"/>
  <Override PartName="/word/header62.xml" ContentType="application/vnd.openxmlformats-officedocument.wordprocessingml.header+xml"/>
  <Override PartName="/word/header64.xml" ContentType="application/vnd.openxmlformats-officedocument.wordprocessingml.header+xml"/>
  <Override PartName="/word/footer29.xml" ContentType="application/vnd.openxmlformats-officedocument.wordprocessingml.footer+xml"/>
  <Override PartName="/word/header101.xml" ContentType="application/vnd.openxmlformats-officedocument.wordprocessingml.header+xml"/>
  <Override PartName="/word/header69.xml" ContentType="application/vnd.openxmlformats-officedocument.wordprocessingml.header+xml"/>
  <Override PartName="/word/header27.xml" ContentType="application/vnd.openxmlformats-officedocument.wordprocessingml.header+xml"/>
  <Override PartName="/word/header67.xml" ContentType="application/vnd.openxmlformats-officedocument.wordprocessingml.header+xml"/>
  <Override PartName="/word/header50.xml" ContentType="application/vnd.openxmlformats-officedocument.wordprocessingml.header+xml"/>
  <Override PartName="/word/footer37.xml" ContentType="application/vnd.openxmlformats-officedocument.wordprocessingml.footer+xml"/>
  <Override PartName="/word/header78.xml" ContentType="application/vnd.openxmlformats-officedocument.wordprocessingml.header+xml"/>
  <Override PartName="/word/header117.xml" ContentType="application/vnd.openxmlformats-officedocument.wordprocessingml.header+xml"/>
  <Override PartName="/word/header182.xml" ContentType="application/vnd.openxmlformats-officedocument.wordprocessingml.header+xml"/>
  <Override PartName="/word/header68.xml" ContentType="application/vnd.openxmlformats-officedocument.wordprocessingml.header+xml"/>
  <Override PartName="/word/header4.xml" ContentType="application/vnd.openxmlformats-officedocument.wordprocessingml.header+xml"/>
  <Override PartName="/word/footer32.xml" ContentType="application/vnd.openxmlformats-officedocument.wordprocessingml.footer+xml"/>
  <Override PartName="/word/header97.xml" ContentType="application/vnd.openxmlformats-officedocument.wordprocessingml.header+xml"/>
  <Override PartName="/word/header75.xml" ContentType="application/vnd.openxmlformats-officedocument.wordprocessingml.header+xml"/>
  <Override PartName="/word/header246.xml" ContentType="application/vnd.openxmlformats-officedocument.wordprocessingml.header+xml"/>
  <Override PartName="/word/header145.xml" ContentType="application/vnd.openxmlformats-officedocument.wordprocessingml.header+xml"/>
  <Override PartName="/word/header139.xml" ContentType="application/vnd.openxmlformats-officedocument.wordprocessingml.header+xml"/>
  <Override PartName="/word/fontTable.xml" ContentType="application/vnd.openxmlformats-officedocument.wordprocessingml.fontTable+xml"/>
  <Override PartName="/word/header81.xml" ContentType="application/vnd.openxmlformats-officedocument.wordprocessingml.header+xml"/>
  <Override PartName="/word/header128.xml" ContentType="application/vnd.openxmlformats-officedocument.wordprocessingml.header+xml"/>
  <Override PartName="/word/header82.xml" ContentType="application/vnd.openxmlformats-officedocument.wordprocessingml.header+xml"/>
  <Override PartName="/word/footer206.xml" ContentType="application/vnd.openxmlformats-officedocument.wordprocessingml.footer+xml"/>
  <Override PartName="/word/theme/theme1.xml" ContentType="application/vnd.openxmlformats-officedocument.theme+xml"/>
  <Override PartName="/word/header85.xml" ContentType="application/vnd.openxmlformats-officedocument.wordprocessingml.header+xml"/>
  <Override PartName="/word/header230.xml" ContentType="application/vnd.openxmlformats-officedocument.wordprocessingml.header+xml"/>
  <Override PartName="/word/footer45.xml" ContentType="application/vnd.openxmlformats-officedocument.wordprocessingml.footer+xml"/>
  <Override PartName="/word/footer34.xml" ContentType="application/vnd.openxmlformats-officedocument.wordprocessingml.footer+xml"/>
  <Override PartName="/word/header130.xml" ContentType="application/vnd.openxmlformats-officedocument.wordprocessingml.header+xml"/>
  <Override PartName="/word/footer124.xml" ContentType="application/vnd.openxmlformats-officedocument.wordprocessingml.footer+xml"/>
  <Override PartName="/word/footer229.xml" ContentType="application/vnd.openxmlformats-officedocument.wordprocessingml.footer+xml"/>
  <Override PartName="/word/header208.xml" ContentType="application/vnd.openxmlformats-officedocument.wordprocessingml.header+xml"/>
  <Override PartName="/word/footer273.xml" ContentType="application/vnd.openxmlformats-officedocument.wordprocessingml.footer+xml"/>
  <Override PartName="/word/footer19.xml" ContentType="application/vnd.openxmlformats-officedocument.wordprocessingml.footer+xml"/>
  <Override PartName="/word/header193.xml" ContentType="application/vnd.openxmlformats-officedocument.wordprocessingml.header+xml"/>
  <Override PartName="/word/footer106.xml" ContentType="application/vnd.openxmlformats-officedocument.wordprocessingml.footer+xml"/>
  <Override PartName="/word/header194.xml" ContentType="application/vnd.openxmlformats-officedocument.wordprocessingml.header+xml"/>
  <Override PartName="/word/footer236.xml" ContentType="application/vnd.openxmlformats-officedocument.wordprocessingml.footer+xml"/>
  <Override PartName="/word/header197.xml" ContentType="application/vnd.openxmlformats-officedocument.wordprocessingml.header+xml"/>
  <Override PartName="/word/header200.xml" ContentType="application/vnd.openxmlformats-officedocument.wordprocessingml.header+xml"/>
  <Override PartName="/word/header202.xml" ContentType="application/vnd.openxmlformats-officedocument.wordprocessingml.header+xml"/>
  <Override PartName="/word/footer72.xml" ContentType="application/vnd.openxmlformats-officedocument.wordprocessingml.footer+xml"/>
  <Override PartName="/word/header203.xml" ContentType="application/vnd.openxmlformats-officedocument.wordprocessingml.header+xml"/>
  <Override PartName="/word/header86.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125.xml" ContentType="application/vnd.openxmlformats-officedocument.wordprocessingml.header+xml"/>
  <Override PartName="/word/header38.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footer15.xml" ContentType="application/vnd.openxmlformats-officedocument.wordprocessingml.footer+xml"/>
  <Override PartName="/word/footer42.xml" ContentType="application/vnd.openxmlformats-officedocument.wordprocessingml.footer+xml"/>
  <Override PartName="/word/footer111.xml" ContentType="application/vnd.openxmlformats-officedocument.wordprocessingml.footer+xml"/>
  <Override PartName="/word/header215.xml" ContentType="application/vnd.openxmlformats-officedocument.wordprocessingml.header+xml"/>
  <Override PartName="/docProps/core.xml" ContentType="application/vnd.openxmlformats-package.core-properties+xml"/>
  <Override PartName="/word/header218.xml" ContentType="application/vnd.openxmlformats-officedocument.wordprocessingml.header+xml"/>
  <Override PartName="/word/footer167.xml" ContentType="application/vnd.openxmlformats-officedocument.wordprocessingml.footer+xml"/>
  <Override PartName="/word/header23.xml" ContentType="application/vnd.openxmlformats-officedocument.wordprocessingml.header+xml"/>
  <Override PartName="/word/header219.xml" ContentType="application/vnd.openxmlformats-officedocument.wordprocessingml.header+xml"/>
  <Override PartName="/word/header28.xml" ContentType="application/vnd.openxmlformats-officedocument.wordprocessingml.header+xml"/>
  <Override PartName="/word/header220.xml" ContentType="application/vnd.openxmlformats-officedocument.wordprocessingml.header+xml"/>
  <Override PartName="/word/footer96.xml" ContentType="application/vnd.openxmlformats-officedocument.wordprocessingml.footer+xml"/>
  <Override PartName="/word/header148.xml" ContentType="application/vnd.openxmlformats-officedocument.wordprocessingml.header+xml"/>
  <Override PartName="/word/header222.xml" ContentType="application/vnd.openxmlformats-officedocument.wordprocessingml.header+xml"/>
  <Override PartName="/word/header224.xml" ContentType="application/vnd.openxmlformats-officedocument.wordprocessingml.header+xml"/>
  <Override PartName="/word/footer95.xml" ContentType="application/vnd.openxmlformats-officedocument.wordprocessingml.footer+xml"/>
  <Override PartName="/word/header225.xml" ContentType="application/vnd.openxmlformats-officedocument.wordprocessingml.header+xml"/>
  <Override PartName="/word/footer47.xml" ContentType="application/vnd.openxmlformats-officedocument.wordprocessingml.footer+xml"/>
  <Override PartName="/word/footer121.xml" ContentType="application/vnd.openxmlformats-officedocument.wordprocessingml.footer+xml"/>
  <Override PartName="/word/header227.xml" ContentType="application/vnd.openxmlformats-officedocument.wordprocessingml.header+xml"/>
  <Override PartName="/word/footer90.xml" ContentType="application/vnd.openxmlformats-officedocument.wordprocessingml.footer+xml"/>
  <Override PartName="/word/header228.xml" ContentType="application/vnd.openxmlformats-officedocument.wordprocessingml.header+xml"/>
  <Override PartName="/word/header229.xml" ContentType="application/vnd.openxmlformats-officedocument.wordprocessingml.header+xml"/>
  <Override PartName="/word/footer105.xml" ContentType="application/vnd.openxmlformats-officedocument.wordprocessingml.footer+xml"/>
  <Override PartName="/word/header235.xml" ContentType="application/vnd.openxmlformats-officedocument.wordprocessingml.header+xml"/>
  <Override PartName="/word/header238.xml" ContentType="application/vnd.openxmlformats-officedocument.wordprocessingml.header+xml"/>
  <Override PartName="/word/footer89.xml" ContentType="application/vnd.openxmlformats-officedocument.wordprocessingml.footer+xml"/>
  <Override PartName="/word/header239.xml" ContentType="application/vnd.openxmlformats-officedocument.wordprocessingml.header+xml"/>
  <Override PartName="/word/header240.xml" ContentType="application/vnd.openxmlformats-officedocument.wordprocessingml.header+xml"/>
  <Override PartName="/word/footer188.xml" ContentType="application/vnd.openxmlformats-officedocument.wordprocessingml.footer+xml"/>
  <Override PartName="/word/header245.xml" ContentType="application/vnd.openxmlformats-officedocument.wordprocessingml.header+xml"/>
  <Override PartName="/word/header247.xml" ContentType="application/vnd.openxmlformats-officedocument.wordprocessingml.header+xml"/>
  <Override PartName="/word/numbering.xml" ContentType="application/vnd.openxmlformats-officedocument.wordprocessingml.numbering+xml"/>
  <Override PartName="/word/header248.xml" ContentType="application/vnd.openxmlformats-officedocument.wordprocessingml.header+xml"/>
  <Override PartName="/word/header204.xml" ContentType="application/vnd.openxmlformats-officedocument.wordprocessingml.header+xml"/>
  <Override PartName="/word/header250.xml" ContentType="application/vnd.openxmlformats-officedocument.wordprocessingml.header+xml"/>
  <Override PartName="/word/footer119.xml" ContentType="application/vnd.openxmlformats-officedocument.wordprocessingml.footer+xml"/>
  <Override PartName="/word/header129.xml" ContentType="application/vnd.openxmlformats-officedocument.wordprocessingml.header+xml"/>
  <Override PartName="/word/header39.xml" ContentType="application/vnd.openxmlformats-officedocument.wordprocessingml.header+xml"/>
  <Override PartName="/word/header252.xml" ContentType="application/vnd.openxmlformats-officedocument.wordprocessingml.header+xml"/>
  <Override PartName="/word/footer209.xml" ContentType="application/vnd.openxmlformats-officedocument.wordprocessingml.footer+xml"/>
  <Override PartName="/word/header255.xml" ContentType="application/vnd.openxmlformats-officedocument.wordprocessingml.header+xml"/>
  <Override PartName="/word/header221.xml" ContentType="application/vnd.openxmlformats-officedocument.wordprocessingml.header+xml"/>
  <Override PartName="/word/header256.xml" ContentType="application/vnd.openxmlformats-officedocument.wordprocessingml.header+xml"/>
  <Override PartName="/word/footer192.xml" ContentType="application/vnd.openxmlformats-officedocument.wordprocessingml.footer+xml"/>
  <Override PartName="/word/header257.xml" ContentType="application/vnd.openxmlformats-officedocument.wordprocessingml.header+xml"/>
  <Override PartName="/word/header258.xml" ContentType="application/vnd.openxmlformats-officedocument.wordprocessingml.header+xml"/>
  <Override PartName="/word/header80.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footer148.xml" ContentType="application/vnd.openxmlformats-officedocument.wordprocessingml.footer+xml"/>
  <Override PartName="/word/header261.xml" ContentType="application/vnd.openxmlformats-officedocument.wordprocessingml.header+xml"/>
  <Override PartName="/word/header122.xml" ContentType="application/vnd.openxmlformats-officedocument.wordprocessingml.header+xml"/>
  <Override PartName="/word/header37.xml" ContentType="application/vnd.openxmlformats-officedocument.wordprocessingml.header+xml"/>
  <Override PartName="/word/header263.xml" ContentType="application/vnd.openxmlformats-officedocument.wordprocessingml.header+xml"/>
  <Override PartName="/word/footer77.xml" ContentType="application/vnd.openxmlformats-officedocument.wordprocessingml.footer+xml"/>
  <Override PartName="/word/header264.xml" ContentType="application/vnd.openxmlformats-officedocument.wordprocessingml.header+xml"/>
  <Override PartName="/word/footer251.xml" ContentType="application/vnd.openxmlformats-officedocument.wordprocessingml.footer+xml"/>
  <Override PartName="/word/endnotes.xml" ContentType="application/vnd.openxmlformats-officedocument.wordprocessingml.endnotes+xml"/>
  <Override PartName="/word/header265.xml" ContentType="application/vnd.openxmlformats-officedocument.wordprocessingml.header+xml"/>
  <Override PartName="/word/footer179.xml" ContentType="application/vnd.openxmlformats-officedocument.wordprocessingml.footer+xml"/>
  <Override PartName="/word/footer40.xml" ContentType="application/vnd.openxmlformats-officedocument.wordprocessingml.footer+xml"/>
  <Override PartName="/word/header226.xml" ContentType="application/vnd.openxmlformats-officedocument.wordprocessingml.header+xml"/>
  <Override PartName="/word/footer1.xml" ContentType="application/vnd.openxmlformats-officedocument.wordprocessingml.footer+xml"/>
  <Override PartName="/word/footer85.xml" ContentType="application/vnd.openxmlformats-officedocument.wordprocessingml.footer+xml"/>
  <Override PartName="/word/footer2.xml" ContentType="application/vnd.openxmlformats-officedocument.wordprocessingml.footer+xml"/>
  <Override PartName="/word/footer215.xml" ContentType="application/vnd.openxmlformats-officedocument.wordprocessingml.footer+xml"/>
  <Override PartName="/word/footer180.xml" ContentType="application/vnd.openxmlformats-officedocument.wordprocessingml.footer+xml"/>
  <Override PartName="/word/header150.xml" ContentType="application/vnd.openxmlformats-officedocument.wordprocessingml.header+xml"/>
  <Override PartName="/word/header31.xml" ContentType="application/vnd.openxmlformats-officedocument.wordprocessingml.header+xml"/>
  <Override PartName="/word/footer4.xml" ContentType="application/vnd.openxmlformats-officedocument.wordprocessingml.footer+xml"/>
  <Override PartName="/word/footer184.xml" ContentType="application/vnd.openxmlformats-officedocument.wordprocessingml.footer+xml"/>
  <Override PartName="/word/header41.xml" ContentType="application/vnd.openxmlformats-officedocument.wordprocessingml.header+xml"/>
  <Override PartName="/word/footer6.xml" ContentType="application/vnd.openxmlformats-officedocument.wordprocessingml.footer+xml"/>
  <Override PartName="/word/footer75.xml" ContentType="application/vnd.openxmlformats-officedocument.wordprocessingml.footer+xml"/>
  <Override PartName="/word/header241.xml" ContentType="application/vnd.openxmlformats-officedocument.wordprocessingml.header+xml"/>
  <Override PartName="/word/footer9.xml" ContentType="application/vnd.openxmlformats-officedocument.wordprocessingml.footer+xml"/>
  <Override PartName="/word/footer123.xml" ContentType="application/vnd.openxmlformats-officedocument.wordprocessingml.footer+xml"/>
  <Override PartName="/word/footer11.xml" ContentType="application/vnd.openxmlformats-officedocument.wordprocessingml.footer+xml"/>
  <Override PartName="/word/footer13.xml" ContentType="application/vnd.openxmlformats-officedocument.wordprocessingml.footer+xml"/>
  <Override PartName="/word/footer16.xml" ContentType="application/vnd.openxmlformats-officedocument.wordprocessingml.footer+xml"/>
  <Override PartName="/word/header160.xml" ContentType="application/vnd.openxmlformats-officedocument.wordprocessingml.header+xml"/>
  <Override PartName="/word/footer82.xml" ContentType="application/vnd.openxmlformats-officedocument.wordprocessingml.footer+xml"/>
  <Override PartName="/word/footer18.xml" ContentType="application/vnd.openxmlformats-officedocument.wordprocessingml.footer+xml"/>
  <Override PartName="/word/header74.xml" ContentType="application/vnd.openxmlformats-officedocument.wordprocessingml.header+xml"/>
  <Override PartName="/word/footer83.xml" ContentType="application/vnd.openxmlformats-officedocument.wordprocessingml.footer+xml"/>
  <Override PartName="/word/footer33.xml" ContentType="application/vnd.openxmlformats-officedocument.wordprocessingml.footer+xml"/>
  <Override PartName="/word/footer225.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133.xml" ContentType="application/vnd.openxmlformats-officedocument.wordprocessingml.footer+xml"/>
  <Override PartName="/word/footer24.xml" ContentType="application/vnd.openxmlformats-officedocument.wordprocessingml.footer+xml"/>
  <Override PartName="/word/footer10.xml" ContentType="application/vnd.openxmlformats-officedocument.wordprocessingml.footer+xml"/>
  <Override PartName="/word/header49.xml" ContentType="application/vnd.openxmlformats-officedocument.wordprocessingml.header+xml"/>
  <Override PartName="/word/header253.xml" ContentType="application/vnd.openxmlformats-officedocument.wordprocessingml.header+xml"/>
  <Override PartName="/word/footer25.xml" ContentType="application/vnd.openxmlformats-officedocument.wordprocessingml.footer+xml"/>
  <Override PartName="/word/footer109.xml" ContentType="application/vnd.openxmlformats-officedocument.wordprocessingml.footer+xml"/>
  <Override PartName="/word/footer129.xml" ContentType="application/vnd.openxmlformats-officedocument.wordprocessingml.footer+xml"/>
  <Override PartName="/word/footer26.xml" ContentType="application/vnd.openxmlformats-officedocument.wordprocessingml.footer+xml"/>
  <Override PartName="/word/header217.xml" ContentType="application/vnd.openxmlformats-officedocument.wordprocessingml.header+xml"/>
  <Override PartName="/word/footer27.xml" ContentType="application/vnd.openxmlformats-officedocument.wordprocessingml.footer+xml"/>
  <Override PartName="/word/footer155.xml" ContentType="application/vnd.openxmlformats-officedocument.wordprocessingml.footer+xml"/>
  <Override PartName="/word/footer135.xml" ContentType="application/vnd.openxmlformats-officedocument.wordprocessingml.footer+xml"/>
  <Override PartName="/word/header98.xml" ContentType="application/vnd.openxmlformats-officedocument.wordprocessingml.header+xml"/>
  <Override PartName="/word/footer30.xml" ContentType="application/vnd.openxmlformats-officedocument.wordprocessingml.footer+xml"/>
  <Override PartName="/word/footer132.xml" ContentType="application/vnd.openxmlformats-officedocument.wordprocessingml.footer+xml"/>
  <Override PartName="/word/footer31.xml" ContentType="application/vnd.openxmlformats-officedocument.wordprocessingml.footer+xml"/>
  <Override PartName="/word/footer176.xml" ContentType="application/vnd.openxmlformats-officedocument.wordprocessingml.footer+xml"/>
  <Override PartName="/word/footer80.xml" ContentType="application/vnd.openxmlformats-officedocument.wordprocessingml.footer+xml"/>
  <Override PartName="/word/footer267.xml" ContentType="application/vnd.openxmlformats-officedocument.wordprocessingml.footer+xml"/>
  <Override PartName="/word/footer35.xml" ContentType="application/vnd.openxmlformats-officedocument.wordprocessingml.footer+xml"/>
  <Override PartName="/word/header231.xml" ContentType="application/vnd.openxmlformats-officedocument.wordprocessingml.header+xml"/>
  <Override PartName="/word/footer36.xml" ContentType="application/vnd.openxmlformats-officedocument.wordprocessingml.footer+xml"/>
  <Override PartName="/word/header223.xml" ContentType="application/vnd.openxmlformats-officedocument.wordprocessingml.header+xml"/>
  <Override PartName="/word/footer39.xml" ContentType="application/vnd.openxmlformats-officedocument.wordprocessingml.footer+xml"/>
  <Override PartName="/word/footer265.xml" ContentType="application/vnd.openxmlformats-officedocument.wordprocessingml.footer+xml"/>
  <Override PartName="/word/footer253.xml" ContentType="application/vnd.openxmlformats-officedocument.wordprocessingml.footer+xml"/>
  <Override PartName="/word/header164.xml" ContentType="application/vnd.openxmlformats-officedocument.wordprocessingml.header+xml"/>
  <Override PartName="/word/footer43.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1.xml" ContentType="application/vnd.openxmlformats-officedocument.wordprocessingml.footer+xml"/>
  <Override PartName="/word/footer84.xml" ContentType="application/vnd.openxmlformats-officedocument.wordprocessingml.footer+xml"/>
  <Override PartName="/word/footer52.xml" ContentType="application/vnd.openxmlformats-officedocument.wordprocessingml.footer+xml"/>
  <Override PartName="/word/header135.xml" ContentType="application/vnd.openxmlformats-officedocument.wordprocessingml.header+xml"/>
  <Override PartName="/word/footer53.xml" ContentType="application/vnd.openxmlformats-officedocument.wordprocessingml.footer+xml"/>
  <Override PartName="/word/footer146.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169.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2.xml" ContentType="application/vnd.openxmlformats-officedocument.wordprocessingml.footer+xml"/>
  <Override PartName="/word/footer64.xml" ContentType="application/vnd.openxmlformats-officedocument.wordprocessingml.footer+xml"/>
  <Override PartName="/word/footer69.xml" ContentType="application/vnd.openxmlformats-officedocument.wordprocessingml.footer+xml"/>
  <Override PartName="/word/header137.xml" ContentType="application/vnd.openxmlformats-officedocument.wordprocessingml.header+xml"/>
  <Override PartName="/word/footer70.xml" ContentType="application/vnd.openxmlformats-officedocument.wordprocessingml.footer+xml"/>
  <Override PartName="/word/footer81.xml" ContentType="application/vnd.openxmlformats-officedocument.wordprocessingml.footer+xml"/>
  <Override PartName="/word/footer71.xml" ContentType="application/vnd.openxmlformats-officedocument.wordprocessingml.footer+xml"/>
  <Override PartName="/word/header198.xml" ContentType="application/vnd.openxmlformats-officedocument.wordprocessingml.header+xml"/>
  <Override PartName="/word/footer103.xml" ContentType="application/vnd.openxmlformats-officedocument.wordprocessingml.footer+xml"/>
  <Override PartName="/word/footer73.xml" ContentType="application/vnd.openxmlformats-officedocument.wordprocessingml.footer+xml"/>
  <Override PartName="/word/header25.xml" ContentType="application/vnd.openxmlformats-officedocument.wordprocessingml.header+xml"/>
  <Override PartName="/word/footer101.xml" ContentType="application/vnd.openxmlformats-officedocument.wordprocessingml.footer+xml"/>
  <Override PartName="/word/footer79.xml" ContentType="application/vnd.openxmlformats-officedocument.wordprocessingml.footer+xml"/>
  <Override PartName="/word/footer113.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header44.xml" ContentType="application/vnd.openxmlformats-officedocument.wordprocessingml.header+xml"/>
  <Override PartName="/word/footer91.xml" ContentType="application/vnd.openxmlformats-officedocument.wordprocessingml.footer+xml"/>
  <Override PartName="/word/footer223.xml" ContentType="application/vnd.openxmlformats-officedocument.wordprocessingml.footer+xml"/>
  <Override PartName="/word/footer93.xml" ContentType="application/vnd.openxmlformats-officedocument.wordprocessingml.footer+xml"/>
  <Override PartName="/word/header35.xml" ContentType="application/vnd.openxmlformats-officedocument.wordprocessingml.header+xml"/>
  <Override PartName="/word/footer98.xml" ContentType="application/vnd.openxmlformats-officedocument.wordprocessingml.footer+xml"/>
  <Override PartName="/word/footer99.xml" ContentType="application/vnd.openxmlformats-officedocument.wordprocessingml.footer+xml"/>
  <Override PartName="/word/footer217.xml" ContentType="application/vnd.openxmlformats-officedocument.wordprocessingml.footer+xml"/>
  <Override PartName="/word/footer100.xml" ContentType="application/vnd.openxmlformats-officedocument.wordprocessingml.footer+xml"/>
  <Override PartName="/word/footer8.xml" ContentType="application/vnd.openxmlformats-officedocument.wordprocessingml.footer+xml"/>
  <Override PartName="/word/header192.xml" ContentType="application/vnd.openxmlformats-officedocument.wordprocessingml.header+xml"/>
  <Override PartName="/word/footer107.xml" ContentType="application/vnd.openxmlformats-officedocument.wordprocessingml.footer+xml"/>
  <Override PartName="/word/header191.xml" ContentType="application/vnd.openxmlformats-officedocument.wordprocessingml.header+xml"/>
  <Override PartName="/word/footer110.xml" ContentType="application/vnd.openxmlformats-officedocument.wordprocessingml.footer+xml"/>
  <Override PartName="/word/footer112.xml" ContentType="application/vnd.openxmlformats-officedocument.wordprocessingml.footer+xml"/>
  <Override PartName="/word/header65.xml" ContentType="application/vnd.openxmlformats-officedocument.wordprocessingml.header+xml"/>
  <Override PartName="/word/footer68.xml" ContentType="application/vnd.openxmlformats-officedocument.wordprocessingml.footer+xml"/>
  <Override PartName="/word/footer117.xml" ContentType="application/vnd.openxmlformats-officedocument.wordprocessingml.footer+xml"/>
  <Override PartName="/word/footer128.xml" ContentType="application/vnd.openxmlformats-officedocument.wordprocessingml.footer+xml"/>
  <Override PartName="/word/footer131.xml" ContentType="application/vnd.openxmlformats-officedocument.wordprocessingml.footer+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613"/>
        <w:gridCol w:w="1020"/>
        <w:gridCol w:w="1460"/>
        <w:gridCol w:w="1088"/>
        <w:gridCol w:w="3174"/>
      </w:tblGrid>
      <w:tr>
        <w:trPr>
          <w:trHeight w:val="598"/>
        </w:trPr>
        <w:tc>
          <w:tcPr>
            <w:tcBorders>
              <w:top w:val="single" w:color="2c67ae" w:sz="18" w:space="0"/>
              <w:left w:val="single" w:color="2c67ae" w:sz="18" w:space="0"/>
              <w:bottom w:val="single" w:color="2c67ae" w:sz="18" w:space="0"/>
            </w:tcBorders>
            <w:tcW w:w="2613" w:type="dxa"/>
            <w:vAlign w:val="center"/>
          </w:tcPr>
          <w:p>
            <w:pPr>
              <w:pStyle w:val="10533"/>
              <w:pBdr/>
              <w:tabs>
                <w:tab w:val="clear" w:leader="none" w:pos="708"/>
                <w:tab w:val="left" w:leader="none" w:pos="3777"/>
                <w:tab w:val="center" w:leader="none" w:pos="4607"/>
              </w:tabs>
              <w:spacing/>
              <w:ind w:right="-71" w:left="-72"/>
              <w:jc w:val="center"/>
              <w:rPr>
                <w:rFonts w:eastAsia="Calibri"/>
                <w:b/>
                <w:color w:val="000000"/>
                <w:szCs w:val="22"/>
                <w:lang w:val="en-US" w:eastAsia="ru-RU"/>
              </w:rPr>
            </w:pPr>
            <w:r>
              <mc:AlternateContent>
                <mc:Choice Requires="wpg">
                  <w:drawing>
                    <wp:inline xmlns:wp="http://schemas.openxmlformats.org/drawingml/2006/wordprocessingDrawing" distT="0" distB="0" distL="0" distR="0">
                      <wp:extent cx="1000125" cy="352425"/>
                      <wp:effectExtent l="0" t="0" r="0" b="0"/>
                      <wp:docPr id="1" name="Рисунок 608657255" descr="E:\Яндекс диск\YandexDisk\YandexDisk\YandexDisk\письма, запросы, отчеты\титульник\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608657255" descr="E:\Яндекс диск\YandexDisk\YandexDisk\YandexDisk\письма, запросы, отчеты\титульник\лого.png"/>
                              <pic:cNvPicPr>
                                <a:picLocks noChangeAspect="1"/>
                              </pic:cNvPicPr>
                              <pic:nvPr/>
                            </pic:nvPicPr>
                            <pic:blipFill rotWithShape="1">
                              <a:blip r:embed="rId548"/>
                              <a:stretch/>
                            </pic:blipFill>
                            <pic:spPr bwMode="auto">
                              <a:xfrm>
                                <a:off x="0" y="0"/>
                                <a:ext cx="1000125" cy="35242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78.75pt;height:27.75pt;mso-wrap-distance-left:0.00pt;mso-wrap-distance-top:0.00pt;mso-wrap-distance-right:0.00pt;mso-wrap-distance-bottom:0.00pt;z-index:1;" stroked="false">
                      <v:imagedata r:id="rId548" o:title=""/>
                      <o:lock v:ext="edit" rotation="t"/>
                    </v:shape>
                  </w:pict>
                </mc:Fallback>
              </mc:AlternateContent>
            </w:r>
            <w:r>
              <w:rPr>
                <w:rFonts w:eastAsia="Calibri"/>
                <w:b/>
                <w:color w:val="000000"/>
                <w:szCs w:val="22"/>
                <w:lang w:val="en-US" w:eastAsia="ru-RU"/>
              </w:rPr>
            </w:r>
          </w:p>
        </w:tc>
        <w:tc>
          <w:tcPr>
            <w:gridSpan w:val="3"/>
            <w:tcBorders>
              <w:top w:val="single" w:color="2c67ae" w:sz="18" w:space="0"/>
              <w:bottom w:val="single" w:color="2c67ae" w:sz="18" w:space="0"/>
            </w:tcBorders>
            <w:tcW w:w="3568" w:type="dxa"/>
            <w:vAlign w:val="center"/>
          </w:tcPr>
          <w:p>
            <w:pPr>
              <w:pStyle w:val="10533"/>
              <w:pBdr/>
              <w:tabs>
                <w:tab w:val="clear" w:leader="none" w:pos="708"/>
                <w:tab w:val="left" w:leader="none" w:pos="3777"/>
                <w:tab w:val="center" w:leader="none" w:pos="4607"/>
              </w:tabs>
              <w:spacing/>
              <w:ind w:right="34"/>
              <w:jc w:val="center"/>
              <w:rPr>
                <w:rFonts w:eastAsia="Calibri"/>
                <w:color w:val="000000"/>
                <w:sz w:val="20"/>
                <w:szCs w:val="22"/>
                <w:lang w:eastAsia="ru-RU"/>
              </w:rPr>
            </w:pPr>
            <w:r>
              <w:rPr>
                <w:rFonts w:eastAsia="Calibri"/>
                <w:color w:val="000000"/>
                <w:sz w:val="20"/>
                <w:szCs w:val="22"/>
                <w:lang w:eastAsia="ru-RU"/>
              </w:rPr>
              <w:t xml:space="preserve">ИП Крылов Иван Васильевич</w:t>
            </w:r>
            <w:r>
              <w:rPr>
                <w:rFonts w:eastAsia="Calibri"/>
                <w:color w:val="000000"/>
                <w:sz w:val="20"/>
                <w:szCs w:val="22"/>
                <w:lang w:eastAsia="ru-RU"/>
              </w:rPr>
            </w:r>
          </w:p>
          <w:p>
            <w:pPr>
              <w:pStyle w:val="10533"/>
              <w:pBdr/>
              <w:tabs>
                <w:tab w:val="clear" w:leader="none" w:pos="708"/>
                <w:tab w:val="left" w:leader="none" w:pos="3777"/>
                <w:tab w:val="center" w:leader="none" w:pos="4607"/>
              </w:tabs>
              <w:spacing/>
              <w:ind w:right="34"/>
              <w:jc w:val="center"/>
              <w:rPr>
                <w:rFonts w:eastAsia="Calibri"/>
                <w:color w:val="000000"/>
                <w:sz w:val="20"/>
                <w:szCs w:val="22"/>
                <w:lang w:eastAsia="ru-RU"/>
              </w:rPr>
            </w:pPr>
            <w:r>
              <w:rPr>
                <w:rFonts w:eastAsia="Calibri"/>
                <w:color w:val="000000"/>
                <w:sz w:val="20"/>
                <w:szCs w:val="22"/>
                <w:lang w:eastAsia="ru-RU"/>
              </w:rPr>
              <w:t xml:space="preserve">ИНН 352526900865</w:t>
            </w:r>
            <w:r>
              <w:rPr>
                <w:rFonts w:eastAsia="Calibri"/>
                <w:color w:val="000000"/>
                <w:sz w:val="20"/>
                <w:szCs w:val="22"/>
                <w:lang w:eastAsia="ru-RU"/>
              </w:rPr>
            </w:r>
          </w:p>
        </w:tc>
        <w:tc>
          <w:tcPr>
            <w:tcBorders>
              <w:top w:val="single" w:color="2c67ae" w:sz="18" w:space="0"/>
              <w:bottom w:val="single" w:color="2c67ae" w:sz="18" w:space="0"/>
              <w:right w:val="single" w:color="2c67ae" w:sz="18" w:space="0"/>
            </w:tcBorders>
            <w:tcW w:w="3174" w:type="dxa"/>
            <w:vAlign w:val="center"/>
          </w:tcPr>
          <w:p>
            <w:pPr>
              <w:pStyle w:val="10533"/>
              <w:pBdr/>
              <w:tabs>
                <w:tab w:val="clear" w:leader="none" w:pos="708"/>
                <w:tab w:val="left" w:leader="none" w:pos="3777"/>
                <w:tab w:val="center" w:leader="none" w:pos="4607"/>
              </w:tabs>
              <w:spacing/>
              <w:ind w:right="34"/>
              <w:jc w:val="center"/>
              <w:rPr>
                <w:rFonts w:eastAsia="Calibri"/>
                <w:color w:val="000000"/>
                <w:sz w:val="20"/>
                <w:szCs w:val="22"/>
                <w:lang w:val="en-US" w:eastAsia="ru-RU"/>
              </w:rPr>
            </w:pPr>
            <w:r>
              <w:rPr>
                <w:rFonts w:eastAsia="Calibri"/>
                <w:color w:val="000000"/>
                <w:sz w:val="20"/>
                <w:szCs w:val="22"/>
                <w:lang w:val="en-US" w:eastAsia="ru-RU"/>
              </w:rPr>
              <w:t xml:space="preserve">8 (8172) 50-35-32 | </w:t>
            </w:r>
            <w:hyperlink r:id="rId549" w:tooltip="https://5s-proekt.ru/" w:history="1">
              <w:r>
                <w:rPr>
                  <w:rFonts w:eastAsia="Calibri"/>
                  <w:color w:val="000000"/>
                  <w:sz w:val="20"/>
                  <w:szCs w:val="22"/>
                  <w:lang w:val="en-US" w:eastAsia="ru-RU"/>
                </w:rPr>
                <w:t xml:space="preserve">5s-proekt.ru </w:t>
              </w:r>
            </w:hyperlink>
            <w:r>
              <w:rPr>
                <w:rFonts w:eastAsia="Calibri"/>
                <w:color w:val="000000"/>
                <w:sz w:val="20"/>
                <w:szCs w:val="22"/>
                <w:lang w:val="en-US" w:eastAsia="ru-RU"/>
              </w:rPr>
              <w:t xml:space="preserve"> </w:t>
            </w:r>
            <w:hyperlink r:id="rId550" w:tooltip="file:///E:/Яндекс%20диск/YandexDisk/YandexDisk/YandexDisk/письма,%20запросы,%20отчеты/титульник/ea503532@yandex.ru" w:history="1">
              <w:r>
                <w:rPr>
                  <w:rFonts w:eastAsia="Calibri"/>
                  <w:color w:val="000000"/>
                  <w:sz w:val="20"/>
                  <w:szCs w:val="22"/>
                  <w:lang w:val="en-US" w:eastAsia="ru-RU"/>
                </w:rPr>
                <w:t xml:space="preserve">ea503532@yandex.ru</w:t>
              </w:r>
            </w:hyperlink>
            <w:r/>
            <w:r>
              <w:rPr>
                <w:rFonts w:eastAsia="Calibri"/>
                <w:color w:val="000000"/>
                <w:sz w:val="20"/>
                <w:szCs w:val="22"/>
                <w:lang w:val="en-US" w:eastAsia="ru-RU"/>
              </w:rPr>
            </w:r>
          </w:p>
        </w:tc>
      </w:tr>
      <w:tr>
        <w:trPr>
          <w:trHeight w:val="2279"/>
        </w:trPr>
        <w:tc>
          <w:tcPr>
            <w:gridSpan w:val="2"/>
            <w:tcBorders>
              <w:top w:val="single" w:color="2c67ae" w:sz="18" w:space="0"/>
              <w:left w:val="single" w:color="2c67ae" w:sz="18" w:space="0"/>
            </w:tcBorders>
            <w:tcW w:w="3633" w:type="dxa"/>
            <w:vAlign w:val="center"/>
          </w:tcPr>
          <w:p>
            <w:pPr>
              <w:pStyle w:val="10533"/>
              <w:pBdr/>
              <w:spacing w:after="0" w:before="1680"/>
              <w:ind w:right="142"/>
              <w:jc w:val="center"/>
              <w:rPr>
                <w:rFonts w:eastAsia="Calibri"/>
                <w:szCs w:val="22"/>
                <w:lang w:val="en-US" w:eastAsia="en-US"/>
              </w:rPr>
            </w:pPr>
            <w:r>
              <w:rPr>
                <w:rFonts w:eastAsia="Calibri"/>
                <w:szCs w:val="22"/>
                <w:lang w:val="en-US" w:eastAsia="en-US"/>
              </w:rPr>
            </w:r>
            <w:r>
              <w:rPr>
                <w:rFonts w:eastAsia="Calibri"/>
                <w:szCs w:val="22"/>
                <w:lang w:val="en-US" w:eastAsia="en-US"/>
              </w:rPr>
            </w:r>
          </w:p>
        </w:tc>
        <w:tc>
          <w:tcPr>
            <w:tcBorders>
              <w:top w:val="single" w:color="2c67ae" w:sz="18" w:space="0"/>
            </w:tcBorders>
            <w:tcW w:w="1460" w:type="dxa"/>
            <w:vAlign w:val="center"/>
          </w:tcPr>
          <w:p>
            <w:pPr>
              <w:pStyle w:val="10533"/>
              <w:pBdr/>
              <w:spacing w:after="0" w:before="1680"/>
              <w:ind w:right="142"/>
              <w:jc w:val="center"/>
              <w:rPr>
                <w:rFonts w:eastAsia="Calibri"/>
                <w:szCs w:val="22"/>
                <w:lang w:val="en-US" w:eastAsia="en-US"/>
              </w:rPr>
            </w:pPr>
            <w:r>
              <w:rPr>
                <w:rFonts w:eastAsia="Calibri"/>
                <w:szCs w:val="22"/>
                <w:lang w:val="en-US" w:eastAsia="en-US"/>
              </w:rPr>
            </w:r>
            <w:r>
              <w:rPr>
                <w:rFonts w:eastAsia="Calibri"/>
                <w:szCs w:val="22"/>
                <w:lang w:val="en-US" w:eastAsia="en-US"/>
              </w:rPr>
            </w:r>
          </w:p>
        </w:tc>
        <w:tc>
          <w:tcPr>
            <w:gridSpan w:val="2"/>
            <w:tcBorders>
              <w:top w:val="single" w:color="2c67ae" w:sz="18" w:space="0"/>
              <w:right w:val="single" w:color="2c67ae" w:sz="18" w:space="0"/>
            </w:tcBorders>
            <w:tcW w:w="4262" w:type="dxa"/>
            <w:vAlign w:val="center"/>
          </w:tcPr>
          <w:p>
            <w:pPr>
              <w:pStyle w:val="10533"/>
              <w:pBdr/>
              <w:spacing/>
              <w:ind w:right="142"/>
              <w:jc w:val="center"/>
              <w:rPr>
                <w:rFonts w:eastAsia="Calibri"/>
                <w:szCs w:val="22"/>
                <w:lang w:val="en-US" w:eastAsia="en-US"/>
              </w:rPr>
            </w:pPr>
            <w:r>
              <w:rPr>
                <w:rFonts w:eastAsia="Calibri"/>
                <w:szCs w:val="22"/>
                <w:lang w:val="en-US" w:eastAsia="en-US"/>
              </w:rPr>
            </w:r>
            <w:r>
              <w:rPr>
                <w:rFonts w:eastAsia="Calibri"/>
                <w:szCs w:val="22"/>
                <w:lang w:val="en-US" w:eastAsia="en-US"/>
              </w:rPr>
            </w:r>
          </w:p>
          <w:p>
            <w:pPr>
              <w:pStyle w:val="10533"/>
              <w:pBdr/>
              <w:tabs>
                <w:tab w:val="clear" w:leader="none" w:pos="708"/>
                <w:tab w:val="left" w:leader="none" w:pos="3680"/>
              </w:tabs>
              <w:spacing/>
              <w:ind w:right="142"/>
              <w:jc w:val="center"/>
              <w:rPr>
                <w:rFonts w:eastAsia="Calibri"/>
                <w:szCs w:val="22"/>
                <w:lang w:eastAsia="en-US"/>
              </w:rPr>
            </w:pPr>
            <w:r>
              <w:rPr>
                <w:rFonts w:eastAsia="Calibri"/>
                <w:szCs w:val="22"/>
                <w:lang w:eastAsia="en-US"/>
              </w:rPr>
              <w:t xml:space="preserve">УТВЕРЖДАЮ</w:t>
            </w:r>
            <w:r>
              <w:rPr>
                <w:rFonts w:eastAsia="Calibri"/>
                <w:szCs w:val="22"/>
                <w:lang w:eastAsia="en-US"/>
              </w:rPr>
            </w:r>
          </w:p>
          <w:p>
            <w:pPr>
              <w:pStyle w:val="10533"/>
              <w:pBdr/>
              <w:tabs>
                <w:tab w:val="clear" w:leader="none" w:pos="708"/>
                <w:tab w:val="left" w:leader="none" w:pos="3680"/>
              </w:tabs>
              <w:spacing/>
              <w:ind w:right="142"/>
              <w:jc w:val="center"/>
              <w:rPr>
                <w:rFonts w:eastAsia="Calibri"/>
                <w:szCs w:val="22"/>
                <w:lang w:eastAsia="en-US"/>
              </w:rPr>
            </w:pPr>
            <w:r>
              <w:rPr>
                <w:rFonts w:eastAsia="Calibri"/>
                <w:szCs w:val="22"/>
                <w:lang w:eastAsia="en-US"/>
              </w:rPr>
              <w:t xml:space="preserve">Глава администрации муниципального образования Арсеньевский район </w:t>
            </w:r>
            <w:r>
              <w:rPr>
                <w:rFonts w:eastAsia="Calibri"/>
                <w:szCs w:val="22"/>
                <w:lang w:eastAsia="en-US"/>
              </w:rPr>
            </w:r>
          </w:p>
          <w:p>
            <w:pPr>
              <w:pStyle w:val="10533"/>
              <w:pBdr/>
              <w:tabs>
                <w:tab w:val="clear" w:leader="none" w:pos="708"/>
                <w:tab w:val="left" w:leader="none" w:pos="3680"/>
              </w:tabs>
              <w:spacing/>
              <w:ind w:right="142"/>
              <w:jc w:val="center"/>
              <w:rPr>
                <w:rFonts w:eastAsia="Calibri"/>
                <w:sz w:val="22"/>
                <w:szCs w:val="22"/>
                <w:lang w:eastAsia="en-US"/>
              </w:rPr>
            </w:pPr>
            <w:r>
              <w:rPr>
                <w:rFonts w:eastAsia="Calibri"/>
                <w:szCs w:val="22"/>
                <w:lang w:eastAsia="en-US"/>
              </w:rPr>
              <w:t xml:space="preserve">Макаров Игорь Николаевич</w:t>
            </w:r>
            <w:r>
              <w:rPr>
                <w:rFonts w:eastAsia="Calibri"/>
                <w:sz w:val="22"/>
                <w:szCs w:val="22"/>
                <w:lang w:eastAsia="en-US"/>
              </w:rPr>
              <w:t xml:space="preserve"> ____________/ </w:t>
            </w:r>
            <w:bookmarkStart w:id="0" w:name="_Hlk214488378"/>
            <w:r>
              <w:rPr>
                <w:rFonts w:eastAsia="Calibri"/>
                <w:szCs w:val="22"/>
                <w:lang w:eastAsia="en-US"/>
              </w:rPr>
              <w:t xml:space="preserve">Макаров </w:t>
            </w:r>
            <w:r>
              <w:rPr>
                <w:rFonts w:eastAsia="Calibri"/>
                <w:sz w:val="22"/>
                <w:szCs w:val="22"/>
                <w:lang w:eastAsia="en-US"/>
              </w:rPr>
              <w:t xml:space="preserve">И.Н.</w:t>
            </w:r>
            <w:bookmarkEnd w:id="0"/>
            <w:r>
              <w:rPr>
                <w:rFonts w:eastAsia="Calibri"/>
                <w:sz w:val="22"/>
                <w:szCs w:val="22"/>
                <w:lang w:eastAsia="en-US"/>
              </w:rPr>
              <w:t xml:space="preserve">/</w:t>
            </w:r>
            <w:r>
              <w:rPr>
                <w:rFonts w:eastAsia="Calibri"/>
                <w:sz w:val="22"/>
                <w:szCs w:val="22"/>
                <w:lang w:eastAsia="en-US"/>
              </w:rPr>
            </w:r>
          </w:p>
          <w:p>
            <w:pPr>
              <w:pStyle w:val="10533"/>
              <w:pBdr/>
              <w:spacing/>
              <w:ind w:right="142" w:firstLine="35"/>
              <w:jc w:val="center"/>
              <w:rPr>
                <w:rFonts w:eastAsia="Calibri"/>
                <w:sz w:val="22"/>
                <w:szCs w:val="22"/>
                <w:lang w:eastAsia="en-US"/>
              </w:rPr>
            </w:pPr>
            <w:r>
              <w:rPr>
                <w:rFonts w:eastAsia="Calibri"/>
                <w:sz w:val="22"/>
                <w:szCs w:val="22"/>
                <w:lang w:eastAsia="en-US"/>
              </w:rPr>
              <w:t xml:space="preserve">«___» _____________ 2026 г.</w:t>
            </w:r>
            <w:r>
              <w:rPr>
                <w:rFonts w:eastAsia="Calibri"/>
                <w:sz w:val="22"/>
                <w:szCs w:val="22"/>
                <w:lang w:eastAsia="en-US"/>
              </w:rPr>
            </w:r>
          </w:p>
          <w:p>
            <w:pPr>
              <w:pStyle w:val="10533"/>
              <w:pBdr/>
              <w:spacing/>
              <w:ind w:right="142"/>
              <w:jc w:val="center"/>
              <w:rPr>
                <w:rFonts w:eastAsia="Calibri"/>
                <w:szCs w:val="22"/>
                <w:lang w:eastAsia="en-US"/>
              </w:rPr>
            </w:pPr>
            <w:r>
              <w:rPr>
                <w:rFonts w:eastAsia="Calibri"/>
                <w:szCs w:val="22"/>
                <w:lang w:eastAsia="en-US"/>
              </w:rPr>
              <w:t xml:space="preserve">М.П.</w:t>
            </w:r>
            <w:r>
              <w:rPr>
                <w:rFonts w:eastAsia="Calibri"/>
                <w:szCs w:val="22"/>
                <w:lang w:eastAsia="en-US"/>
              </w:rPr>
            </w:r>
          </w:p>
        </w:tc>
      </w:tr>
      <w:tr>
        <w:trPr>
          <w:trHeight w:val="5595"/>
        </w:trPr>
        <w:tc>
          <w:tcPr>
            <w:gridSpan w:val="5"/>
            <w:tcBorders>
              <w:left w:val="single" w:color="2c67ae" w:sz="18" w:space="0"/>
              <w:right w:val="single" w:color="2c67ae" w:sz="18" w:space="0"/>
            </w:tcBorders>
            <w:tcW w:w="9355" w:type="dxa"/>
            <w:vAlign w:val="center"/>
          </w:tcPr>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t xml:space="preserve">Схема теплоснабжения </w:t>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t xml:space="preserve">муниципального образования Астаповское </w:t>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t xml:space="preserve">Арсеньевского муниципального района Тульской области на период до </w:t>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t xml:space="preserve">2038 года</w:t>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t xml:space="preserve">Обосновывающие материалы </w:t>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r>
            <w:r>
              <w:rPr>
                <w:rFonts w:eastAsia="Calibri"/>
                <w:b/>
                <w:color w:val="000000"/>
                <w:sz w:val="28"/>
                <w:szCs w:val="22"/>
                <w:lang w:eastAsia="ru-RU"/>
              </w:rPr>
            </w:r>
          </w:p>
          <w:p>
            <w:pPr>
              <w:pStyle w:val="10533"/>
              <w:pBdr/>
              <w:tabs>
                <w:tab w:val="clear" w:leader="none" w:pos="708"/>
                <w:tab w:val="left" w:leader="none" w:pos="3777"/>
                <w:tab w:val="center" w:leader="none" w:pos="4607"/>
              </w:tabs>
              <w:spacing/>
              <w:ind w:right="1559" w:left="1418"/>
              <w:jc w:val="center"/>
              <w:rPr>
                <w:rFonts w:eastAsia="Calibri"/>
                <w:b/>
                <w:color w:val="000000"/>
                <w:sz w:val="28"/>
                <w:szCs w:val="22"/>
                <w:lang w:eastAsia="ru-RU"/>
              </w:rPr>
            </w:pPr>
            <w:r>
              <w:rPr>
                <w:rFonts w:eastAsia="Calibri"/>
                <w:b/>
                <w:color w:val="000000"/>
                <w:sz w:val="28"/>
                <w:szCs w:val="22"/>
                <w:lang w:eastAsia="ru-RU"/>
              </w:rPr>
              <w:t xml:space="preserve">Глава 1-18 </w:t>
            </w:r>
            <w:r>
              <w:rPr>
                <w:rFonts w:eastAsia="Calibri"/>
                <w:b/>
                <w:color w:val="000000"/>
                <w:sz w:val="28"/>
                <w:szCs w:val="22"/>
                <w:lang w:eastAsia="ru-RU"/>
              </w:rPr>
            </w:r>
          </w:p>
          <w:p>
            <w:pPr>
              <w:pStyle w:val="10533"/>
              <w:pBdr/>
              <w:spacing/>
              <w:ind w:right="142"/>
              <w:jc w:val="center"/>
              <w:rPr>
                <w:rFonts w:eastAsia="Calibri"/>
                <w:b/>
                <w:color w:val="000000"/>
                <w:sz w:val="28"/>
                <w:szCs w:val="22"/>
                <w:lang w:eastAsia="ru-RU"/>
              </w:rPr>
            </w:pPr>
            <w:r>
              <w:rPr>
                <w:rFonts w:eastAsia="Calibri"/>
                <w:b/>
                <w:color w:val="000000"/>
                <w:sz w:val="28"/>
                <w:szCs w:val="22"/>
                <w:lang w:eastAsia="ru-RU"/>
              </w:rPr>
            </w:r>
            <w:r>
              <w:rPr>
                <w:rFonts w:eastAsia="Calibri"/>
                <w:b/>
                <w:color w:val="000000"/>
                <w:sz w:val="28"/>
                <w:szCs w:val="22"/>
                <w:lang w:eastAsia="ru-RU"/>
              </w:rPr>
            </w:r>
          </w:p>
        </w:tc>
      </w:tr>
      <w:tr>
        <w:trPr>
          <w:trHeight w:val="2394"/>
        </w:trPr>
        <w:tc>
          <w:tcPr>
            <w:gridSpan w:val="2"/>
            <w:tcBorders>
              <w:left w:val="single" w:color="2c67ae" w:sz="18" w:space="0"/>
            </w:tcBorders>
            <w:tcW w:w="3633" w:type="dxa"/>
            <w:vAlign w:val="center"/>
          </w:tcPr>
          <w:p>
            <w:pPr>
              <w:pStyle w:val="10533"/>
              <w:pBdr/>
              <w:spacing w:after="0" w:before="1680"/>
              <w:ind w:right="142"/>
              <w:jc w:val="center"/>
              <w:rPr>
                <w:rFonts w:eastAsia="Calibri"/>
                <w:szCs w:val="22"/>
                <w:lang w:eastAsia="en-US"/>
              </w:rPr>
            </w:pPr>
            <w:r>
              <w:rPr>
                <w:rFonts w:eastAsia="Calibri"/>
                <w:szCs w:val="22"/>
                <w:lang w:eastAsia="en-US"/>
              </w:rPr>
            </w:r>
            <w:r>
              <w:rPr>
                <w:rFonts w:eastAsia="Calibri"/>
                <w:szCs w:val="22"/>
                <w:lang w:eastAsia="en-US"/>
              </w:rPr>
            </w:r>
          </w:p>
        </w:tc>
        <w:tc>
          <w:tcPr>
            <w:tcBorders/>
            <w:tcW w:w="1460" w:type="dxa"/>
            <w:vAlign w:val="center"/>
          </w:tcPr>
          <w:p>
            <w:pPr>
              <w:pStyle w:val="10533"/>
              <w:pBdr/>
              <w:spacing w:after="0" w:before="1680"/>
              <w:ind w:right="142"/>
              <w:jc w:val="center"/>
              <w:rPr>
                <w:rFonts w:eastAsia="Calibri"/>
                <w:szCs w:val="22"/>
                <w:lang w:eastAsia="en-US"/>
              </w:rPr>
            </w:pPr>
            <w:r>
              <w:rPr>
                <w:rFonts w:eastAsia="Calibri"/>
                <w:szCs w:val="22"/>
                <w:lang w:eastAsia="en-US"/>
              </w:rPr>
            </w:r>
            <w:r>
              <w:rPr>
                <w:rFonts w:eastAsia="Calibri"/>
                <w:szCs w:val="22"/>
                <w:lang w:eastAsia="en-US"/>
              </w:rPr>
            </w:r>
          </w:p>
        </w:tc>
        <w:tc>
          <w:tcPr>
            <w:gridSpan w:val="2"/>
            <w:tcBorders>
              <w:right w:val="single" w:color="2c67ae" w:sz="18" w:space="0"/>
            </w:tcBorders>
            <w:tcW w:w="4262" w:type="dxa"/>
            <w:vAlign w:val="center"/>
          </w:tcPr>
          <w:p>
            <w:pPr>
              <w:pStyle w:val="10533"/>
              <w:pBdr/>
              <w:spacing/>
              <w:ind w:right="-250" w:left="-276"/>
              <w:jc w:val="center"/>
              <w:rPr>
                <w:rFonts w:eastAsia="Calibri"/>
                <w:szCs w:val="22"/>
                <w:lang w:eastAsia="en-US"/>
              </w:rPr>
            </w:pPr>
            <w:r>
              <w:rPr>
                <w:rFonts w:eastAsia="Calibri"/>
                <w:szCs w:val="22"/>
                <w:lang w:eastAsia="en-US"/>
              </w:rPr>
              <w:t xml:space="preserve">ИСПОЛНИТЕЛЬ</w:t>
            </w:r>
            <w:r>
              <w:rPr>
                <w:rFonts w:eastAsia="Calibri"/>
                <w:szCs w:val="22"/>
                <w:lang w:eastAsia="en-US"/>
              </w:rPr>
            </w:r>
          </w:p>
          <w:p>
            <w:pPr>
              <w:pStyle w:val="10533"/>
              <w:pBdr/>
              <w:spacing/>
              <w:ind w:right="-250" w:left="-276"/>
              <w:jc w:val="center"/>
              <w:rPr>
                <w:rFonts w:eastAsia="Calibri"/>
                <w:szCs w:val="22"/>
                <w:lang w:eastAsia="en-US"/>
              </w:rPr>
            </w:pPr>
            <w:r>
              <w:rPr>
                <w:rFonts w:eastAsia="Calibri"/>
                <w:szCs w:val="22"/>
                <w:lang w:eastAsia="en-US"/>
              </w:rPr>
              <w:t xml:space="preserve">Индивидуальный предприниматель</w:t>
            </w:r>
            <w:r>
              <w:rPr>
                <w:rFonts w:eastAsia="Calibri"/>
                <w:szCs w:val="22"/>
                <w:lang w:eastAsia="en-US"/>
              </w:rPr>
            </w:r>
          </w:p>
          <w:p>
            <w:pPr>
              <w:pStyle w:val="10533"/>
              <w:pBdr/>
              <w:spacing/>
              <w:ind w:right="-250" w:left="-276"/>
              <w:jc w:val="center"/>
              <w:rPr>
                <w:rFonts w:eastAsia="Calibri"/>
                <w:szCs w:val="22"/>
                <w:lang w:eastAsia="en-US"/>
              </w:rPr>
            </w:pPr>
            <w:r>
              <w:rPr>
                <w:rFonts w:eastAsia="Calibri"/>
                <w:szCs w:val="22"/>
                <w:lang w:eastAsia="en-US"/>
              </w:rPr>
              <w:t xml:space="preserve">Крылов Иван Васильевич</w:t>
            </w:r>
            <w:r>
              <w:rPr>
                <w:rFonts w:eastAsia="Calibri"/>
                <w:szCs w:val="22"/>
                <w:lang w:eastAsia="en-US"/>
              </w:rPr>
            </w:r>
          </w:p>
          <w:p>
            <w:pPr>
              <w:pStyle w:val="10533"/>
              <w:pBdr/>
              <w:spacing/>
              <w:ind w:right="-250" w:left="-276"/>
              <w:jc w:val="center"/>
              <w:rPr>
                <w:rFonts w:eastAsia="Calibri"/>
                <w:szCs w:val="22"/>
                <w:lang w:eastAsia="en-US"/>
              </w:rPr>
            </w:pPr>
            <w:r>
              <w:rPr>
                <w:rFonts w:eastAsia="Calibri"/>
                <w:szCs w:val="22"/>
                <w:lang w:eastAsia="en-US"/>
              </w:rPr>
            </w:r>
            <w:r>
              <w:rPr>
                <w:rFonts w:eastAsia="Calibri"/>
                <w:szCs w:val="22"/>
                <w:lang w:eastAsia="en-US"/>
              </w:rPr>
            </w:r>
          </w:p>
          <w:p>
            <w:pPr>
              <w:pStyle w:val="10533"/>
              <w:pBdr/>
              <w:spacing/>
              <w:ind w:right="-250" w:left="-276"/>
              <w:jc w:val="center"/>
              <w:rPr>
                <w:rFonts w:eastAsia="Calibri"/>
                <w:szCs w:val="22"/>
                <w:lang w:eastAsia="en-US"/>
              </w:rPr>
            </w:pPr>
            <w:r>
              <w:rPr>
                <w:rFonts w:eastAsia="Calibri"/>
                <w:szCs w:val="22"/>
                <w:lang w:eastAsia="en-US"/>
              </w:rPr>
              <w:t xml:space="preserve">____________/Крылов И.В./</w:t>
            </w:r>
            <w:r>
              <w:rPr>
                <w:rFonts w:eastAsia="Calibri"/>
                <w:szCs w:val="22"/>
                <w:lang w:eastAsia="en-US"/>
              </w:rPr>
            </w:r>
          </w:p>
          <w:p>
            <w:pPr>
              <w:pStyle w:val="10533"/>
              <w:pBdr/>
              <w:spacing/>
              <w:ind w:right="-250" w:left="-276"/>
              <w:jc w:val="center"/>
              <w:rPr>
                <w:rFonts w:eastAsia="Calibri"/>
                <w:szCs w:val="22"/>
                <w:lang w:eastAsia="en-US"/>
              </w:rPr>
            </w:pPr>
            <w:r>
              <w:rPr>
                <w:rFonts w:eastAsia="Calibri"/>
                <w:szCs w:val="22"/>
                <w:lang w:eastAsia="en-US"/>
              </w:rPr>
              <w:t xml:space="preserve">«___» _____________ 2026 г.</w:t>
            </w:r>
            <w:r>
              <w:rPr>
                <w:rFonts w:eastAsia="Calibri"/>
                <w:szCs w:val="22"/>
                <w:lang w:eastAsia="en-US"/>
              </w:rPr>
            </w:r>
          </w:p>
          <w:p>
            <w:pPr>
              <w:pStyle w:val="10533"/>
              <w:pBdr/>
              <w:spacing/>
              <w:ind w:right="-250" w:left="-276"/>
              <w:jc w:val="center"/>
              <w:rPr>
                <w:rFonts w:eastAsia="Calibri"/>
                <w:szCs w:val="22"/>
                <w:lang w:eastAsia="en-US"/>
              </w:rPr>
            </w:pPr>
            <w:r>
              <w:rPr>
                <w:rFonts w:eastAsia="Calibri"/>
                <w:szCs w:val="22"/>
                <w:lang w:eastAsia="en-US"/>
              </w:rPr>
              <w:t xml:space="preserve">М.П.</w:t>
            </w:r>
            <w:r>
              <w:rPr>
                <w:rFonts w:eastAsia="Calibri"/>
                <w:szCs w:val="22"/>
                <w:lang w:eastAsia="en-US"/>
              </w:rPr>
            </w:r>
          </w:p>
        </w:tc>
      </w:tr>
      <w:tr>
        <w:trPr>
          <w:trHeight w:val="1169"/>
        </w:trPr>
        <w:tc>
          <w:tcPr>
            <w:gridSpan w:val="5"/>
            <w:tcBorders>
              <w:left w:val="single" w:color="2c67ae" w:sz="18" w:space="0"/>
              <w:bottom w:val="single" w:color="2c67ae" w:sz="18" w:space="0"/>
              <w:right w:val="single" w:color="2c67ae" w:sz="18" w:space="0"/>
            </w:tcBorders>
            <w:tcW w:w="9355" w:type="dxa"/>
            <w:vAlign w:val="center"/>
          </w:tcPr>
          <w:p>
            <w:pPr>
              <w:pStyle w:val="10533"/>
              <w:pBdr/>
              <w:spacing/>
              <w:ind w:right="142"/>
              <w:jc w:val="center"/>
              <w:rPr>
                <w:rFonts w:eastAsia="Calibri"/>
                <w:color w:val="000000"/>
                <w:szCs w:val="22"/>
                <w:lang w:eastAsia="ru-RU"/>
              </w:rPr>
            </w:pPr>
            <w:r>
              <w:rPr>
                <w:rFonts w:eastAsia="Calibri"/>
                <w:color w:val="000000"/>
                <w:szCs w:val="22"/>
                <w:lang w:eastAsia="ru-RU"/>
              </w:rPr>
            </w:r>
            <w:r>
              <w:rPr>
                <w:rFonts w:eastAsia="Calibri"/>
                <w:color w:val="000000"/>
                <w:szCs w:val="22"/>
                <w:lang w:eastAsia="ru-RU"/>
              </w:rPr>
            </w:r>
          </w:p>
          <w:p>
            <w:pPr>
              <w:pStyle w:val="10533"/>
              <w:pBdr/>
              <w:spacing/>
              <w:ind w:right="142"/>
              <w:jc w:val="center"/>
              <w:rPr>
                <w:rFonts w:eastAsia="Calibri"/>
                <w:color w:val="000000"/>
                <w:szCs w:val="22"/>
                <w:lang w:eastAsia="ru-RU"/>
              </w:rPr>
            </w:pPr>
            <w:r>
              <w:rPr>
                <w:rFonts w:eastAsia="Calibri"/>
                <w:color w:val="000000"/>
                <w:szCs w:val="22"/>
                <w:lang w:eastAsia="ru-RU"/>
              </w:rPr>
            </w:r>
            <w:r>
              <w:rPr>
                <w:rFonts w:eastAsia="Calibri"/>
                <w:color w:val="000000"/>
                <w:szCs w:val="22"/>
                <w:lang w:eastAsia="ru-RU"/>
              </w:rPr>
            </w:r>
          </w:p>
          <w:p>
            <w:pPr>
              <w:pStyle w:val="10533"/>
              <w:pBdr/>
              <w:spacing/>
              <w:ind w:right="142"/>
              <w:jc w:val="center"/>
              <w:rPr>
                <w:rFonts w:eastAsia="Calibri"/>
                <w:color w:val="000000"/>
                <w:szCs w:val="22"/>
                <w:lang w:eastAsia="ru-RU"/>
              </w:rPr>
            </w:pPr>
            <w:r>
              <w:rPr>
                <w:rFonts w:eastAsia="Calibri"/>
                <w:color w:val="000000"/>
                <w:szCs w:val="22"/>
                <w:lang w:eastAsia="ru-RU"/>
              </w:rPr>
            </w:r>
            <w:r>
              <w:rPr>
                <w:rFonts w:eastAsia="Calibri"/>
                <w:color w:val="000000"/>
                <w:szCs w:val="22"/>
                <w:lang w:eastAsia="ru-RU"/>
              </w:rPr>
            </w:r>
          </w:p>
          <w:p>
            <w:pPr>
              <w:pStyle w:val="10533"/>
              <w:pBdr/>
              <w:spacing/>
              <w:ind w:right="142"/>
              <w:jc w:val="center"/>
              <w:rPr>
                <w:rFonts w:eastAsia="Calibri"/>
                <w:color w:val="000000"/>
                <w:szCs w:val="22"/>
                <w:lang w:eastAsia="ru-RU"/>
              </w:rPr>
            </w:pPr>
            <w:r>
              <w:rPr>
                <w:rFonts w:eastAsia="Calibri"/>
                <w:color w:val="000000"/>
                <w:szCs w:val="22"/>
                <w:lang w:eastAsia="ru-RU"/>
              </w:rPr>
            </w:r>
            <w:r>
              <w:rPr>
                <w:rFonts w:eastAsia="Calibri"/>
                <w:color w:val="000000"/>
                <w:szCs w:val="22"/>
                <w:lang w:eastAsia="ru-RU"/>
              </w:rPr>
            </w:r>
          </w:p>
          <w:p>
            <w:pPr>
              <w:pStyle w:val="10533"/>
              <w:pBdr/>
              <w:spacing/>
              <w:ind w:right="142"/>
              <w:jc w:val="center"/>
              <w:rPr>
                <w:rFonts w:eastAsia="Calibri"/>
                <w:color w:val="000000"/>
                <w:szCs w:val="22"/>
                <w:lang w:eastAsia="ru-RU"/>
              </w:rPr>
            </w:pPr>
            <w:r>
              <w:rPr>
                <w:rFonts w:eastAsia="Calibri"/>
                <w:color w:val="000000"/>
                <w:szCs w:val="22"/>
                <w:lang w:eastAsia="ru-RU"/>
              </w:rPr>
            </w:r>
            <w:r>
              <w:rPr>
                <w:rFonts w:eastAsia="Calibri"/>
                <w:color w:val="000000"/>
                <w:szCs w:val="22"/>
                <w:lang w:eastAsia="ru-RU"/>
              </w:rPr>
            </w:r>
          </w:p>
          <w:p>
            <w:pPr>
              <w:pStyle w:val="10533"/>
              <w:pBdr/>
              <w:spacing/>
              <w:ind w:right="142"/>
              <w:jc w:val="center"/>
              <w:rPr>
                <w:rFonts w:eastAsia="Calibri"/>
                <w:color w:val="000000"/>
                <w:szCs w:val="22"/>
                <w:lang w:eastAsia="ru-RU"/>
              </w:rPr>
            </w:pPr>
            <w:r>
              <w:rPr>
                <w:rFonts w:eastAsia="Calibri"/>
                <w:color w:val="000000"/>
                <w:szCs w:val="22"/>
                <w:lang w:eastAsia="ru-RU"/>
              </w:rPr>
              <w:t xml:space="preserve">г. Вологда</w:t>
            </w:r>
            <w:r>
              <w:rPr>
                <w:rFonts w:eastAsia="Calibri"/>
                <w:color w:val="000000"/>
                <w:szCs w:val="22"/>
                <w:lang w:eastAsia="ru-RU"/>
              </w:rPr>
            </w:r>
          </w:p>
          <w:p>
            <w:pPr>
              <w:pStyle w:val="10533"/>
              <w:pBdr/>
              <w:spacing/>
              <w:ind w:right="142"/>
              <w:jc w:val="center"/>
              <w:rPr>
                <w:rFonts w:eastAsia="Calibri"/>
                <w:color w:val="000000"/>
                <w:szCs w:val="22"/>
                <w:lang w:eastAsia="ru-RU"/>
              </w:rPr>
            </w:pPr>
            <w:r>
              <w:rPr>
                <w:rFonts w:eastAsia="Calibri"/>
                <w:color w:val="000000"/>
                <w:szCs w:val="22"/>
                <w:lang w:eastAsia="ru-RU"/>
              </w:rPr>
              <w:t xml:space="preserve">2026 год</w:t>
            </w:r>
            <w:r>
              <w:rPr>
                <w:rFonts w:eastAsia="Calibri"/>
                <w:color w:val="000000"/>
                <w:szCs w:val="22"/>
                <w:lang w:eastAsia="ru-RU"/>
              </w:rPr>
            </w:r>
          </w:p>
          <w:p>
            <w:pPr>
              <w:pStyle w:val="10533"/>
              <w:pBdr/>
              <w:spacing/>
              <w:ind w:right="142"/>
              <w:jc w:val="center"/>
              <w:rPr>
                <w:rFonts w:eastAsia="Calibri"/>
                <w:szCs w:val="22"/>
                <w:lang w:val="en-US" w:eastAsia="en-US"/>
              </w:rPr>
            </w:pPr>
            <w:r>
              <w:rPr>
                <w:rFonts w:eastAsia="Calibri"/>
                <w:szCs w:val="22"/>
                <w:lang w:val="en-US" w:eastAsia="en-US"/>
              </w:rPr>
            </w:r>
            <w:r>
              <w:rPr>
                <w:rFonts w:eastAsia="Calibri"/>
                <w:szCs w:val="22"/>
                <w:lang w:val="en-US" w:eastAsia="en-US"/>
              </w:rPr>
            </w:r>
          </w:p>
        </w:tc>
      </w:tr>
    </w:tbl>
    <w:p>
      <w:pPr>
        <w:pStyle w:val="10533"/>
        <w:pBdr/>
        <w:spacing w:after="200" w:before="0"/>
        <w:ind/>
        <w:rPr>
          <w:rFonts w:eastAsia="宋体" w:eastAsiaTheme="minorEastAsia"/>
          <w:b/>
          <w:sz w:val="22"/>
          <w:lang w:eastAsia="ru-RU"/>
        </w:rPr>
      </w:pPr>
      <w:r>
        <w:rPr>
          <w:rFonts w:eastAsia="宋体" w:eastAsiaTheme="minorEastAsia"/>
          <w:b/>
          <w:sz w:val="22"/>
          <w:lang w:eastAsia="ru-RU"/>
        </w:rPr>
      </w:r>
      <w:r>
        <w:rPr>
          <w:rFonts w:eastAsia="宋体" w:eastAsiaTheme="minorEastAsia"/>
          <w:b/>
          <w:sz w:val="22"/>
          <w:lang w:eastAsia="ru-RU"/>
        </w:rPr>
      </w:r>
    </w:p>
    <w:p>
      <w:pPr>
        <w:pStyle w:val="10533"/>
        <w:pBdr/>
        <w:spacing/>
        <w:ind/>
        <w:rPr>
          <w:rFonts w:eastAsia="Calibri"/>
          <w:b/>
          <w:lang w:eastAsia="en-US"/>
        </w:rPr>
      </w:pPr>
      <w:r>
        <w:rPr>
          <w:rFonts w:eastAsia="Calibri"/>
          <w:b/>
          <w:lang w:eastAsia="en-US"/>
        </w:rPr>
      </w:r>
      <w:r>
        <w:rPr>
          <w:rFonts w:eastAsia="Calibri"/>
          <w:b/>
          <w:lang w:eastAsia="en-US"/>
        </w:rPr>
      </w:r>
    </w:p>
    <w:p>
      <w:pPr>
        <w:pStyle w:val="10533"/>
        <w:pBdr/>
        <w:spacing/>
        <w:ind/>
        <w:rPr>
          <w:rFonts w:eastAsia="Calibri"/>
          <w:b/>
          <w:lang w:eastAsia="en-US"/>
        </w:rPr>
      </w:pPr>
      <w:r>
        <w:rPr>
          <w:rFonts w:eastAsia="Calibri"/>
          <w:b/>
          <w:lang w:eastAsia="en-US"/>
        </w:rPr>
      </w:r>
      <w:r>
        <w:rPr>
          <w:rFonts w:eastAsia="Calibri"/>
          <w:b/>
          <w:lang w:eastAsia="en-US"/>
        </w:rPr>
      </w:r>
    </w:p>
    <w:p>
      <w:pPr>
        <w:pStyle w:val="10533"/>
        <w:pBdr/>
        <w:spacing/>
        <w:ind/>
        <w:rPr>
          <w:rFonts w:eastAsia="Calibri"/>
          <w:b/>
          <w:lang w:eastAsia="en-US"/>
        </w:rPr>
      </w:pPr>
      <w:r>
        <w:rPr>
          <w:rFonts w:eastAsia="Calibri"/>
          <w:b/>
          <w:lang w:eastAsia="en-US"/>
        </w:rPr>
      </w:r>
      <w:r/>
      <w:r/>
      <w:r/>
      <w:bookmarkStart w:id="4" w:name="_Hlk213921844"/>
      <w:r/>
      <w:bookmarkStart w:id="5" w:name="_Hlk209466448"/>
      <w:r/>
      <w:bookmarkStart w:id="6" w:name="_Hlk205320096"/>
      <w:r/>
      <w:bookmarkEnd w:id="4"/>
      <w:r/>
      <w:bookmarkEnd w:id="5"/>
      <w:r/>
      <w:bookmarkEnd w:id="6"/>
      <w:r/>
      <w:r>
        <w:rPr>
          <w:rFonts w:eastAsia="Calibri"/>
          <w:b/>
          <w:lang w:eastAsia="en-US"/>
        </w:rPr>
      </w:r>
    </w:p>
    <w:p>
      <w:pPr>
        <w:pStyle w:val="10533"/>
        <w:pBdr/>
        <w:spacing w:after="200" w:before="0"/>
        <w:ind/>
        <w:rPr>
          <w:rFonts w:eastAsia="Calibri"/>
          <w:b/>
          <w:sz w:val="22"/>
          <w:lang w:eastAsia="en-US"/>
        </w:rPr>
      </w:pPr>
      <w:r>
        <w:rPr>
          <w:rFonts w:eastAsia="Calibri"/>
          <w:b/>
          <w:sz w:val="22"/>
          <w:lang w:eastAsia="en-US"/>
        </w:rPr>
      </w:r>
      <w:r>
        <w:rPr>
          <w:rFonts w:eastAsia="Calibri"/>
          <w:b/>
          <w:sz w:val="22"/>
          <w:lang w:eastAsia="en-US"/>
        </w:rPr>
      </w:r>
    </w:p>
    <w:p>
      <w:pPr>
        <w:pStyle w:val="10533"/>
        <w:pBdr/>
        <w:spacing w:after="200" w:before="0"/>
        <w:ind/>
        <w:rPr>
          <w:rFonts w:eastAsia="Calibri"/>
          <w:b/>
          <w:sz w:val="22"/>
          <w:lang w:eastAsia="en-US"/>
        </w:rPr>
      </w:pPr>
      <w:r>
        <w:rPr>
          <w:rFonts w:eastAsia="Calibri"/>
          <w:b/>
          <w:sz w:val="22"/>
          <w:lang w:eastAsia="en-US"/>
        </w:rPr>
        <w:t xml:space="preserve">Заказчик: </w:t>
      </w:r>
      <w:r>
        <w:rPr>
          <w:rFonts w:eastAsia="Calibri"/>
          <w:b/>
          <w:sz w:val="22"/>
          <w:lang w:eastAsia="en-US"/>
        </w:rPr>
      </w:r>
    </w:p>
    <w:p>
      <w:pPr>
        <w:pStyle w:val="10533"/>
        <w:pBdr/>
        <w:spacing w:after="200" w:before="0"/>
        <w:ind/>
        <w:rPr>
          <w:rFonts w:eastAsia="Calibri"/>
          <w:b/>
          <w:sz w:val="22"/>
          <w:lang w:eastAsia="en-US"/>
        </w:rPr>
      </w:pPr>
      <w:r>
        <w:rPr>
          <w:rFonts w:eastAsia="Calibri"/>
          <w:b/>
          <w:sz w:val="22"/>
          <w:lang w:eastAsia="en-US"/>
        </w:rPr>
        <w:t xml:space="preserve">Администрация муниципального образования  Арсеньевского муниципального района Тульской области </w:t>
      </w:r>
      <w:r>
        <w:rPr>
          <w:rFonts w:eastAsia="Calibri"/>
          <w:b/>
          <w:sz w:val="22"/>
          <w:lang w:eastAsia="en-US"/>
        </w:rPr>
      </w:r>
    </w:p>
    <w:p>
      <w:pPr>
        <w:pStyle w:val="10533"/>
        <w:pBdr/>
        <w:spacing w:after="200" w:before="0"/>
        <w:ind/>
        <w:rPr>
          <w:rFonts w:eastAsia="Calibri"/>
          <w:b/>
          <w:sz w:val="22"/>
          <w:lang w:eastAsia="en-US"/>
        </w:rPr>
      </w:pPr>
      <w:r>
        <w:rPr>
          <w:rFonts w:eastAsia="Calibri"/>
          <w:b/>
          <w:sz w:val="22"/>
          <w:lang w:eastAsia="en-US"/>
        </w:rPr>
        <w:t xml:space="preserve">Юридический адрес: </w:t>
      </w:r>
      <w:r>
        <w:rPr>
          <w:rFonts w:eastAsia="Calibri"/>
          <w:sz w:val="22"/>
          <w:lang w:eastAsia="en-US"/>
        </w:rPr>
        <w:t xml:space="preserve">301510, Тульская область, Арсеньевский район, рабочий поселок Арсеньево, ул. Папанина, д. 6</w:t>
      </w:r>
      <w:r>
        <w:rPr>
          <w:rFonts w:eastAsia="Calibri"/>
          <w:b/>
          <w:sz w:val="22"/>
          <w:lang w:eastAsia="en-US"/>
        </w:rPr>
      </w:r>
    </w:p>
    <w:p>
      <w:pPr>
        <w:pStyle w:val="10533"/>
        <w:pBdr/>
        <w:spacing w:after="200" w:before="0"/>
        <w:ind/>
        <w:rPr>
          <w:rFonts w:eastAsia="Calibri"/>
          <w:sz w:val="22"/>
          <w:lang w:eastAsia="en-US"/>
        </w:rPr>
      </w:pPr>
      <w:r>
        <w:rPr>
          <w:rFonts w:eastAsia="Calibri"/>
          <w:b/>
          <w:sz w:val="22"/>
          <w:lang w:eastAsia="en-US"/>
        </w:rPr>
        <w:t xml:space="preserve">Фактический адрес </w:t>
      </w:r>
      <w:r>
        <w:rPr>
          <w:rFonts w:eastAsia="Calibri"/>
          <w:sz w:val="22"/>
          <w:lang w:eastAsia="en-US"/>
        </w:rPr>
        <w:t xml:space="preserve">301510, Тульская область, Арсеньевский район, рабочий поселок Арсеньево, ул. Папанина, д. 6</w:t>
      </w:r>
      <w:r>
        <w:rPr>
          <w:rFonts w:eastAsia="Calibri"/>
          <w:sz w:val="22"/>
          <w:lang w:eastAsia="en-US"/>
        </w:rPr>
      </w:r>
    </w:p>
    <w:p>
      <w:pPr>
        <w:pStyle w:val="10533"/>
        <w:pBdr/>
        <w:spacing w:after="200" w:before="0"/>
        <w:ind/>
        <w:rPr>
          <w:rFonts w:eastAsia="Calibri"/>
          <w:sz w:val="22"/>
          <w:lang w:eastAsia="en-US"/>
        </w:rPr>
      </w:pPr>
      <w:r>
        <w:rPr>
          <w:rFonts w:eastAsia="Calibri"/>
          <w:sz w:val="22"/>
          <w:lang w:eastAsia="en-US"/>
        </w:rPr>
      </w:r>
      <w:r>
        <w:rPr>
          <w:rFonts w:eastAsia="Calibri"/>
          <w:sz w:val="22"/>
          <w:lang w:eastAsia="en-US"/>
        </w:rPr>
      </w:r>
    </w:p>
    <w:p>
      <w:pPr>
        <w:pStyle w:val="10533"/>
        <w:pBdr/>
        <w:spacing w:after="200" w:before="0"/>
        <w:ind/>
        <w:rPr>
          <w:rFonts w:eastAsia="宋体" w:eastAsiaTheme="minorEastAsia"/>
          <w:sz w:val="22"/>
          <w:lang w:eastAsia="ru-RU"/>
        </w:rPr>
      </w:pPr>
      <w:r>
        <w:rPr>
          <w:rFonts w:eastAsia="Calibri"/>
          <w:b/>
          <w:sz w:val="22"/>
          <w:lang w:eastAsia="en-US"/>
        </w:rPr>
        <w:t xml:space="preserve">_________________ </w:t>
      </w:r>
      <w:r>
        <w:rPr>
          <w:rFonts w:eastAsia="Calibri"/>
          <w:b/>
          <w:bCs/>
          <w:iCs/>
          <w:lang w:eastAsia="en-US"/>
        </w:rPr>
        <w:t xml:space="preserve">Макаров И.Н.</w:t>
      </w:r>
      <w:r>
        <w:rPr>
          <w:rFonts w:eastAsia="宋体" w:eastAsiaTheme="minorEastAsia"/>
          <w:sz w:val="22"/>
          <w:lang w:eastAsia="ru-RU"/>
        </w:rPr>
      </w:r>
    </w:p>
    <w:p>
      <w:pPr>
        <w:pStyle w:val="10533"/>
        <w:pBdr/>
        <w:spacing/>
        <w:ind/>
        <w:rPr>
          <w:b/>
        </w:rPr>
      </w:pPr>
      <w:r>
        <w:rPr>
          <w:b/>
        </w:rPr>
      </w:r>
      <w:r>
        <w:rPr>
          <w:b/>
        </w:rPr>
      </w:r>
    </w:p>
    <w:p>
      <w:pPr>
        <w:pStyle w:val="10533"/>
        <w:pBdr/>
        <w:spacing/>
        <w:ind/>
        <w:rPr>
          <w:b/>
        </w:rPr>
      </w:pPr>
      <w:r>
        <w:rPr>
          <w:b/>
        </w:rPr>
      </w:r>
      <w:r>
        <w:rPr>
          <w:b/>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bCs/>
          <w:caps/>
        </w:rPr>
      </w:pPr>
      <w:r>
        <w:rPr>
          <w:b/>
          <w:bCs/>
          <w:caps/>
        </w:rPr>
      </w:r>
      <w:r>
        <w:rPr>
          <w:b/>
          <w:bCs/>
          <w:caps/>
        </w:rPr>
      </w:r>
    </w:p>
    <w:p>
      <w:pPr>
        <w:pStyle w:val="10533"/>
        <w:pBdr/>
        <w:spacing/>
        <w:ind/>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spacing/>
        <w:ind/>
        <w:jc w:val="center"/>
        <w:rPr>
          <w:b/>
          <w:sz w:val="26"/>
          <w:szCs w:val="26"/>
        </w:rPr>
      </w:pPr>
      <w:r>
        <w:rPr>
          <w:b/>
          <w:sz w:val="26"/>
          <w:szCs w:val="26"/>
        </w:rPr>
      </w:r>
      <w:r>
        <w:rPr>
          <w:b/>
          <w:sz w:val="26"/>
          <w:szCs w:val="26"/>
        </w:rPr>
      </w:r>
    </w:p>
    <w:p>
      <w:pPr>
        <w:pStyle w:val="10533"/>
        <w:pBdr/>
        <w:tabs>
          <w:tab w:val="clear" w:leader="none" w:pos="708"/>
          <w:tab w:val="right" w:leader="dot" w:pos="9637"/>
        </w:tabs>
        <w:spacing/>
        <w:ind/>
        <w:jc w:val="both"/>
        <w:rPr>
          <w:bCs/>
          <w:iCs/>
        </w:rPr>
      </w:pPr>
      <w:r>
        <w:rPr>
          <w:bCs/>
          <w:iCs/>
        </w:rPr>
      </w:r>
      <w:r/>
      <w:r/>
      <w:r/>
      <w:r/>
      <w:r/>
      <w:r/>
      <w:r/>
      <w:bookmarkStart w:id="14" w:name="_Toc297816582"/>
      <w:r/>
      <w:bookmarkStart w:id="15" w:name="_Toc84970921"/>
      <w:r/>
      <w:r/>
      <w:bookmarkStart w:id="17" w:name="_Toc334207151"/>
      <w:r/>
      <w:r/>
      <w:r/>
      <w:bookmarkStart w:id="20" w:name="_Toc333913957"/>
      <w:r/>
      <w:bookmarkEnd w:id="14"/>
      <w:r/>
      <w:bookmarkEnd w:id="15"/>
      <w:r/>
      <w:bookmarkEnd w:id="17"/>
      <w:r/>
      <w:bookmarkEnd w:id="20"/>
      <w:r/>
      <w:r>
        <w:rPr>
          <w:bCs/>
          <w:iCs/>
        </w:rPr>
      </w:r>
    </w:p>
    <w:p>
      <w:pPr>
        <w:pBdr/>
        <w:spacing/>
        <w:ind/>
        <w:rPr/>
        <w:sectPr>
          <w:headerReference w:type="default" r:id="rId9"/>
          <w:headerReference w:type="even" r:id="rId10"/>
          <w:headerReference w:type="first" r:id="rId11"/>
          <w:footerReference w:type="default" r:id="rId274"/>
          <w:footerReference w:type="even" r:id="rId275"/>
          <w:footerReference w:type="first" r:id="rId276"/>
          <w:footnotePr/>
          <w:endnotePr/>
          <w:type w:val="nextPage"/>
          <w:pgSz w:h="16838" w:orient="portrait" w:w="11906"/>
          <w:pgMar w:top="1134" w:right="850" w:bottom="1134" w:left="1701" w:header="680" w:footer="340" w:gutter="0"/>
          <w:cols w:num="1" w:sep="0" w:space="1701" w:equalWidth="1"/>
          <w:titlePg/>
        </w:sectPr>
      </w:pPr>
      <w:r/>
      <w:r/>
    </w:p>
    <w:sdt>
      <w:sdtPr>
        <w15:appearance w15:val="boundingBox"/>
        <w:docPartObj>
          <w:docPartGallery w:val="Table of Contents"/>
          <w:docPartUnique w:val="true"/>
        </w:docPartObj>
        <w:rPr/>
      </w:sdtPr>
      <w:sdtContent>
        <w:p>
          <w:pPr>
            <w:pStyle w:val="11087"/>
            <w:pBdr/>
            <w:spacing w:after="0" w:before="0" w:line="240" w:lineRule="auto"/>
            <w:ind w:firstLine="0" w:left="0"/>
            <w:contextualSpacing w:val="true"/>
            <w:jc w:val="both"/>
            <w:rPr>
              <w:b w:val="0"/>
              <w:spacing w:val="0"/>
              <w:sz w:val="22"/>
              <w:szCs w:val="22"/>
            </w:rPr>
          </w:pPr>
          <w:r>
            <w:rPr>
              <w:b w:val="0"/>
              <w:spacing w:val="0"/>
              <w:sz w:val="22"/>
              <w:szCs w:val="22"/>
            </w:rPr>
            <w:t xml:space="preserve">Оглавление</w:t>
          </w:r>
          <w:r>
            <w:rPr>
              <w:b w:val="0"/>
              <w:spacing w:val="0"/>
              <w:sz w:val="22"/>
              <w:szCs w:val="22"/>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fldChar w:fldCharType="begin"/>
          </w:r>
          <w:r>
            <w:rPr>
              <w:rStyle w:val="11053"/>
              <w:rFonts w:ascii="Times New Roman" w:hAnsi="Times New Roman" w:cs="Times New Roman"/>
              <w:bCs w:val="0"/>
              <w:sz w:val="22"/>
              <w:szCs w:val="22"/>
            </w:rPr>
            <w:instrText xml:space="preserve"> TOC \z \o "1-3" \u \h</w:instrText>
          </w:r>
          <w:r>
            <w:rPr>
              <w:rStyle w:val="11053"/>
              <w:rFonts w:ascii="Times New Roman" w:hAnsi="Times New Roman" w:cs="Times New Roman"/>
              <w:bCs w:val="0"/>
              <w:sz w:val="22"/>
              <w:szCs w:val="22"/>
            </w:rPr>
            <w:fldChar w:fldCharType="separate"/>
          </w:r>
          <w:hyperlink w:tooltip="#_Toc198483472" w:anchor="_Toc198483472" w:history="1">
            <w:r>
              <w:rPr>
                <w:rStyle w:val="11053"/>
                <w:rFonts w:ascii="Times New Roman" w:hAnsi="Times New Roman" w:cs="Times New Roman"/>
                <w:bCs w:val="0"/>
                <w:sz w:val="22"/>
                <w:szCs w:val="22"/>
              </w:rPr>
              <w:t xml:space="preserve">ГЛАВА 1. "СУЩЕСТВУЮЩЕЕ ПОЛОЖЕНИЕ В СФЕРЕ ПРОИЗВОДСТВА, ПЕРЕДАЧИ И ПОТРЕБЛЕНИЯ ТЕПЛОВОЙ ЭНЕРГИИ ДЛЯ ЦЕЛЕЙ ТЕПЛОСНАБЖЕНИЯ"</w:t>
            </w:r>
            <w:r>
              <w:fldChar w:fldCharType="begin"/>
            </w:r>
            <w:r>
              <w:instrText xml:space="preserve">PAGEREF _Toc198483472 \h</w:instrText>
            </w:r>
            <w:r>
              <w:fldChar w:fldCharType="separate"/>
            </w:r>
            <w:r>
              <w:rPr>
                <w:rStyle w:val="11053"/>
                <w:rFonts w:ascii="Times New Roman" w:hAnsi="Times New Roman" w:cs="Times New Roman"/>
                <w:bCs w:val="0"/>
                <w:vanish w:val="0"/>
                <w:sz w:val="22"/>
                <w:szCs w:val="22"/>
              </w:rPr>
              <w:tab/>
              <w:t xml:space="preserve">20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473" w:anchor="_Toc198483473"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Функциональная структура теплоснабжения</w:t>
            </w:r>
            <w:r>
              <w:fldChar w:fldCharType="begin"/>
            </w:r>
            <w:r>
              <w:instrText xml:space="preserve">PAGEREF _Toc198483473 \h</w:instrText>
            </w:r>
            <w:r>
              <w:fldChar w:fldCharType="separate"/>
            </w:r>
            <w:r>
              <w:rPr>
                <w:rStyle w:val="11053"/>
                <w:rFonts w:ascii="Times New Roman" w:hAnsi="Times New Roman" w:cs="Times New Roman"/>
                <w:bCs w:val="0"/>
                <w:vanish w:val="0"/>
                <w:sz w:val="22"/>
                <w:szCs w:val="22"/>
              </w:rPr>
              <w:tab/>
              <w:t xml:space="preserve">20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74" w:anchor="_Toc198483474" w:history="1">
            <w:r>
              <w:rPr>
                <w:rStyle w:val="11053"/>
                <w:rFonts w:ascii="Times New Roman" w:hAnsi="Times New Roman" w:cs="Times New Roman"/>
                <w:bCs w:val="0"/>
                <w:sz w:val="22"/>
              </w:rPr>
              <w:t xml:space="preserve">1.1.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структуры договорных отношений между теплоснабжающими и теплосетевыми организациями</w:t>
            </w:r>
            <w:r>
              <w:fldChar w:fldCharType="begin"/>
            </w:r>
            <w:r>
              <w:instrText xml:space="preserve">PAGEREF _Toc198483474 \h</w:instrText>
            </w:r>
            <w:r>
              <w:fldChar w:fldCharType="separate"/>
            </w:r>
            <w:r>
              <w:rPr>
                <w:rStyle w:val="11053"/>
                <w:rFonts w:ascii="Times New Roman" w:hAnsi="Times New Roman" w:cs="Times New Roman"/>
                <w:bCs w:val="0"/>
                <w:vanish w:val="0"/>
                <w:sz w:val="22"/>
              </w:rPr>
              <w:tab/>
              <w:t xml:space="preserve">24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75" w:anchor="_Toc198483475" w:history="1">
            <w:r>
              <w:rPr>
                <w:rStyle w:val="11053"/>
                <w:rFonts w:ascii="Times New Roman" w:hAnsi="Times New Roman" w:cs="Times New Roman"/>
                <w:bCs w:val="0"/>
                <w:sz w:val="22"/>
              </w:rPr>
              <w:t xml:space="preserve">1.2.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Зоны действия производственных котельных</w:t>
            </w:r>
            <w:r>
              <w:fldChar w:fldCharType="begin"/>
            </w:r>
            <w:r>
              <w:instrText xml:space="preserve">PAGEREF _Toc198483475 \h</w:instrText>
            </w:r>
            <w:r>
              <w:fldChar w:fldCharType="separate"/>
            </w:r>
            <w:r>
              <w:rPr>
                <w:rStyle w:val="11053"/>
                <w:rFonts w:ascii="Times New Roman" w:hAnsi="Times New Roman" w:cs="Times New Roman"/>
                <w:bCs w:val="0"/>
                <w:vanish w:val="0"/>
                <w:sz w:val="22"/>
              </w:rPr>
              <w:tab/>
              <w:t xml:space="preserve">26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76" w:anchor="_Toc198483476" w:history="1">
            <w:r>
              <w:rPr>
                <w:rStyle w:val="11053"/>
                <w:rFonts w:ascii="Times New Roman" w:hAnsi="Times New Roman" w:cs="Times New Roman"/>
                <w:bCs w:val="0"/>
                <w:sz w:val="22"/>
              </w:rPr>
              <w:t xml:space="preserve">1.3.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Зоны действия индивидуального теплоснабжения</w:t>
            </w:r>
            <w:r>
              <w:fldChar w:fldCharType="begin"/>
            </w:r>
            <w:r>
              <w:instrText xml:space="preserve">PAGEREF _Toc198483476 \h</w:instrText>
            </w:r>
            <w:r>
              <w:fldChar w:fldCharType="separate"/>
            </w:r>
            <w:r>
              <w:rPr>
                <w:rStyle w:val="11053"/>
                <w:rFonts w:ascii="Times New Roman" w:hAnsi="Times New Roman" w:cs="Times New Roman"/>
                <w:bCs w:val="0"/>
                <w:vanish w:val="0"/>
                <w:sz w:val="22"/>
              </w:rPr>
              <w:tab/>
              <w:t xml:space="preserve">26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477" w:anchor="_Toc198483477"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Источники тепловой энергии</w:t>
            </w:r>
            <w:r>
              <w:fldChar w:fldCharType="begin"/>
            </w:r>
            <w:r>
              <w:instrText xml:space="preserve">PAGEREF _Toc198483477 \h</w:instrText>
            </w:r>
            <w:r>
              <w:fldChar w:fldCharType="separate"/>
            </w:r>
            <w:r>
              <w:rPr>
                <w:rStyle w:val="11053"/>
                <w:rFonts w:ascii="Times New Roman" w:hAnsi="Times New Roman" w:cs="Times New Roman"/>
                <w:bCs w:val="0"/>
                <w:vanish w:val="0"/>
                <w:sz w:val="22"/>
                <w:szCs w:val="22"/>
              </w:rPr>
              <w:tab/>
              <w:t xml:space="preserve">27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78" w:anchor="_Toc198483478" w:history="1">
            <w:r>
              <w:rPr>
                <w:rStyle w:val="11053"/>
                <w:rFonts w:ascii="Times New Roman" w:hAnsi="Times New Roman" w:cs="Times New Roman"/>
                <w:bCs w:val="0"/>
                <w:sz w:val="22"/>
              </w:rPr>
              <w:t xml:space="preserve">2.1.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Структура и технические характеристики основного оборудования источников тепловой энергии</w:t>
            </w:r>
            <w:r>
              <w:fldChar w:fldCharType="begin"/>
            </w:r>
            <w:r>
              <w:instrText xml:space="preserve">PAGEREF _Toc198483478 \h</w:instrText>
            </w:r>
            <w:r>
              <w:fldChar w:fldCharType="separate"/>
            </w:r>
            <w:r>
              <w:rPr>
                <w:rStyle w:val="11053"/>
                <w:rFonts w:ascii="Times New Roman" w:hAnsi="Times New Roman" w:cs="Times New Roman"/>
                <w:bCs w:val="0"/>
                <w:vanish w:val="0"/>
                <w:sz w:val="22"/>
              </w:rPr>
              <w:tab/>
              <w:t xml:space="preserve">27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79" w:anchor="_Toc198483479" w:history="1">
            <w:r>
              <w:rPr>
                <w:rStyle w:val="11053"/>
                <w:rFonts w:ascii="Times New Roman" w:hAnsi="Times New Roman" w:cs="Times New Roman"/>
                <w:bCs w:val="0"/>
                <w:sz w:val="22"/>
              </w:rPr>
              <w:t xml:space="preserve">2.2.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Параметры установленной тепловой мощности источника тепловой энергии, в том числе теплофикационного оборудования и теплофикационной установки</w:t>
            </w:r>
            <w:r>
              <w:fldChar w:fldCharType="begin"/>
            </w:r>
            <w:r>
              <w:instrText xml:space="preserve">PAGEREF _Toc198483479 \h</w:instrText>
            </w:r>
            <w:r>
              <w:fldChar w:fldCharType="separate"/>
            </w:r>
            <w:r>
              <w:rPr>
                <w:rStyle w:val="11053"/>
                <w:rFonts w:ascii="Times New Roman" w:hAnsi="Times New Roman" w:cs="Times New Roman"/>
                <w:bCs w:val="0"/>
                <w:vanish w:val="0"/>
                <w:sz w:val="22"/>
              </w:rPr>
              <w:tab/>
              <w:t xml:space="preserve">30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0" w:anchor="_Toc198483480" w:history="1">
            <w:r>
              <w:rPr>
                <w:rStyle w:val="11053"/>
                <w:rFonts w:ascii="Times New Roman" w:hAnsi="Times New Roman" w:cs="Times New Roman"/>
                <w:bCs w:val="0"/>
                <w:sz w:val="22"/>
              </w:rPr>
              <w:t xml:space="preserve">2.3.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Ограничения тепловой мощности и параметры располагаемой тепловой мощности</w:t>
            </w:r>
            <w:r>
              <w:fldChar w:fldCharType="begin"/>
            </w:r>
            <w:r>
              <w:instrText xml:space="preserve">PAGEREF _Toc198483480 \h</w:instrText>
            </w:r>
            <w:r>
              <w:fldChar w:fldCharType="separate"/>
            </w:r>
            <w:r>
              <w:rPr>
                <w:rStyle w:val="11053"/>
                <w:rFonts w:ascii="Times New Roman" w:hAnsi="Times New Roman" w:cs="Times New Roman"/>
                <w:bCs w:val="0"/>
                <w:vanish w:val="0"/>
                <w:sz w:val="22"/>
              </w:rPr>
              <w:tab/>
              <w:t xml:space="preserve">30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1" w:anchor="_Toc198483481" w:history="1">
            <w:r>
              <w:rPr>
                <w:rStyle w:val="11053"/>
                <w:rFonts w:ascii="Times New Roman" w:hAnsi="Times New Roman" w:cs="Times New Roman"/>
                <w:bCs w:val="0"/>
                <w:sz w:val="22"/>
              </w:rPr>
              <w:t xml:space="preserve">2.4.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fldChar w:fldCharType="begin"/>
            </w:r>
            <w:r>
              <w:instrText xml:space="preserve">PAGEREF _Toc198483481 \h</w:instrText>
            </w:r>
            <w:r>
              <w:fldChar w:fldCharType="separate"/>
            </w:r>
            <w:r>
              <w:rPr>
                <w:rStyle w:val="11053"/>
                <w:rFonts w:ascii="Times New Roman" w:hAnsi="Times New Roman" w:cs="Times New Roman"/>
                <w:bCs w:val="0"/>
                <w:vanish w:val="0"/>
                <w:sz w:val="22"/>
              </w:rPr>
              <w:tab/>
              <w:t xml:space="preserve">31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2" w:anchor="_Toc198483482" w:history="1">
            <w:r>
              <w:rPr>
                <w:rStyle w:val="11053"/>
                <w:rFonts w:ascii="Times New Roman" w:hAnsi="Times New Roman" w:cs="Times New Roman"/>
                <w:bCs w:val="0"/>
                <w:sz w:val="22"/>
              </w:rPr>
              <w:t xml:space="preserve">2.5.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fldChar w:fldCharType="begin"/>
            </w:r>
            <w:r>
              <w:instrText xml:space="preserve">PAGEREF _Toc198483482 \h</w:instrText>
            </w:r>
            <w:r>
              <w:fldChar w:fldCharType="separate"/>
            </w:r>
            <w:r>
              <w:rPr>
                <w:rStyle w:val="11053"/>
                <w:rFonts w:ascii="Times New Roman" w:hAnsi="Times New Roman" w:cs="Times New Roman"/>
                <w:bCs w:val="0"/>
                <w:vanish w:val="0"/>
                <w:sz w:val="22"/>
              </w:rPr>
              <w:tab/>
              <w:t xml:space="preserve">32</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3" w:anchor="_Toc198483483" w:history="1">
            <w:r>
              <w:rPr>
                <w:rStyle w:val="11053"/>
                <w:rFonts w:ascii="Times New Roman" w:hAnsi="Times New Roman" w:cs="Times New Roman"/>
                <w:bCs w:val="0"/>
                <w:sz w:val="22"/>
              </w:rPr>
              <w:t xml:space="preserve">2.6.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fldChar w:fldCharType="begin"/>
            </w:r>
            <w:r>
              <w:instrText xml:space="preserve">PAGEREF _Toc198483483 \h</w:instrText>
            </w:r>
            <w:r>
              <w:fldChar w:fldCharType="separate"/>
            </w:r>
            <w:r>
              <w:rPr>
                <w:rStyle w:val="11053"/>
                <w:rFonts w:ascii="Times New Roman" w:hAnsi="Times New Roman" w:cs="Times New Roman"/>
                <w:bCs w:val="0"/>
                <w:vanish w:val="0"/>
                <w:sz w:val="22"/>
              </w:rPr>
              <w:tab/>
              <w:t xml:space="preserve">34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4" w:anchor="_Toc198483484" w:history="1">
            <w:r>
              <w:rPr>
                <w:rStyle w:val="11053"/>
                <w:rFonts w:ascii="Times New Roman" w:hAnsi="Times New Roman" w:cs="Times New Roman"/>
                <w:bCs w:val="0"/>
                <w:sz w:val="22"/>
              </w:rPr>
              <w:t xml:space="preserve">2.7.</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Cпособ регулирования отпуска тепловой энергии от источников тепловой энергии с обоснованием выбора графика изменения температур теплоносителя</w:t>
            </w:r>
            <w:r>
              <w:fldChar w:fldCharType="begin"/>
            </w:r>
            <w:r>
              <w:instrText xml:space="preserve">PAGEREF _Toc198483484 \h</w:instrText>
            </w:r>
            <w:r>
              <w:fldChar w:fldCharType="separate"/>
            </w:r>
            <w:r>
              <w:rPr>
                <w:rStyle w:val="11053"/>
                <w:rFonts w:ascii="Times New Roman" w:hAnsi="Times New Roman" w:cs="Times New Roman"/>
                <w:bCs w:val="0"/>
                <w:vanish w:val="0"/>
                <w:sz w:val="22"/>
              </w:rPr>
              <w:tab/>
              <w:t xml:space="preserve">34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5" w:anchor="_Toc198483485" w:history="1">
            <w:r>
              <w:rPr>
                <w:rStyle w:val="11053"/>
                <w:rFonts w:ascii="Times New Roman" w:hAnsi="Times New Roman" w:cs="Times New Roman"/>
                <w:bCs w:val="0"/>
                <w:sz w:val="22"/>
              </w:rPr>
              <w:t xml:space="preserve">2.8.</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Cреднегодовая загрузка оборудования</w:t>
            </w:r>
            <w:r>
              <w:fldChar w:fldCharType="begin"/>
            </w:r>
            <w:r>
              <w:instrText xml:space="preserve">PAGEREF _Toc198483485 \h</w:instrText>
            </w:r>
            <w:r>
              <w:fldChar w:fldCharType="separate"/>
            </w:r>
            <w:r>
              <w:rPr>
                <w:rStyle w:val="11053"/>
                <w:rFonts w:ascii="Times New Roman" w:hAnsi="Times New Roman" w:cs="Times New Roman"/>
                <w:bCs w:val="0"/>
                <w:vanish w:val="0"/>
                <w:sz w:val="22"/>
              </w:rPr>
              <w:tab/>
              <w:t xml:space="preserve">37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6" w:anchor="_Toc198483486" w:history="1">
            <w:r>
              <w:rPr>
                <w:rStyle w:val="11053"/>
                <w:rFonts w:ascii="Times New Roman" w:hAnsi="Times New Roman" w:cs="Times New Roman"/>
                <w:bCs w:val="0"/>
                <w:sz w:val="22"/>
              </w:rPr>
              <w:t xml:space="preserve">2.9.</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Способы учета тепла, отпущенного в тепловые сети</w:t>
            </w:r>
            <w:r>
              <w:fldChar w:fldCharType="begin"/>
            </w:r>
            <w:r>
              <w:instrText xml:space="preserve">PAGEREF _Toc198483486 \h</w:instrText>
            </w:r>
            <w:r>
              <w:fldChar w:fldCharType="separate"/>
            </w:r>
            <w:r>
              <w:rPr>
                <w:rStyle w:val="11053"/>
                <w:rFonts w:ascii="Times New Roman" w:hAnsi="Times New Roman" w:cs="Times New Roman"/>
                <w:bCs w:val="0"/>
                <w:vanish w:val="0"/>
                <w:sz w:val="22"/>
              </w:rPr>
              <w:tab/>
              <w:t xml:space="preserve">38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7" w:anchor="_Toc198483487" w:history="1">
            <w:r>
              <w:rPr>
                <w:rStyle w:val="11053"/>
                <w:rFonts w:ascii="Times New Roman" w:hAnsi="Times New Roman" w:cs="Times New Roman"/>
                <w:bCs w:val="0"/>
                <w:sz w:val="22"/>
              </w:rPr>
              <w:t xml:space="preserve">2.10.</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Статистика отказов и восстановлений оборудования источников тепловой энергии</w:t>
            </w:r>
            <w:r>
              <w:fldChar w:fldCharType="begin"/>
            </w:r>
            <w:r>
              <w:instrText xml:space="preserve">PAGEREF _Toc198483487 \h</w:instrText>
            </w:r>
            <w:r>
              <w:fldChar w:fldCharType="separate"/>
            </w:r>
            <w:r>
              <w:rPr>
                <w:rStyle w:val="11053"/>
                <w:rFonts w:ascii="Times New Roman" w:hAnsi="Times New Roman" w:cs="Times New Roman"/>
                <w:bCs w:val="0"/>
                <w:vanish w:val="0"/>
                <w:sz w:val="22"/>
              </w:rPr>
              <w:tab/>
              <w:t xml:space="preserve">38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8" w:anchor="_Toc198483488" w:history="1">
            <w:r>
              <w:rPr>
                <w:rStyle w:val="11053"/>
                <w:rFonts w:ascii="Times New Roman" w:hAnsi="Times New Roman" w:cs="Times New Roman"/>
                <w:bCs w:val="0"/>
                <w:sz w:val="22"/>
              </w:rPr>
              <w:t xml:space="preserve">2.11.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Предписания надзорных органов по запрещению дальнейшей эксплуатации источников тепловой энергии</w:t>
            </w:r>
            <w:r>
              <w:fldChar w:fldCharType="begin"/>
            </w:r>
            <w:r>
              <w:instrText xml:space="preserve">PAGEREF _Toc198483488 \h</w:instrText>
            </w:r>
            <w:r>
              <w:fldChar w:fldCharType="separate"/>
            </w:r>
            <w:r>
              <w:rPr>
                <w:rStyle w:val="11053"/>
                <w:rFonts w:ascii="Times New Roman" w:hAnsi="Times New Roman" w:cs="Times New Roman"/>
                <w:bCs w:val="0"/>
                <w:vanish w:val="0"/>
                <w:sz w:val="22"/>
              </w:rPr>
              <w:tab/>
              <w:t xml:space="preserve">39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89" w:anchor="_Toc198483489" w:history="1">
            <w:r>
              <w:rPr>
                <w:rStyle w:val="11053"/>
                <w:rFonts w:ascii="Times New Roman" w:hAnsi="Times New Roman" w:cs="Times New Roman"/>
                <w:bCs w:val="0"/>
                <w:sz w:val="22"/>
              </w:rPr>
              <w:t xml:space="preserve">2.12.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Характеристика водоподготовки и подпиточных устройств</w:t>
            </w:r>
            <w:r>
              <w:fldChar w:fldCharType="begin"/>
            </w:r>
            <w:r>
              <w:instrText xml:space="preserve">PAGEREF _Toc198483489 \h</w:instrText>
            </w:r>
            <w:r>
              <w:fldChar w:fldCharType="separate"/>
            </w:r>
            <w:r>
              <w:rPr>
                <w:rStyle w:val="11053"/>
                <w:rFonts w:ascii="Times New Roman" w:hAnsi="Times New Roman" w:cs="Times New Roman"/>
                <w:bCs w:val="0"/>
                <w:vanish w:val="0"/>
                <w:sz w:val="22"/>
              </w:rPr>
              <w:tab/>
              <w:t xml:space="preserve">39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0" w:anchor="_Toc198483490" w:history="1">
            <w:r>
              <w:rPr>
                <w:rStyle w:val="11053"/>
                <w:rFonts w:ascii="Times New Roman" w:hAnsi="Times New Roman" w:cs="Times New Roman"/>
                <w:bCs w:val="0"/>
                <w:sz w:val="22"/>
              </w:rPr>
              <w:t xml:space="preserve">2.13.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Конкурентный отбор мощности источников с комбинированной выработкой тепловой и электрической энергии</w:t>
            </w:r>
            <w:r>
              <w:fldChar w:fldCharType="begin"/>
            </w:r>
            <w:r>
              <w:instrText xml:space="preserve">PAGEREF _Toc198483490 \h</w:instrText>
            </w:r>
            <w:r>
              <w:fldChar w:fldCharType="separate"/>
            </w:r>
            <w:r>
              <w:rPr>
                <w:rStyle w:val="11053"/>
                <w:rFonts w:ascii="Times New Roman" w:hAnsi="Times New Roman" w:cs="Times New Roman"/>
                <w:bCs w:val="0"/>
                <w:vanish w:val="0"/>
                <w:sz w:val="22"/>
              </w:rPr>
              <w:tab/>
              <w:t xml:space="preserve">39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1" w:anchor="_Toc198483491" w:history="1">
            <w:r>
              <w:rPr>
                <w:rStyle w:val="11053"/>
                <w:rFonts w:ascii="Times New Roman" w:hAnsi="Times New Roman" w:cs="Times New Roman"/>
                <w:bCs w:val="0"/>
                <w:sz w:val="22"/>
              </w:rPr>
              <w:t xml:space="preserve">2.14.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Проектный и установленный топливный режим котельной</w:t>
            </w:r>
            <w:r>
              <w:fldChar w:fldCharType="begin"/>
            </w:r>
            <w:r>
              <w:instrText xml:space="preserve">PAGEREF _Toc198483491 \h</w:instrText>
            </w:r>
            <w:r>
              <w:fldChar w:fldCharType="separate"/>
            </w:r>
            <w:r>
              <w:rPr>
                <w:rStyle w:val="11053"/>
                <w:rFonts w:ascii="Times New Roman" w:hAnsi="Times New Roman" w:cs="Times New Roman"/>
                <w:bCs w:val="0"/>
                <w:vanish w:val="0"/>
                <w:sz w:val="22"/>
              </w:rPr>
              <w:tab/>
              <w:t xml:space="preserve">40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492" w:anchor="_Toc198483492"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Тепловые сети, сооружения на них</w:t>
            </w:r>
            <w:r>
              <w:fldChar w:fldCharType="begin"/>
            </w:r>
            <w:r>
              <w:instrText xml:space="preserve">PAGEREF _Toc198483492 \h</w:instrText>
            </w:r>
            <w:r>
              <w:fldChar w:fldCharType="separate"/>
            </w:r>
            <w:r>
              <w:rPr>
                <w:rStyle w:val="11053"/>
                <w:rFonts w:ascii="Times New Roman" w:hAnsi="Times New Roman" w:cs="Times New Roman"/>
                <w:bCs w:val="0"/>
                <w:vanish w:val="0"/>
                <w:sz w:val="22"/>
                <w:szCs w:val="22"/>
              </w:rPr>
              <w:tab/>
              <w:t xml:space="preserve">41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3" w:anchor="_Toc198483493" w:history="1">
            <w:r>
              <w:rPr>
                <w:rStyle w:val="11053"/>
                <w:rFonts w:ascii="Times New Roman" w:hAnsi="Times New Roman" w:cs="Times New Roman"/>
                <w:bCs w:val="0"/>
                <w:sz w:val="22"/>
              </w:rPr>
              <w:t xml:space="preserve">3.1.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fldChar w:fldCharType="begin"/>
            </w:r>
            <w:r>
              <w:instrText xml:space="preserve">PAGEREF _Toc198483493 \h</w:instrText>
            </w:r>
            <w:r>
              <w:fldChar w:fldCharType="separate"/>
            </w:r>
            <w:r>
              <w:rPr>
                <w:rStyle w:val="11053"/>
                <w:rFonts w:ascii="Times New Roman" w:hAnsi="Times New Roman" w:cs="Times New Roman"/>
                <w:bCs w:val="0"/>
                <w:vanish w:val="0"/>
                <w:sz w:val="22"/>
              </w:rPr>
              <w:tab/>
              <w:t xml:space="preserve">41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4" w:anchor="_Toc198483494" w:history="1">
            <w:r>
              <w:rPr>
                <w:rStyle w:val="11053"/>
                <w:rFonts w:ascii="Times New Roman" w:hAnsi="Times New Roman" w:cs="Times New Roman"/>
                <w:bCs w:val="0"/>
                <w:sz w:val="22"/>
              </w:rPr>
              <w:t xml:space="preserve">3.2.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Электронные и бумажные схемы тепловых сетей в зонах действия источников тепловой энергии</w:t>
            </w:r>
            <w:r>
              <w:fldChar w:fldCharType="begin"/>
            </w:r>
            <w:r>
              <w:instrText xml:space="preserve">PAGEREF _Toc198483494 \h</w:instrText>
            </w:r>
            <w:r>
              <w:fldChar w:fldCharType="separate"/>
            </w:r>
            <w:r>
              <w:rPr>
                <w:rStyle w:val="11053"/>
                <w:rFonts w:ascii="Times New Roman" w:hAnsi="Times New Roman" w:cs="Times New Roman"/>
                <w:bCs w:val="0"/>
                <w:vanish w:val="0"/>
                <w:sz w:val="22"/>
              </w:rPr>
              <w:tab/>
              <w:t xml:space="preserve">43</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5" w:anchor="_Toc198483495" w:history="1">
            <w:r>
              <w:rPr>
                <w:rStyle w:val="11053"/>
                <w:rFonts w:ascii="Times New Roman" w:hAnsi="Times New Roman" w:cs="Times New Roman"/>
                <w:bCs w:val="0"/>
                <w:sz w:val="22"/>
              </w:rPr>
              <w:t xml:space="preserve">3.3.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Параметры тепловых сетей, включая год начала эксплуатации, т</w:t>
            </w:r>
            <w:r>
              <w:rPr>
                <w:rStyle w:val="11053"/>
                <w:rFonts w:ascii="Times New Roman" w:hAnsi="Times New Roman" w:cs="Times New Roman"/>
                <w:bCs w:val="0"/>
                <w:sz w:val="22"/>
              </w:rPr>
              <w:t xml:space="preserve">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fldChar w:fldCharType="begin"/>
            </w:r>
            <w:r>
              <w:instrText xml:space="preserve">PAGEREF _Toc198483495 \h</w:instrText>
            </w:r>
            <w:r>
              <w:fldChar w:fldCharType="separate"/>
            </w:r>
            <w:r>
              <w:rPr>
                <w:rStyle w:val="11053"/>
                <w:rFonts w:ascii="Times New Roman" w:hAnsi="Times New Roman" w:cs="Times New Roman"/>
                <w:bCs w:val="0"/>
                <w:vanish w:val="0"/>
                <w:sz w:val="22"/>
              </w:rPr>
              <w:tab/>
              <w:t xml:space="preserve">44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6" w:anchor="_Toc198483496" w:history="1">
            <w:r>
              <w:rPr>
                <w:rStyle w:val="11053"/>
                <w:rFonts w:ascii="Times New Roman" w:hAnsi="Times New Roman" w:cs="Times New Roman"/>
                <w:bCs w:val="0"/>
                <w:sz w:val="22"/>
              </w:rPr>
              <w:t xml:space="preserve">3.4.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типов и количества секционирующей и регулирующей арматуры на тепловых сетях</w:t>
            </w:r>
            <w:r>
              <w:fldChar w:fldCharType="begin"/>
            </w:r>
            <w:r>
              <w:instrText xml:space="preserve">PAGEREF _Toc198483496 \h</w:instrText>
            </w:r>
            <w:r>
              <w:fldChar w:fldCharType="separate"/>
            </w:r>
            <w:r>
              <w:rPr>
                <w:rStyle w:val="11053"/>
                <w:rFonts w:ascii="Times New Roman" w:hAnsi="Times New Roman" w:cs="Times New Roman"/>
                <w:bCs w:val="0"/>
                <w:vanish w:val="0"/>
                <w:sz w:val="22"/>
              </w:rPr>
              <w:tab/>
              <w:tab/>
              <w:t xml:space="preserve">47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7" w:anchor="_Toc198483497" w:history="1">
            <w:r>
              <w:rPr>
                <w:rStyle w:val="11053"/>
                <w:rFonts w:ascii="Times New Roman" w:hAnsi="Times New Roman" w:cs="Times New Roman"/>
                <w:bCs w:val="0"/>
                <w:sz w:val="22"/>
              </w:rPr>
              <w:t xml:space="preserve">3.5.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fldChar w:fldCharType="begin"/>
            </w:r>
            <w:r>
              <w:instrText xml:space="preserve">PAGEREF _Toc198483497 \h</w:instrText>
            </w:r>
            <w:r>
              <w:fldChar w:fldCharType="separate"/>
            </w:r>
            <w:r>
              <w:rPr>
                <w:rStyle w:val="11053"/>
                <w:rFonts w:ascii="Times New Roman" w:hAnsi="Times New Roman" w:cs="Times New Roman"/>
                <w:bCs w:val="0"/>
                <w:vanish w:val="0"/>
                <w:sz w:val="22"/>
              </w:rPr>
              <w:tab/>
              <w:t xml:space="preserve">48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8" w:anchor="_Toc198483498" w:history="1">
            <w:r>
              <w:rPr>
                <w:rStyle w:val="11053"/>
                <w:rFonts w:ascii="Times New Roman" w:hAnsi="Times New Roman" w:cs="Times New Roman"/>
                <w:bCs w:val="0"/>
                <w:sz w:val="22"/>
              </w:rPr>
              <w:t xml:space="preserve">3.6.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графиков регулирования отпуска тепла в тепловые сети с анализом их обоснованности</w:t>
            </w:r>
            <w:r>
              <w:fldChar w:fldCharType="begin"/>
            </w:r>
            <w:r>
              <w:instrText xml:space="preserve">PAGEREF _Toc198483498 \h</w:instrText>
            </w:r>
            <w:r>
              <w:fldChar w:fldCharType="separate"/>
            </w:r>
            <w:r>
              <w:rPr>
                <w:rStyle w:val="11053"/>
                <w:rFonts w:ascii="Times New Roman" w:hAnsi="Times New Roman" w:cs="Times New Roman"/>
                <w:bCs w:val="0"/>
                <w:vanish w:val="0"/>
                <w:sz w:val="22"/>
              </w:rPr>
              <w:tab/>
              <w:t xml:space="preserve">48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499" w:anchor="_Toc198483499" w:history="1">
            <w:r>
              <w:rPr>
                <w:rStyle w:val="11053"/>
                <w:rFonts w:ascii="Times New Roman" w:hAnsi="Times New Roman" w:cs="Times New Roman"/>
                <w:bCs w:val="0"/>
                <w:sz w:val="22"/>
              </w:rPr>
              <w:t xml:space="preserve">3.7.</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fldChar w:fldCharType="begin"/>
            </w:r>
            <w:r>
              <w:instrText xml:space="preserve">PAGEREF _Toc198483499 \h</w:instrText>
            </w:r>
            <w:r>
              <w:fldChar w:fldCharType="separate"/>
            </w:r>
            <w:r>
              <w:rPr>
                <w:rStyle w:val="11053"/>
                <w:rFonts w:ascii="Times New Roman" w:hAnsi="Times New Roman" w:cs="Times New Roman"/>
                <w:bCs w:val="0"/>
                <w:vanish w:val="0"/>
                <w:sz w:val="22"/>
              </w:rPr>
              <w:tab/>
              <w:t xml:space="preserve">49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0" w:anchor="_Toc198483500" w:history="1">
            <w:r>
              <w:rPr>
                <w:rStyle w:val="11053"/>
                <w:rFonts w:ascii="Times New Roman" w:hAnsi="Times New Roman" w:cs="Times New Roman"/>
                <w:bCs w:val="0"/>
                <w:sz w:val="22"/>
              </w:rPr>
              <w:t xml:space="preserve">3.8.</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Гидравлические режимы тепловых сетей и пьезометрические графики</w:t>
            </w:r>
            <w:r>
              <w:fldChar w:fldCharType="begin"/>
            </w:r>
            <w:r>
              <w:instrText xml:space="preserve">PAGEREF _Toc198483500 \h</w:instrText>
            </w:r>
            <w:r>
              <w:fldChar w:fldCharType="separate"/>
            </w:r>
            <w:r>
              <w:rPr>
                <w:rStyle w:val="11053"/>
                <w:rFonts w:ascii="Times New Roman" w:hAnsi="Times New Roman" w:cs="Times New Roman"/>
                <w:bCs w:val="0"/>
                <w:vanish w:val="0"/>
                <w:sz w:val="22"/>
              </w:rPr>
              <w:tab/>
              <w:t xml:space="preserve">50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1" w:anchor="_Toc198483501" w:history="1">
            <w:r>
              <w:rPr>
                <w:rStyle w:val="11053"/>
                <w:rFonts w:ascii="Times New Roman" w:hAnsi="Times New Roman" w:cs="Times New Roman"/>
                <w:bCs w:val="0"/>
                <w:sz w:val="22"/>
              </w:rPr>
              <w:t xml:space="preserve">3.9.</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Статистика отказов тепловых сетей (аварий, инцидентов) за последние 5 лет</w:t>
            </w:r>
            <w:r>
              <w:fldChar w:fldCharType="begin"/>
            </w:r>
            <w:r>
              <w:instrText xml:space="preserve">PAGEREF _Toc198483501 \h</w:instrText>
            </w:r>
            <w:r>
              <w:fldChar w:fldCharType="separate"/>
            </w:r>
            <w:r>
              <w:rPr>
                <w:rStyle w:val="11053"/>
                <w:rFonts w:ascii="Times New Roman" w:hAnsi="Times New Roman" w:cs="Times New Roman"/>
                <w:bCs w:val="0"/>
                <w:vanish w:val="0"/>
                <w:sz w:val="22"/>
              </w:rPr>
              <w:tab/>
              <w:t xml:space="preserve">54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2" w:anchor="_Toc198483502" w:history="1">
            <w:r>
              <w:rPr>
                <w:rStyle w:val="11053"/>
                <w:rFonts w:ascii="Times New Roman" w:hAnsi="Times New Roman" w:cs="Times New Roman"/>
                <w:bCs w:val="0"/>
                <w:sz w:val="22"/>
              </w:rPr>
              <w:t xml:space="preserve">3.10.</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fldChar w:fldCharType="begin"/>
            </w:r>
            <w:r>
              <w:instrText xml:space="preserve">PAGEREF _Toc198483502 \h</w:instrText>
            </w:r>
            <w:r>
              <w:fldChar w:fldCharType="separate"/>
            </w:r>
            <w:r>
              <w:rPr>
                <w:rStyle w:val="11053"/>
                <w:rFonts w:ascii="Times New Roman" w:hAnsi="Times New Roman" w:cs="Times New Roman"/>
                <w:bCs w:val="0"/>
                <w:vanish w:val="0"/>
                <w:sz w:val="22"/>
              </w:rPr>
              <w:tab/>
              <w:tab/>
              <w:tab/>
              <w:t xml:space="preserve">56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3" w:anchor="_Toc198483503" w:history="1">
            <w:r>
              <w:rPr>
                <w:rStyle w:val="11053"/>
                <w:rFonts w:ascii="Times New Roman" w:hAnsi="Times New Roman" w:cs="Times New Roman"/>
                <w:bCs w:val="0"/>
                <w:sz w:val="22"/>
              </w:rPr>
              <w:t xml:space="preserve">3.11.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процедур диагностики состояния тепловых сетей и планирования капитальных (текущих) ремонтов</w:t>
            </w:r>
            <w:r>
              <w:fldChar w:fldCharType="begin"/>
            </w:r>
            <w:r>
              <w:instrText xml:space="preserve">PAGEREF _Toc198483503 \h</w:instrText>
            </w:r>
            <w:r>
              <w:fldChar w:fldCharType="separate"/>
            </w:r>
            <w:r>
              <w:rPr>
                <w:rStyle w:val="11053"/>
                <w:rFonts w:ascii="Times New Roman" w:hAnsi="Times New Roman" w:cs="Times New Roman"/>
                <w:bCs w:val="0"/>
                <w:vanish w:val="0"/>
                <w:sz w:val="22"/>
              </w:rPr>
              <w:tab/>
              <w:t xml:space="preserve">57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6"/>
            <w:pBdr/>
            <w:tabs>
              <w:tab w:val="clear" w:leader="none" w:pos="708"/>
              <w:tab w:val="right" w:leader="dot" w:pos="9345"/>
            </w:tabs>
            <w:spacing w:line="240" w:lineRule="auto"/>
            <w:ind w:firstLine="0" w:left="0"/>
            <w:jc w:val="both"/>
            <w:rPr>
              <w:rFonts w:ascii="Times New Roman" w:hAnsi="Times New Roman" w:eastAsia="宋体" w:cs="Times New Roman" w:eastAsiaTheme="minorEastAsia"/>
              <w:sz w:val="22"/>
              <w:szCs w:val="22"/>
              <w:lang w:val="ru-RU" w:eastAsia="ru-RU" w:bidi="ar-SA"/>
              <w14:ligatures w14:val="standardContextual"/>
            </w:rPr>
          </w:pPr>
          <w:r/>
          <w:hyperlink w:tooltip="#_Toc198483504" w:anchor="_Toc198483504" w:history="1">
            <w:r>
              <w:rPr>
                <w:rStyle w:val="11053"/>
                <w:rFonts w:ascii="Times New Roman" w:hAnsi="Times New Roman" w:cs="Times New Roman"/>
                <w:sz w:val="22"/>
                <w:szCs w:val="22"/>
              </w:rPr>
              <w:t xml:space="preserve">3.11.1 Методы технической диагностики, используемые теплосетевыми организациями на территории муниципального образования Астаповское</w:t>
            </w:r>
            <w:r>
              <w:fldChar w:fldCharType="begin"/>
            </w:r>
            <w:r>
              <w:instrText xml:space="preserve">PAGEREF _Toc198483504 \h</w:instrText>
            </w:r>
            <w:r>
              <w:fldChar w:fldCharType="separate"/>
            </w:r>
            <w:r>
              <w:rPr>
                <w:rStyle w:val="11053"/>
                <w:rFonts w:ascii="Times New Roman" w:hAnsi="Times New Roman" w:cs="Times New Roman"/>
                <w:vanish w:val="0"/>
                <w:sz w:val="22"/>
                <w:szCs w:val="22"/>
              </w:rPr>
              <w:tab/>
              <w:t xml:space="preserve">59</w:t>
            </w:r>
            <w:r>
              <w:fldChar w:fldCharType="end"/>
            </w:r>
          </w:hyperlink>
          <w:r/>
          <w:r>
            <w:rPr>
              <w:rFonts w:ascii="Times New Roman" w:hAnsi="Times New Roman" w:eastAsia="宋体" w:cs="Times New Roman" w:eastAsiaTheme="minorEastAsia"/>
              <w:sz w:val="22"/>
              <w:szCs w:val="22"/>
              <w:lang w:val="ru-RU" w:eastAsia="ru-RU" w:bidi="ar-SA"/>
              <w14:ligatures w14:val="standardContextual"/>
            </w:rPr>
          </w:r>
        </w:p>
        <w:p>
          <w:pPr>
            <w:pStyle w:val="11106"/>
            <w:pBdr/>
            <w:tabs>
              <w:tab w:val="clear" w:leader="none" w:pos="708"/>
              <w:tab w:val="right" w:leader="dot" w:pos="9345"/>
            </w:tabs>
            <w:spacing w:line="240" w:lineRule="auto"/>
            <w:ind w:firstLine="0" w:left="0"/>
            <w:jc w:val="both"/>
            <w:rPr>
              <w:rFonts w:ascii="Times New Roman" w:hAnsi="Times New Roman" w:eastAsia="宋体" w:cs="Times New Roman" w:eastAsiaTheme="minorEastAsia"/>
              <w:sz w:val="22"/>
              <w:szCs w:val="22"/>
              <w:lang w:val="ru-RU" w:eastAsia="ru-RU" w:bidi="ar-SA"/>
              <w14:ligatures w14:val="standardContextual"/>
            </w:rPr>
          </w:pPr>
          <w:r/>
          <w:hyperlink w:tooltip="#_Toc198483505" w:anchor="_Toc198483505" w:history="1">
            <w:r>
              <w:rPr>
                <w:rStyle w:val="11053"/>
                <w:rFonts w:ascii="Times New Roman" w:hAnsi="Times New Roman" w:cs="Times New Roman"/>
                <w:sz w:val="22"/>
                <w:szCs w:val="22"/>
              </w:rPr>
              <w:t xml:space="preserve">3.11.2. Методы технической диагностики, не нашедшие применения теплосетевыми организациями</w:t>
            </w:r>
            <w:r>
              <w:fldChar w:fldCharType="begin"/>
            </w:r>
            <w:r>
              <w:instrText xml:space="preserve">PAGEREF _Toc198483505 \h</w:instrText>
            </w:r>
            <w:r>
              <w:fldChar w:fldCharType="separate"/>
            </w:r>
            <w:r>
              <w:rPr>
                <w:rStyle w:val="11053"/>
                <w:rFonts w:ascii="Times New Roman" w:hAnsi="Times New Roman" w:cs="Times New Roman"/>
                <w:vanish w:val="0"/>
                <w:sz w:val="22"/>
                <w:szCs w:val="22"/>
              </w:rPr>
              <w:tab/>
              <w:t xml:space="preserve">60</w:t>
            </w:r>
            <w:r>
              <w:fldChar w:fldCharType="end"/>
            </w:r>
          </w:hyperlink>
          <w:r/>
          <w:r>
            <w:rPr>
              <w:rFonts w:ascii="Times New Roman" w:hAnsi="Times New Roman" w:eastAsia="宋体" w:cs="Times New Roman" w:eastAsiaTheme="minorEastAsia"/>
              <w:sz w:val="22"/>
              <w:szCs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6" w:anchor="_Toc198483506" w:history="1">
            <w:r>
              <w:rPr>
                <w:rStyle w:val="11053"/>
                <w:rFonts w:ascii="Times New Roman" w:hAnsi="Times New Roman" w:cs="Times New Roman"/>
                <w:bCs w:val="0"/>
                <w:sz w:val="22"/>
              </w:rPr>
              <w:t xml:space="preserve">3.12.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fldChar w:fldCharType="begin"/>
            </w:r>
            <w:r>
              <w:instrText xml:space="preserve">PAGEREF _Toc198483506 \h</w:instrText>
            </w:r>
            <w:r>
              <w:fldChar w:fldCharType="separate"/>
            </w:r>
            <w:r>
              <w:rPr>
                <w:rStyle w:val="11053"/>
                <w:rFonts w:ascii="Times New Roman" w:hAnsi="Times New Roman" w:cs="Times New Roman"/>
                <w:bCs w:val="0"/>
                <w:vanish w:val="0"/>
                <w:sz w:val="22"/>
              </w:rPr>
              <w:tab/>
              <w:t xml:space="preserve">64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7" w:anchor="_Toc198483507" w:history="1">
            <w:r>
              <w:rPr>
                <w:rStyle w:val="11053"/>
                <w:rFonts w:ascii="Times New Roman" w:hAnsi="Times New Roman" w:cs="Times New Roman"/>
                <w:bCs w:val="0"/>
                <w:sz w:val="22"/>
              </w:rPr>
              <w:t xml:space="preserve">3.13.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нормативов технологических потерь (в ценовых зонах </w:t>
            </w:r>
            <w:r>
              <w:rPr>
                <w:rStyle w:val="11053"/>
                <w:rFonts w:ascii="Times New Roman" w:hAnsi="Times New Roman" w:cs="Times New Roman"/>
                <w:bCs w:val="0"/>
                <w:sz w:val="22"/>
              </w:rPr>
              <w:t xml:space="preserve">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fldChar w:fldCharType="begin"/>
            </w:r>
            <w:r>
              <w:instrText xml:space="preserve">PAGEREF _Toc198483507 \h</w:instrText>
            </w:r>
            <w:r>
              <w:fldChar w:fldCharType="separate"/>
            </w:r>
            <w:r>
              <w:rPr>
                <w:rStyle w:val="11053"/>
                <w:rFonts w:ascii="Times New Roman" w:hAnsi="Times New Roman" w:cs="Times New Roman"/>
                <w:bCs w:val="0"/>
                <w:vanish w:val="0"/>
                <w:sz w:val="22"/>
              </w:rPr>
              <w:tab/>
              <w:t xml:space="preserve">70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8" w:anchor="_Toc198483508" w:history="1">
            <w:r>
              <w:rPr>
                <w:rStyle w:val="11053"/>
                <w:rFonts w:ascii="Times New Roman" w:hAnsi="Times New Roman" w:cs="Times New Roman"/>
                <w:bCs w:val="0"/>
                <w:sz w:val="22"/>
              </w:rPr>
              <w:t xml:space="preserve">3.14.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Оценка тепловых потерь в тепловых сетях за последние 3 года при отсутствии приборов учета тепловой энергии</w:t>
            </w:r>
            <w:r>
              <w:fldChar w:fldCharType="begin"/>
            </w:r>
            <w:r>
              <w:instrText xml:space="preserve">PAGEREF _Toc198483508 \h</w:instrText>
            </w:r>
            <w:r>
              <w:fldChar w:fldCharType="separate"/>
            </w:r>
            <w:r>
              <w:rPr>
                <w:rStyle w:val="11053"/>
                <w:rFonts w:ascii="Times New Roman" w:hAnsi="Times New Roman" w:cs="Times New Roman"/>
                <w:bCs w:val="0"/>
                <w:vanish w:val="0"/>
                <w:sz w:val="22"/>
              </w:rPr>
              <w:tab/>
              <w:t xml:space="preserve">78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09" w:anchor="_Toc198483509" w:history="1">
            <w:r>
              <w:rPr>
                <w:rStyle w:val="11053"/>
                <w:rFonts w:ascii="Times New Roman" w:hAnsi="Times New Roman" w:cs="Times New Roman"/>
                <w:bCs w:val="0"/>
                <w:sz w:val="22"/>
              </w:rPr>
              <w:t xml:space="preserve">3.15.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Предписания надзорных органов по запрещению дальнейшей эксплуатации участков тепловой сети и результаты их исполнения</w:t>
            </w:r>
            <w:r>
              <w:fldChar w:fldCharType="begin"/>
            </w:r>
            <w:r>
              <w:instrText xml:space="preserve">PAGEREF _Toc198483509 \h</w:instrText>
            </w:r>
            <w:r>
              <w:fldChar w:fldCharType="separate"/>
            </w:r>
            <w:r>
              <w:rPr>
                <w:rStyle w:val="11053"/>
                <w:rFonts w:ascii="Times New Roman" w:hAnsi="Times New Roman" w:cs="Times New Roman"/>
                <w:bCs w:val="0"/>
                <w:vanish w:val="0"/>
                <w:sz w:val="22"/>
              </w:rPr>
              <w:tab/>
              <w:t xml:space="preserve">79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0" w:anchor="_Toc198483510" w:history="1">
            <w:r>
              <w:rPr>
                <w:rStyle w:val="11053"/>
                <w:rFonts w:ascii="Times New Roman" w:hAnsi="Times New Roman" w:cs="Times New Roman"/>
                <w:bCs w:val="0"/>
                <w:sz w:val="22"/>
              </w:rPr>
              <w:t xml:space="preserve">3.16.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fldChar w:fldCharType="begin"/>
            </w:r>
            <w:r>
              <w:instrText xml:space="preserve">PAGEREF _Toc198483510 \h</w:instrText>
            </w:r>
            <w:r>
              <w:fldChar w:fldCharType="separate"/>
            </w:r>
            <w:r>
              <w:rPr>
                <w:rStyle w:val="11053"/>
                <w:rFonts w:ascii="Times New Roman" w:hAnsi="Times New Roman" w:cs="Times New Roman"/>
                <w:bCs w:val="0"/>
                <w:vanish w:val="0"/>
                <w:sz w:val="22"/>
              </w:rPr>
              <w:tab/>
              <w:t xml:space="preserve">79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1" w:anchor="_Toc198483511" w:history="1">
            <w:r>
              <w:rPr>
                <w:rStyle w:val="11053"/>
                <w:rFonts w:ascii="Times New Roman" w:hAnsi="Times New Roman" w:cs="Times New Roman"/>
                <w:bCs w:val="0"/>
                <w:sz w:val="22"/>
              </w:rPr>
              <w:t xml:space="preserve">3.17.</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fldChar w:fldCharType="begin"/>
            </w:r>
            <w:r>
              <w:instrText xml:space="preserve">PAGEREF _Toc198483511 \h</w:instrText>
            </w:r>
            <w:r>
              <w:fldChar w:fldCharType="separate"/>
            </w:r>
            <w:r>
              <w:rPr>
                <w:rStyle w:val="11053"/>
                <w:rFonts w:ascii="Times New Roman" w:hAnsi="Times New Roman" w:cs="Times New Roman"/>
                <w:bCs w:val="0"/>
                <w:vanish w:val="0"/>
                <w:sz w:val="22"/>
              </w:rPr>
              <w:tab/>
              <w:t xml:space="preserve">82</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2" w:anchor="_Toc198483512" w:history="1">
            <w:r>
              <w:rPr>
                <w:rStyle w:val="11053"/>
                <w:rFonts w:ascii="Times New Roman" w:hAnsi="Times New Roman" w:cs="Times New Roman"/>
                <w:bCs w:val="0"/>
                <w:sz w:val="22"/>
              </w:rPr>
              <w:t xml:space="preserve">3.18.</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Анализ работы диспетчерских служб теплоснабжающих (теплосетевых) организаций и используемых средств автоматизации, телемеханизации и связи</w:t>
            </w:r>
            <w:r>
              <w:fldChar w:fldCharType="begin"/>
            </w:r>
            <w:r>
              <w:instrText xml:space="preserve">PAGEREF _Toc198483512 \h</w:instrText>
            </w:r>
            <w:r>
              <w:fldChar w:fldCharType="separate"/>
            </w:r>
            <w:r>
              <w:rPr>
                <w:rStyle w:val="11053"/>
                <w:rFonts w:ascii="Times New Roman" w:hAnsi="Times New Roman" w:cs="Times New Roman"/>
                <w:bCs w:val="0"/>
                <w:vanish w:val="0"/>
                <w:sz w:val="22"/>
              </w:rPr>
              <w:tab/>
              <w:t xml:space="preserve">82</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3" w:anchor="_Toc198483513" w:history="1">
            <w:r>
              <w:rPr>
                <w:rStyle w:val="11053"/>
                <w:rFonts w:ascii="Times New Roman" w:hAnsi="Times New Roman" w:cs="Times New Roman"/>
                <w:bCs w:val="0"/>
                <w:sz w:val="22"/>
              </w:rPr>
              <w:t xml:space="preserve">3.19.</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Уровень автоматизации и обслуживания центральных тепловых пунктов, насосных станций</w:t>
            </w:r>
            <w:r>
              <w:fldChar w:fldCharType="begin"/>
            </w:r>
            <w:r>
              <w:instrText xml:space="preserve">PAGEREF _Toc198483513 \h</w:instrText>
            </w:r>
            <w:r>
              <w:fldChar w:fldCharType="separate"/>
            </w:r>
            <w:r>
              <w:rPr>
                <w:rStyle w:val="11053"/>
                <w:rFonts w:ascii="Times New Roman" w:hAnsi="Times New Roman" w:cs="Times New Roman"/>
                <w:bCs w:val="0"/>
                <w:vanish w:val="0"/>
                <w:sz w:val="22"/>
              </w:rPr>
              <w:tab/>
              <w:tab/>
              <w:tab/>
              <w:t xml:space="preserve">85</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4" w:anchor="_Toc198483514" w:history="1">
            <w:r>
              <w:rPr>
                <w:rStyle w:val="11053"/>
                <w:rFonts w:ascii="Times New Roman" w:hAnsi="Times New Roman" w:cs="Times New Roman"/>
                <w:bCs w:val="0"/>
                <w:sz w:val="22"/>
              </w:rPr>
              <w:t xml:space="preserve">3.20.</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Сведения о наличии защиты тепловых сетей от превышения давления</w:t>
            </w:r>
            <w:r>
              <w:fldChar w:fldCharType="begin"/>
            </w:r>
            <w:r>
              <w:instrText xml:space="preserve">PAGEREF _Toc198483514 \h</w:instrText>
            </w:r>
            <w:r>
              <w:fldChar w:fldCharType="separate"/>
            </w:r>
            <w:r>
              <w:rPr>
                <w:rStyle w:val="11053"/>
                <w:rFonts w:ascii="Times New Roman" w:hAnsi="Times New Roman" w:cs="Times New Roman"/>
                <w:bCs w:val="0"/>
                <w:vanish w:val="0"/>
                <w:sz w:val="22"/>
              </w:rPr>
              <w:tab/>
              <w:t xml:space="preserve">86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5" w:anchor="_Toc198483515" w:history="1">
            <w:r>
              <w:rPr>
                <w:rStyle w:val="11053"/>
                <w:rFonts w:ascii="Times New Roman" w:hAnsi="Times New Roman" w:cs="Times New Roman"/>
                <w:bCs w:val="0"/>
                <w:sz w:val="22"/>
              </w:rPr>
              <w:t xml:space="preserve">3.21.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Перечень выявленных бесхозяйных тепловых сетей и обоснование выбора организации, уполномоченной на их эксплуатацию</w:t>
            </w:r>
            <w:r>
              <w:fldChar w:fldCharType="begin"/>
            </w:r>
            <w:r>
              <w:instrText xml:space="preserve">PAGEREF _Toc198483515 \h</w:instrText>
            </w:r>
            <w:r>
              <w:fldChar w:fldCharType="separate"/>
            </w:r>
            <w:r>
              <w:rPr>
                <w:rStyle w:val="11053"/>
                <w:rFonts w:ascii="Times New Roman" w:hAnsi="Times New Roman" w:cs="Times New Roman"/>
                <w:bCs w:val="0"/>
                <w:vanish w:val="0"/>
                <w:sz w:val="22"/>
              </w:rPr>
              <w:tab/>
              <w:t xml:space="preserve">90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6" w:anchor="_Toc198483516" w:history="1">
            <w:r>
              <w:rPr>
                <w:rStyle w:val="11053"/>
                <w:rFonts w:ascii="Times New Roman" w:hAnsi="Times New Roman" w:cs="Times New Roman"/>
                <w:bCs w:val="0"/>
                <w:sz w:val="22"/>
              </w:rPr>
              <w:t xml:space="preserve">3.22.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Данные энергетических характеристик тепловых сетей (при их наличии)</w:t>
            </w:r>
            <w:r>
              <w:fldChar w:fldCharType="begin"/>
            </w:r>
            <w:r>
              <w:instrText xml:space="preserve">PAGEREF _Toc198483516 \h</w:instrText>
            </w:r>
            <w:r>
              <w:fldChar w:fldCharType="separate"/>
            </w:r>
            <w:r>
              <w:rPr>
                <w:rStyle w:val="11053"/>
                <w:rFonts w:ascii="Times New Roman" w:hAnsi="Times New Roman" w:cs="Times New Roman"/>
                <w:bCs w:val="0"/>
                <w:vanish w:val="0"/>
                <w:sz w:val="22"/>
              </w:rPr>
              <w:tab/>
              <w:t xml:space="preserve">90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17" w:anchor="_Toc198483517"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Зоны действия источников тепловой энергии</w:t>
            </w:r>
            <w:r>
              <w:fldChar w:fldCharType="begin"/>
            </w:r>
            <w:r>
              <w:instrText xml:space="preserve">PAGEREF _Toc198483517 \h</w:instrText>
            </w:r>
            <w:r>
              <w:fldChar w:fldCharType="separate"/>
            </w:r>
            <w:r>
              <w:rPr>
                <w:rStyle w:val="11053"/>
                <w:rFonts w:ascii="Times New Roman" w:hAnsi="Times New Roman" w:cs="Times New Roman"/>
                <w:bCs w:val="0"/>
                <w:vanish w:val="0"/>
                <w:sz w:val="22"/>
                <w:szCs w:val="22"/>
              </w:rPr>
              <w:tab/>
              <w:t xml:space="preserve">92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18" w:anchor="_Toc198483518"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Тепловые нагрузки потребителей тепловой энергии, групп потребителей тепловой энергии</w:t>
            </w:r>
            <w:r>
              <w:fldChar w:fldCharType="begin"/>
            </w:r>
            <w:r>
              <w:instrText xml:space="preserve">PAGEREF _Toc198483518 \h</w:instrText>
            </w:r>
            <w:r>
              <w:fldChar w:fldCharType="separate"/>
            </w:r>
            <w:r>
              <w:rPr>
                <w:rStyle w:val="11053"/>
                <w:rFonts w:ascii="Times New Roman" w:hAnsi="Times New Roman" w:cs="Times New Roman"/>
                <w:bCs w:val="0"/>
                <w:vanish w:val="0"/>
                <w:sz w:val="22"/>
                <w:szCs w:val="22"/>
              </w:rPr>
              <w:tab/>
              <w:t xml:space="preserve">97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19" w:anchor="_Toc198483519" w:history="1">
            <w:r>
              <w:rPr>
                <w:rStyle w:val="11053"/>
                <w:rFonts w:ascii="Times New Roman" w:hAnsi="Times New Roman" w:cs="Times New Roman"/>
                <w:bCs w:val="0"/>
                <w:sz w:val="22"/>
              </w:rPr>
              <w:t xml:space="preserve">5.1.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fldChar w:fldCharType="begin"/>
            </w:r>
            <w:r>
              <w:instrText xml:space="preserve">PAGEREF _Toc198483519 \h</w:instrText>
            </w:r>
            <w:r>
              <w:fldChar w:fldCharType="separate"/>
            </w:r>
            <w:r>
              <w:rPr>
                <w:rStyle w:val="11053"/>
                <w:rFonts w:ascii="Times New Roman" w:hAnsi="Times New Roman" w:cs="Times New Roman"/>
                <w:bCs w:val="0"/>
                <w:vanish w:val="0"/>
                <w:sz w:val="22"/>
              </w:rPr>
              <w:tab/>
              <w:t xml:space="preserve">97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0" w:anchor="_Toc198483520" w:history="1">
            <w:r>
              <w:rPr>
                <w:rStyle w:val="11053"/>
                <w:rFonts w:ascii="Times New Roman" w:hAnsi="Times New Roman" w:cs="Times New Roman"/>
                <w:bCs w:val="0"/>
                <w:sz w:val="22"/>
              </w:rPr>
              <w:t xml:space="preserve">5.2.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значений расчетных тепловых нагрузок на коллекторах источников тепловой энергии</w:t>
            </w:r>
            <w:r>
              <w:fldChar w:fldCharType="begin"/>
            </w:r>
            <w:r>
              <w:instrText xml:space="preserve">PAGEREF _Toc198483520 \h</w:instrText>
            </w:r>
            <w:r>
              <w:fldChar w:fldCharType="separate"/>
            </w:r>
            <w:r>
              <w:rPr>
                <w:rStyle w:val="11053"/>
                <w:rFonts w:ascii="Times New Roman" w:hAnsi="Times New Roman" w:cs="Times New Roman"/>
                <w:bCs w:val="0"/>
                <w:vanish w:val="0"/>
                <w:sz w:val="22"/>
              </w:rPr>
              <w:tab/>
              <w:t xml:space="preserve">98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1" w:anchor="_Toc198483521" w:history="1">
            <w:r>
              <w:rPr>
                <w:rStyle w:val="11053"/>
                <w:rFonts w:ascii="Times New Roman" w:hAnsi="Times New Roman" w:cs="Times New Roman"/>
                <w:bCs w:val="0"/>
                <w:sz w:val="22"/>
              </w:rPr>
              <w:t xml:space="preserve">5.3.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fldChar w:fldCharType="begin"/>
            </w:r>
            <w:r>
              <w:instrText xml:space="preserve">PAGEREF _Toc198483521 \h</w:instrText>
            </w:r>
            <w:r>
              <w:fldChar w:fldCharType="separate"/>
            </w:r>
            <w:r>
              <w:rPr>
                <w:rStyle w:val="11053"/>
                <w:rFonts w:ascii="Times New Roman" w:hAnsi="Times New Roman" w:cs="Times New Roman"/>
                <w:bCs w:val="0"/>
                <w:vanish w:val="0"/>
                <w:sz w:val="22"/>
              </w:rPr>
              <w:tab/>
              <w:t xml:space="preserve">99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2" w:anchor="_Toc198483522" w:history="1">
            <w:r>
              <w:rPr>
                <w:rStyle w:val="11053"/>
                <w:rFonts w:ascii="Times New Roman" w:hAnsi="Times New Roman" w:cs="Times New Roman"/>
                <w:bCs w:val="0"/>
                <w:sz w:val="22"/>
              </w:rPr>
              <w:t xml:space="preserve">5.4.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величины потребления тепловой энергии в расчетных элементах территориального деления за отопительный период и за год в целом</w:t>
            </w:r>
            <w:r>
              <w:fldChar w:fldCharType="begin"/>
            </w:r>
            <w:r>
              <w:instrText xml:space="preserve">PAGEREF _Toc198483522 \h</w:instrText>
            </w:r>
            <w:r>
              <w:fldChar w:fldCharType="separate"/>
            </w:r>
            <w:r>
              <w:rPr>
                <w:rStyle w:val="11053"/>
                <w:rFonts w:ascii="Times New Roman" w:hAnsi="Times New Roman" w:cs="Times New Roman"/>
                <w:bCs w:val="0"/>
                <w:vanish w:val="0"/>
                <w:sz w:val="22"/>
              </w:rPr>
              <w:tab/>
              <w:t xml:space="preserve">100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3" w:anchor="_Toc198483523" w:history="1">
            <w:r>
              <w:rPr>
                <w:rStyle w:val="11053"/>
                <w:rFonts w:ascii="Times New Roman" w:hAnsi="Times New Roman" w:cs="Times New Roman"/>
                <w:bCs w:val="0"/>
                <w:sz w:val="22"/>
              </w:rPr>
              <w:t xml:space="preserve">5.5.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существующих нормативов потребления тепловой энергии для населения на отопление и горячее водоснабжение</w:t>
            </w:r>
            <w:r>
              <w:fldChar w:fldCharType="begin"/>
            </w:r>
            <w:r>
              <w:instrText xml:space="preserve">PAGEREF _Toc198483523 \h</w:instrText>
            </w:r>
            <w:r>
              <w:fldChar w:fldCharType="separate"/>
            </w:r>
            <w:r>
              <w:rPr>
                <w:rStyle w:val="11053"/>
                <w:rFonts w:ascii="Times New Roman" w:hAnsi="Times New Roman" w:cs="Times New Roman"/>
                <w:bCs w:val="0"/>
                <w:vanish w:val="0"/>
                <w:sz w:val="22"/>
              </w:rPr>
              <w:tab/>
              <w:t xml:space="preserve">103</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4" w:anchor="_Toc198483524" w:history="1">
            <w:r>
              <w:rPr>
                <w:rStyle w:val="11053"/>
                <w:rFonts w:ascii="Times New Roman" w:hAnsi="Times New Roman" w:cs="Times New Roman"/>
                <w:bCs w:val="0"/>
                <w:sz w:val="22"/>
              </w:rPr>
              <w:t xml:space="preserve">5.6.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сравнения величины договорной и расчетной тепловой нагрузки по зоне действия каждого источника тепловой энергии</w:t>
            </w:r>
            <w:r>
              <w:fldChar w:fldCharType="begin"/>
            </w:r>
            <w:r>
              <w:instrText xml:space="preserve">PAGEREF _Toc198483524 \h</w:instrText>
            </w:r>
            <w:r>
              <w:fldChar w:fldCharType="separate"/>
            </w:r>
            <w:r>
              <w:rPr>
                <w:rStyle w:val="11053"/>
                <w:rFonts w:ascii="Times New Roman" w:hAnsi="Times New Roman" w:cs="Times New Roman"/>
                <w:bCs w:val="0"/>
                <w:vanish w:val="0"/>
                <w:sz w:val="22"/>
              </w:rPr>
              <w:tab/>
              <w:t xml:space="preserve">105</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25" w:anchor="_Toc198483525"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Балансы тепловой мощности и тепловой нагрузки</w:t>
            </w:r>
            <w:r>
              <w:fldChar w:fldCharType="begin"/>
            </w:r>
            <w:r>
              <w:instrText xml:space="preserve">PAGEREF _Toc198483525 \h</w:instrText>
            </w:r>
            <w:r>
              <w:fldChar w:fldCharType="separate"/>
            </w:r>
            <w:r>
              <w:rPr>
                <w:rStyle w:val="11053"/>
                <w:rFonts w:ascii="Times New Roman" w:hAnsi="Times New Roman" w:cs="Times New Roman"/>
                <w:bCs w:val="0"/>
                <w:vanish w:val="0"/>
                <w:sz w:val="22"/>
                <w:szCs w:val="22"/>
              </w:rPr>
              <w:tab/>
              <w:t xml:space="preserve">106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6" w:anchor="_Toc198483526" w:history="1">
            <w:r>
              <w:rPr>
                <w:rStyle w:val="11053"/>
                <w:rFonts w:ascii="Times New Roman" w:hAnsi="Times New Roman" w:cs="Times New Roman"/>
                <w:bCs w:val="0"/>
                <w:sz w:val="22"/>
              </w:rPr>
              <w:t xml:space="preserve">6.1.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балан</w:t>
            </w:r>
            <w:r>
              <w:rPr>
                <w:rStyle w:val="11053"/>
                <w:rFonts w:ascii="Times New Roman" w:hAnsi="Times New Roman" w:cs="Times New Roman"/>
                <w:bCs w:val="0"/>
                <w:sz w:val="22"/>
              </w:rPr>
              <w:t xml:space="preserve">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fldChar w:fldCharType="begin"/>
            </w:r>
            <w:r>
              <w:instrText xml:space="preserve">PAGEREF _Toc198483526 \h</w:instrText>
            </w:r>
            <w:r>
              <w:fldChar w:fldCharType="separate"/>
            </w:r>
            <w:r>
              <w:rPr>
                <w:rStyle w:val="11053"/>
                <w:rFonts w:ascii="Times New Roman" w:hAnsi="Times New Roman" w:cs="Times New Roman"/>
                <w:bCs w:val="0"/>
                <w:vanish w:val="0"/>
                <w:sz w:val="22"/>
              </w:rPr>
              <w:tab/>
              <w:t xml:space="preserve">106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7" w:anchor="_Toc198483527" w:history="1">
            <w:r>
              <w:rPr>
                <w:rStyle w:val="11053"/>
                <w:rFonts w:ascii="Times New Roman" w:hAnsi="Times New Roman" w:cs="Times New Roman"/>
                <w:bCs w:val="0"/>
                <w:sz w:val="22"/>
              </w:rPr>
              <w:t xml:space="preserve">6.2.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fldChar w:fldCharType="begin"/>
            </w:r>
            <w:r>
              <w:instrText xml:space="preserve">PAGEREF _Toc198483527 \h</w:instrText>
            </w:r>
            <w:r>
              <w:fldChar w:fldCharType="separate"/>
            </w:r>
            <w:r>
              <w:rPr>
                <w:rStyle w:val="11053"/>
                <w:rFonts w:ascii="Times New Roman" w:hAnsi="Times New Roman" w:cs="Times New Roman"/>
                <w:bCs w:val="0"/>
                <w:vanish w:val="0"/>
                <w:sz w:val="22"/>
              </w:rPr>
              <w:tab/>
              <w:t xml:space="preserve">108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8" w:anchor="_Toc198483528" w:history="1">
            <w:r>
              <w:rPr>
                <w:rStyle w:val="11053"/>
                <w:rFonts w:ascii="Times New Roman" w:hAnsi="Times New Roman" w:cs="Times New Roman"/>
                <w:bCs w:val="0"/>
                <w:sz w:val="22"/>
              </w:rPr>
              <w:t xml:space="preserve">6.3.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гидравлических режимов, обеспеч</w:t>
            </w:r>
            <w:r>
              <w:rPr>
                <w:rStyle w:val="11053"/>
                <w:rFonts w:ascii="Times New Roman" w:hAnsi="Times New Roman" w:cs="Times New Roman"/>
                <w:bCs w:val="0"/>
                <w:sz w:val="22"/>
              </w:rPr>
              <w:t xml:space="preserve">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fldChar w:fldCharType="begin"/>
            </w:r>
            <w:r>
              <w:instrText xml:space="preserve">PAGEREF _Toc198483528 \h</w:instrText>
            </w:r>
            <w:r>
              <w:fldChar w:fldCharType="separate"/>
            </w:r>
            <w:r>
              <w:rPr>
                <w:rStyle w:val="11053"/>
                <w:rFonts w:ascii="Times New Roman" w:hAnsi="Times New Roman" w:cs="Times New Roman"/>
                <w:bCs w:val="0"/>
                <w:vanish w:val="0"/>
                <w:sz w:val="22"/>
              </w:rPr>
              <w:tab/>
              <w:t xml:space="preserve">109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29" w:anchor="_Toc198483529" w:history="1">
            <w:r>
              <w:rPr>
                <w:rStyle w:val="11053"/>
                <w:rFonts w:ascii="Times New Roman" w:hAnsi="Times New Roman" w:cs="Times New Roman"/>
                <w:bCs w:val="0"/>
                <w:sz w:val="22"/>
              </w:rPr>
              <w:t xml:space="preserve">6.4.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причины возникновения дефицитов тепловой мощности и последствий влияния дефицитов на качество теплоснабжения</w:t>
            </w:r>
            <w:r>
              <w:fldChar w:fldCharType="begin"/>
            </w:r>
            <w:r>
              <w:instrText xml:space="preserve">PAGEREF _Toc198483529 \h</w:instrText>
            </w:r>
            <w:r>
              <w:fldChar w:fldCharType="separate"/>
            </w:r>
            <w:r>
              <w:rPr>
                <w:rStyle w:val="11053"/>
                <w:rFonts w:ascii="Times New Roman" w:hAnsi="Times New Roman" w:cs="Times New Roman"/>
                <w:bCs w:val="0"/>
                <w:vanish w:val="0"/>
                <w:sz w:val="22"/>
              </w:rPr>
              <w:tab/>
              <w:t xml:space="preserve">111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0" w:anchor="_Toc198483530" w:history="1">
            <w:r>
              <w:rPr>
                <w:rStyle w:val="11053"/>
                <w:rFonts w:ascii="Times New Roman" w:hAnsi="Times New Roman" w:cs="Times New Roman"/>
                <w:bCs w:val="0"/>
                <w:sz w:val="22"/>
              </w:rPr>
              <w:t xml:space="preserve">6.5.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fldChar w:fldCharType="begin"/>
            </w:r>
            <w:r>
              <w:instrText xml:space="preserve">PAGEREF _Toc198483530 \h</w:instrText>
            </w:r>
            <w:r>
              <w:fldChar w:fldCharType="separate"/>
            </w:r>
            <w:r>
              <w:rPr>
                <w:rStyle w:val="11053"/>
                <w:rFonts w:ascii="Times New Roman" w:hAnsi="Times New Roman" w:cs="Times New Roman"/>
                <w:bCs w:val="0"/>
                <w:vanish w:val="0"/>
                <w:sz w:val="22"/>
              </w:rPr>
              <w:tab/>
              <w:t xml:space="preserve">111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31" w:anchor="_Toc198483531" w:history="1">
            <w:r>
              <w:rPr>
                <w:rStyle w:val="11053"/>
                <w:rFonts w:ascii="Times New Roman" w:hAnsi="Times New Roman" w:cs="Times New Roman"/>
                <w:bCs w:val="0"/>
                <w:sz w:val="22"/>
                <w:szCs w:val="22"/>
              </w:rPr>
              <w:t xml:space="preserve">7.</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Балансы теплоносителя</w:t>
            </w:r>
            <w:r>
              <w:fldChar w:fldCharType="begin"/>
            </w:r>
            <w:r>
              <w:instrText xml:space="preserve">PAGEREF _Toc198483531 \h</w:instrText>
            </w:r>
            <w:r>
              <w:fldChar w:fldCharType="separate"/>
            </w:r>
            <w:r>
              <w:rPr>
                <w:rStyle w:val="11053"/>
                <w:rFonts w:ascii="Times New Roman" w:hAnsi="Times New Roman" w:cs="Times New Roman"/>
                <w:bCs w:val="0"/>
                <w:vanish w:val="0"/>
                <w:sz w:val="22"/>
                <w:szCs w:val="22"/>
              </w:rPr>
              <w:tab/>
              <w:t xml:space="preserve">111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2" w:anchor="_Toc198483532" w:history="1">
            <w:r>
              <w:rPr>
                <w:rStyle w:val="11053"/>
                <w:rFonts w:ascii="Times New Roman" w:hAnsi="Times New Roman" w:cs="Times New Roman"/>
                <w:bCs w:val="0"/>
                <w:sz w:val="22"/>
              </w:rPr>
              <w:t xml:space="preserve">7.1.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утвержденных балансов производительности водоподготовительных уст</w:t>
            </w:r>
            <w:r>
              <w:rPr>
                <w:rStyle w:val="11053"/>
                <w:rFonts w:ascii="Times New Roman" w:hAnsi="Times New Roman" w:cs="Times New Roman"/>
                <w:bCs w:val="0"/>
                <w:sz w:val="22"/>
              </w:rPr>
              <w:t xml:space="preserve">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rStyle w:val="11053"/>
                <w:rFonts w:ascii="Times New Roman" w:hAnsi="Times New Roman" w:cs="Times New Roman"/>
                <w:bCs w:val="0"/>
                <w:vanish w:val="0"/>
                <w:sz w:val="22"/>
              </w:rPr>
              <w:tab/>
            </w:r>
            <w:r>
              <w:rPr>
                <w:rStyle w:val="11053"/>
                <w:rFonts w:ascii="Times New Roman" w:hAnsi="Times New Roman" w:cs="Times New Roman"/>
                <w:bCs w:val="0"/>
                <w:vanish w:val="0"/>
                <w:sz w:val="22"/>
                <w:lang w:val="ru-RU"/>
              </w:rPr>
              <w:t xml:space="preserve">..</w:t>
            </w:r>
            <w:r>
              <w:rPr>
                <w:rStyle w:val="11053"/>
                <w:vanish w:val="0"/>
              </w:rPr>
              <w:t xml:space="preserve"> </w:t>
            </w:r>
            <w:r>
              <w:rPr>
                <w:rStyle w:val="11053"/>
                <w:rFonts w:ascii="Times New Roman" w:hAnsi="Times New Roman" w:cs="Times New Roman"/>
                <w:bCs w:val="0"/>
                <w:vanish w:val="0"/>
                <w:sz w:val="22"/>
                <w:lang w:val="ru-RU"/>
              </w:rPr>
              <w:tab/>
            </w:r>
            <w:r>
              <w:fldChar w:fldCharType="begin"/>
            </w:r>
            <w:r>
              <w:instrText xml:space="preserve">PAGEREF _Toc198483532 \h</w:instrText>
            </w:r>
            <w:r>
              <w:fldChar w:fldCharType="separate"/>
            </w:r>
            <w:r>
              <w:rPr>
                <w:rStyle w:val="11053"/>
                <w:rFonts w:ascii="Times New Roman" w:hAnsi="Times New Roman" w:cs="Times New Roman"/>
                <w:bCs w:val="0"/>
                <w:vanish w:val="0"/>
                <w:sz w:val="22"/>
              </w:rPr>
              <w:t xml:space="preserve">111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3" w:anchor="_Toc198483533" w:history="1">
            <w:r>
              <w:rPr>
                <w:rStyle w:val="11053"/>
                <w:rFonts w:ascii="Times New Roman" w:hAnsi="Times New Roman" w:cs="Times New Roman"/>
                <w:bCs w:val="0"/>
                <w:sz w:val="22"/>
              </w:rPr>
              <w:t xml:space="preserve">7.2.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fldChar w:fldCharType="begin"/>
            </w:r>
            <w:r>
              <w:instrText xml:space="preserve">PAGEREF _Toc198483533 \h</w:instrText>
            </w:r>
            <w:r>
              <w:fldChar w:fldCharType="separate"/>
            </w:r>
            <w:r>
              <w:rPr>
                <w:rStyle w:val="11053"/>
                <w:rFonts w:ascii="Times New Roman" w:hAnsi="Times New Roman" w:cs="Times New Roman"/>
                <w:bCs w:val="0"/>
                <w:vanish w:val="0"/>
                <w:sz w:val="22"/>
              </w:rPr>
              <w:tab/>
              <w:t xml:space="preserve">116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34" w:anchor="_Toc198483534" w:history="1">
            <w:r>
              <w:rPr>
                <w:rStyle w:val="11053"/>
                <w:rFonts w:ascii="Times New Roman" w:hAnsi="Times New Roman" w:cs="Times New Roman"/>
                <w:bCs w:val="0"/>
                <w:sz w:val="22"/>
                <w:szCs w:val="22"/>
              </w:rPr>
              <w:t xml:space="preserve">8.</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Топливные балансы источников тепловой энергии и система обеспечения топливом</w:t>
            </w:r>
            <w:r>
              <w:fldChar w:fldCharType="begin"/>
            </w:r>
            <w:r>
              <w:instrText xml:space="preserve">PAGEREF _Toc198483534 \h</w:instrText>
            </w:r>
            <w:r>
              <w:fldChar w:fldCharType="separate"/>
            </w:r>
            <w:r>
              <w:rPr>
                <w:rStyle w:val="11053"/>
                <w:rFonts w:ascii="Times New Roman" w:hAnsi="Times New Roman" w:cs="Times New Roman"/>
                <w:bCs w:val="0"/>
                <w:vanish w:val="0"/>
                <w:sz w:val="22"/>
                <w:szCs w:val="22"/>
              </w:rPr>
              <w:tab/>
              <w:t xml:space="preserve">119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5" w:anchor="_Toc198483535" w:history="1">
            <w:r>
              <w:rPr>
                <w:rStyle w:val="11053"/>
                <w:rFonts w:ascii="Times New Roman" w:hAnsi="Times New Roman" w:cs="Times New Roman"/>
                <w:bCs w:val="0"/>
                <w:sz w:val="22"/>
              </w:rPr>
              <w:t xml:space="preserve">8.1.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видов и количества используемого основного топлива</w:t>
            </w:r>
            <w:r>
              <w:fldChar w:fldCharType="begin"/>
            </w:r>
            <w:r>
              <w:instrText xml:space="preserve">PAGEREF _Toc198483535 \h</w:instrText>
            </w:r>
            <w:r>
              <w:fldChar w:fldCharType="separate"/>
            </w:r>
            <w:r>
              <w:rPr>
                <w:rStyle w:val="11053"/>
                <w:rFonts w:ascii="Times New Roman" w:hAnsi="Times New Roman" w:cs="Times New Roman"/>
                <w:bCs w:val="0"/>
                <w:vanish w:val="0"/>
                <w:sz w:val="22"/>
              </w:rPr>
              <w:tab/>
              <w:t xml:space="preserve">119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6" w:anchor="_Toc198483536" w:history="1">
            <w:r>
              <w:rPr>
                <w:rStyle w:val="11053"/>
                <w:rFonts w:ascii="Times New Roman" w:hAnsi="Times New Roman" w:eastAsia="Calibri" w:cs="Times New Roman"/>
                <w:bCs w:val="0"/>
                <w:sz w:val="22"/>
              </w:rPr>
              <w:t xml:space="preserve">8.2.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видов резервного и аварийного топлива и возможности их обеспечения в соответствии с нормативными требованиями</w:t>
            </w:r>
            <w:r>
              <w:fldChar w:fldCharType="begin"/>
            </w:r>
            <w:r>
              <w:instrText xml:space="preserve">PAGEREF _Toc198483536 \h</w:instrText>
            </w:r>
            <w:r>
              <w:fldChar w:fldCharType="separate"/>
            </w:r>
            <w:r>
              <w:rPr>
                <w:rStyle w:val="11053"/>
                <w:rFonts w:ascii="Times New Roman" w:hAnsi="Times New Roman" w:cs="Times New Roman"/>
                <w:bCs w:val="0"/>
                <w:vanish w:val="0"/>
                <w:sz w:val="22"/>
              </w:rPr>
              <w:tab/>
              <w:t xml:space="preserve">122</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7" w:anchor="_Toc198483537" w:history="1">
            <w:r>
              <w:rPr>
                <w:rStyle w:val="11053"/>
                <w:rFonts w:ascii="Times New Roman" w:hAnsi="Times New Roman" w:cs="Times New Roman"/>
                <w:bCs w:val="0"/>
                <w:sz w:val="22"/>
              </w:rPr>
              <w:t xml:space="preserve">8.3.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особенностей характеристик топлив в зависимости от мест поставки</w:t>
            </w:r>
            <w:r>
              <w:fldChar w:fldCharType="begin"/>
            </w:r>
            <w:r>
              <w:instrText xml:space="preserve">PAGEREF _Toc198483537 \h</w:instrText>
            </w:r>
            <w:r>
              <w:fldChar w:fldCharType="separate"/>
            </w:r>
            <w:r>
              <w:rPr>
                <w:rStyle w:val="11053"/>
                <w:rFonts w:ascii="Times New Roman" w:hAnsi="Times New Roman" w:cs="Times New Roman"/>
                <w:bCs w:val="0"/>
                <w:vanish w:val="0"/>
                <w:sz w:val="22"/>
              </w:rPr>
              <w:tab/>
              <w:t xml:space="preserve">124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8" w:anchor="_Toc198483538" w:history="1">
            <w:r>
              <w:rPr>
                <w:rStyle w:val="11053"/>
                <w:rFonts w:ascii="Times New Roman" w:hAnsi="Times New Roman" w:cs="Times New Roman"/>
                <w:bCs w:val="0"/>
                <w:sz w:val="22"/>
              </w:rPr>
              <w:t xml:space="preserve">8.4.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использования местных видов топлива, анализ поставки топлива в периоды расчетных температур наружного воздуха</w:t>
            </w:r>
            <w:r>
              <w:fldChar w:fldCharType="begin"/>
            </w:r>
            <w:r>
              <w:instrText xml:space="preserve">PAGEREF _Toc198483538 \h</w:instrText>
            </w:r>
            <w:r>
              <w:fldChar w:fldCharType="separate"/>
            </w:r>
            <w:r>
              <w:rPr>
                <w:rStyle w:val="11053"/>
                <w:rFonts w:ascii="Times New Roman" w:hAnsi="Times New Roman" w:cs="Times New Roman"/>
                <w:bCs w:val="0"/>
                <w:vanish w:val="0"/>
                <w:sz w:val="22"/>
              </w:rPr>
              <w:tab/>
              <w:t xml:space="preserve">125</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39" w:anchor="_Toc198483539" w:history="1">
            <w:r>
              <w:rPr>
                <w:rStyle w:val="11053"/>
                <w:rFonts w:ascii="Times New Roman" w:hAnsi="Times New Roman" w:cs="Times New Roman"/>
                <w:bCs w:val="0"/>
                <w:sz w:val="22"/>
                <w:lang w:eastAsia="ru-RU"/>
              </w:rPr>
              <w:t xml:space="preserve">8.5.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lang w:eastAsia="ru-RU"/>
              </w:rPr>
              <w:t xml:space="preserve">Возобновляемые источники энергии и местные виды топлива не используются. Описание видов топлива (в случае, если топливом является угoль, - вид ископаемого yгля в соответствии с Межгосударственным</w:t>
            </w:r>
            <w:r>
              <w:rPr>
                <w:rStyle w:val="11053"/>
                <w:rFonts w:ascii="Times New Roman" w:hAnsi="Times New Roman" w:cs="Times New Roman"/>
                <w:bCs w:val="0"/>
                <w:sz w:val="22"/>
                <w:lang w:eastAsia="ru-RU"/>
              </w:rPr>
              <w:t xml:space="preserve">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fldChar w:fldCharType="begin"/>
            </w:r>
            <w:r>
              <w:instrText xml:space="preserve">PAGEREF _Toc198483539 \h</w:instrText>
            </w:r>
            <w:r>
              <w:fldChar w:fldCharType="separate"/>
            </w:r>
            <w:r>
              <w:rPr>
                <w:rStyle w:val="11053"/>
                <w:rFonts w:ascii="Times New Roman" w:hAnsi="Times New Roman" w:cs="Times New Roman"/>
                <w:bCs w:val="0"/>
                <w:vanish w:val="0"/>
                <w:sz w:val="22"/>
              </w:rPr>
              <w:tab/>
              <w:t xml:space="preserve">125</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0" w:anchor="_Toc198483540" w:history="1">
            <w:r>
              <w:rPr>
                <w:rStyle w:val="11053"/>
                <w:rFonts w:ascii="Times New Roman" w:hAnsi="Times New Roman" w:cs="Times New Roman"/>
                <w:bCs w:val="0"/>
                <w:sz w:val="22"/>
                <w:lang w:eastAsia="ru-RU"/>
              </w:rPr>
              <w:t xml:space="preserve">8.6.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lang w:eastAsia="ru-RU"/>
              </w:rPr>
              <w:t xml:space="preserve">Описание преобладающего в поселении, муниципальном образовании вида топлива, определяемого по совокупности всех систем теплоснабжения, находящихся в соответствующем поселении, муниципальном образовании</w:t>
            </w:r>
            <w:r>
              <w:fldChar w:fldCharType="begin"/>
            </w:r>
            <w:r>
              <w:instrText xml:space="preserve">PAGEREF _Toc198483540 \h</w:instrText>
            </w:r>
            <w:r>
              <w:fldChar w:fldCharType="separate"/>
            </w:r>
            <w:r>
              <w:rPr>
                <w:rStyle w:val="11053"/>
                <w:rFonts w:ascii="Times New Roman" w:hAnsi="Times New Roman" w:cs="Times New Roman"/>
                <w:bCs w:val="0"/>
                <w:vanish w:val="0"/>
                <w:sz w:val="22"/>
              </w:rPr>
              <w:tab/>
              <w:t xml:space="preserve">125</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1" w:anchor="_Toc198483541" w:history="1">
            <w:r>
              <w:rPr>
                <w:rStyle w:val="11053"/>
                <w:rFonts w:ascii="Times New Roman" w:hAnsi="Times New Roman" w:cs="Times New Roman"/>
                <w:bCs w:val="0"/>
                <w:sz w:val="22"/>
                <w:lang w:eastAsia="ru-RU"/>
              </w:rPr>
              <w:t xml:space="preserve">8.7.</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lang w:eastAsia="ru-RU"/>
              </w:rPr>
              <w:t xml:space="preserve">Описание приоритетного направления развития топливного баланса поселения, муниципального образования</w:t>
            </w:r>
            <w:r>
              <w:fldChar w:fldCharType="begin"/>
            </w:r>
            <w:r>
              <w:instrText xml:space="preserve">PAGEREF _Toc198483541 \h</w:instrText>
            </w:r>
            <w:r>
              <w:fldChar w:fldCharType="separate"/>
            </w:r>
            <w:r>
              <w:rPr>
                <w:rStyle w:val="11053"/>
                <w:rFonts w:ascii="Times New Roman" w:hAnsi="Times New Roman" w:cs="Times New Roman"/>
                <w:bCs w:val="0"/>
                <w:vanish w:val="0"/>
                <w:sz w:val="22"/>
              </w:rPr>
              <w:tab/>
              <w:t xml:space="preserve">126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42" w:anchor="_Toc198483542" w:history="1">
            <w:r>
              <w:rPr>
                <w:rStyle w:val="11053"/>
                <w:rFonts w:ascii="Times New Roman" w:hAnsi="Times New Roman" w:cs="Times New Roman"/>
                <w:bCs w:val="0"/>
                <w:sz w:val="22"/>
                <w:szCs w:val="22"/>
              </w:rPr>
              <w:t xml:space="preserve">9.</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Надежность теплоснабжения</w:t>
            </w:r>
            <w:r>
              <w:fldChar w:fldCharType="begin"/>
            </w:r>
            <w:r>
              <w:instrText xml:space="preserve">PAGEREF _Toc198483542 \h</w:instrText>
            </w:r>
            <w:r>
              <w:fldChar w:fldCharType="separate"/>
            </w:r>
            <w:r>
              <w:rPr>
                <w:rStyle w:val="11053"/>
                <w:rFonts w:ascii="Times New Roman" w:hAnsi="Times New Roman" w:cs="Times New Roman"/>
                <w:bCs w:val="0"/>
                <w:vanish w:val="0"/>
                <w:sz w:val="22"/>
                <w:szCs w:val="22"/>
              </w:rPr>
              <w:tab/>
              <w:t xml:space="preserve">127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3" w:anchor="_Toc198483543" w:history="1">
            <w:r>
              <w:rPr>
                <w:rStyle w:val="11053"/>
                <w:rFonts w:ascii="Times New Roman" w:hAnsi="Times New Roman" w:cs="Times New Roman"/>
                <w:bCs w:val="0"/>
                <w:sz w:val="22"/>
              </w:rPr>
              <w:t xml:space="preserve">9.1.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Поток отказов (частота отказов) участков тепловых сетей</w:t>
            </w:r>
            <w:r>
              <w:fldChar w:fldCharType="begin"/>
            </w:r>
            <w:r>
              <w:instrText xml:space="preserve">PAGEREF _Toc198483543 \h</w:instrText>
            </w:r>
            <w:r>
              <w:fldChar w:fldCharType="separate"/>
            </w:r>
            <w:r>
              <w:rPr>
                <w:rStyle w:val="11053"/>
                <w:rFonts w:ascii="Times New Roman" w:hAnsi="Times New Roman" w:cs="Times New Roman"/>
                <w:bCs w:val="0"/>
                <w:vanish w:val="0"/>
                <w:sz w:val="22"/>
              </w:rPr>
              <w:tab/>
              <w:t xml:space="preserve">136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4" w:anchor="_Toc198483544" w:history="1">
            <w:r>
              <w:rPr>
                <w:rStyle w:val="11053"/>
                <w:rFonts w:ascii="Times New Roman" w:hAnsi="Times New Roman" w:cs="Times New Roman"/>
                <w:bCs w:val="0"/>
                <w:sz w:val="22"/>
              </w:rPr>
              <w:t xml:space="preserve">9.2.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Частота отключений потребителей</w:t>
            </w:r>
            <w:r>
              <w:fldChar w:fldCharType="begin"/>
            </w:r>
            <w:r>
              <w:instrText xml:space="preserve">PAGEREF _Toc198483544 \h</w:instrText>
            </w:r>
            <w:r>
              <w:fldChar w:fldCharType="separate"/>
            </w:r>
            <w:r>
              <w:rPr>
                <w:rStyle w:val="11053"/>
                <w:rFonts w:ascii="Times New Roman" w:hAnsi="Times New Roman" w:cs="Times New Roman"/>
                <w:bCs w:val="0"/>
                <w:vanish w:val="0"/>
                <w:sz w:val="22"/>
              </w:rPr>
              <w:tab/>
              <w:t xml:space="preserve">136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5" w:anchor="_Toc198483545" w:history="1">
            <w:r>
              <w:rPr>
                <w:rStyle w:val="11053"/>
                <w:rFonts w:ascii="Times New Roman" w:hAnsi="Times New Roman" w:cs="Times New Roman"/>
                <w:bCs w:val="0"/>
                <w:sz w:val="22"/>
              </w:rPr>
              <w:t xml:space="preserve">9.3.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Поток (частота) и время восстановления теплоснабжения потребителей после отключений</w:t>
            </w:r>
            <w:r>
              <w:fldChar w:fldCharType="begin"/>
            </w:r>
            <w:r>
              <w:instrText xml:space="preserve">PAGEREF _Toc198483545 \h</w:instrText>
            </w:r>
            <w:r>
              <w:fldChar w:fldCharType="separate"/>
            </w:r>
            <w:r>
              <w:rPr>
                <w:rStyle w:val="11053"/>
                <w:rFonts w:ascii="Times New Roman" w:hAnsi="Times New Roman" w:cs="Times New Roman"/>
                <w:bCs w:val="0"/>
                <w:vanish w:val="0"/>
                <w:sz w:val="22"/>
              </w:rPr>
              <w:tab/>
              <w:tab/>
              <w:t xml:space="preserve">137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6" w:anchor="_Toc198483546" w:history="1">
            <w:r>
              <w:rPr>
                <w:rStyle w:val="11053"/>
                <w:rFonts w:ascii="Times New Roman" w:hAnsi="Times New Roman" w:cs="Times New Roman"/>
                <w:bCs w:val="0"/>
                <w:sz w:val="22"/>
              </w:rPr>
              <w:t xml:space="preserve">9.4.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Графические материалы (карты-схемы тепловых сетей и зон ненормативной надежности и безопасности теплоснабжения)</w:t>
            </w:r>
            <w:r>
              <w:fldChar w:fldCharType="begin"/>
            </w:r>
            <w:r>
              <w:instrText xml:space="preserve">PAGEREF _Toc198483546 \h</w:instrText>
            </w:r>
            <w:r>
              <w:fldChar w:fldCharType="separate"/>
            </w:r>
            <w:r>
              <w:rPr>
                <w:rStyle w:val="11053"/>
                <w:rFonts w:ascii="Times New Roman" w:hAnsi="Times New Roman" w:cs="Times New Roman"/>
                <w:bCs w:val="0"/>
                <w:vanish w:val="0"/>
                <w:sz w:val="22"/>
              </w:rPr>
              <w:tab/>
              <w:t xml:space="preserve">139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7" w:anchor="_Toc198483547" w:history="1">
            <w:r>
              <w:rPr>
                <w:rStyle w:val="11053"/>
                <w:rFonts w:ascii="Times New Roman" w:hAnsi="Times New Roman" w:cs="Times New Roman"/>
                <w:bCs w:val="0"/>
                <w:sz w:val="22"/>
              </w:rPr>
              <w:t xml:space="preserve">9.5.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Результаты анализа аварийных ситуаций при теплоснабжении, расследов</w:t>
            </w:r>
            <w:r>
              <w:rPr>
                <w:rStyle w:val="11053"/>
                <w:rFonts w:ascii="Times New Roman" w:hAnsi="Times New Roman" w:cs="Times New Roman"/>
                <w:bCs w:val="0"/>
                <w:sz w:val="22"/>
              </w:rPr>
              <w:t xml:space="preserve">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w:t>
            </w:r>
            <w:r>
              <w:rPr>
                <w:rStyle w:val="11053"/>
                <w:rFonts w:ascii="Times New Roman" w:hAnsi="Times New Roman" w:cs="Times New Roman"/>
                <w:bCs w:val="0"/>
                <w:sz w:val="22"/>
              </w:rPr>
              <w:t xml:space="preserve">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fldChar w:fldCharType="begin"/>
            </w:r>
            <w:r>
              <w:instrText xml:space="preserve">PAGEREF _Toc198483547 \h</w:instrText>
            </w:r>
            <w:r>
              <w:fldChar w:fldCharType="separate"/>
            </w:r>
            <w:r>
              <w:rPr>
                <w:rStyle w:val="11053"/>
                <w:rFonts w:ascii="Times New Roman" w:hAnsi="Times New Roman" w:cs="Times New Roman"/>
                <w:bCs w:val="0"/>
                <w:vanish w:val="0"/>
                <w:sz w:val="22"/>
              </w:rPr>
              <w:tab/>
              <w:t xml:space="preserve">139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48" w:anchor="_Toc198483548" w:history="1">
            <w:r>
              <w:rPr>
                <w:rStyle w:val="11053"/>
                <w:rFonts w:ascii="Times New Roman" w:hAnsi="Times New Roman" w:cs="Times New Roman"/>
                <w:bCs w:val="0"/>
                <w:sz w:val="22"/>
              </w:rPr>
              <w:t xml:space="preserve">9.6.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fldChar w:fldCharType="begin"/>
            </w:r>
            <w:r>
              <w:instrText xml:space="preserve">PAGEREF _Toc198483548 \h</w:instrText>
            </w:r>
            <w:r>
              <w:fldChar w:fldCharType="separate"/>
            </w:r>
            <w:r>
              <w:rPr>
                <w:rStyle w:val="11053"/>
                <w:rFonts w:ascii="Times New Roman" w:hAnsi="Times New Roman" w:cs="Times New Roman"/>
                <w:bCs w:val="0"/>
                <w:vanish w:val="0"/>
                <w:sz w:val="22"/>
              </w:rPr>
              <w:tab/>
              <w:t xml:space="preserve">141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49" w:anchor="_Toc198483549" w:history="1">
            <w:r>
              <w:rPr>
                <w:rStyle w:val="11053"/>
                <w:rFonts w:ascii="Times New Roman" w:hAnsi="Times New Roman" w:cs="Times New Roman"/>
                <w:bCs w:val="0"/>
                <w:sz w:val="22"/>
                <w:szCs w:val="22"/>
              </w:rPr>
              <w:t xml:space="preserve">10.</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Технико-экономические показатели теплоснабжающих и теплосетевых организаций</w:t>
            </w:r>
            <w:r>
              <w:fldChar w:fldCharType="begin"/>
            </w:r>
            <w:r>
              <w:instrText xml:space="preserve">PAGEREF _Toc198483549 \h</w:instrText>
            </w:r>
            <w:r>
              <w:fldChar w:fldCharType="separate"/>
            </w:r>
            <w:r>
              <w:rPr>
                <w:rStyle w:val="11053"/>
                <w:rFonts w:ascii="Times New Roman" w:hAnsi="Times New Roman" w:cs="Times New Roman"/>
                <w:bCs w:val="0"/>
                <w:vanish w:val="0"/>
                <w:sz w:val="22"/>
                <w:szCs w:val="22"/>
              </w:rPr>
              <w:tab/>
              <w:t xml:space="preserve">142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50" w:anchor="_Toc198483550" w:history="1">
            <w:r>
              <w:rPr>
                <w:rStyle w:val="11053"/>
                <w:rFonts w:ascii="Times New Roman" w:hAnsi="Times New Roman" w:cs="Times New Roman"/>
                <w:bCs w:val="0"/>
                <w:sz w:val="22"/>
                <w:szCs w:val="22"/>
              </w:rPr>
              <w:t xml:space="preserve">11.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Цены (тарифы) в сфере теплоснабжения</w:t>
            </w:r>
            <w:r>
              <w:fldChar w:fldCharType="begin"/>
            </w:r>
            <w:r>
              <w:instrText xml:space="preserve">PAGEREF _Toc198483550 \h</w:instrText>
            </w:r>
            <w:r>
              <w:fldChar w:fldCharType="separate"/>
            </w:r>
            <w:r>
              <w:rPr>
                <w:rStyle w:val="11053"/>
                <w:rFonts w:ascii="Times New Roman" w:hAnsi="Times New Roman" w:cs="Times New Roman"/>
                <w:bCs w:val="0"/>
                <w:vanish w:val="0"/>
                <w:sz w:val="22"/>
                <w:szCs w:val="22"/>
              </w:rPr>
              <w:tab/>
              <w:t xml:space="preserve">144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1" w:anchor="_Toc198483551" w:history="1">
            <w:r>
              <w:rPr>
                <w:rStyle w:val="11053"/>
                <w:rFonts w:ascii="Times New Roman" w:hAnsi="Times New Roman" w:cs="Times New Roman"/>
                <w:bCs w:val="0"/>
                <w:sz w:val="22"/>
              </w:rPr>
              <w:t xml:space="preserve">11.1.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Утвержденные тарифы на тепловую энергию</w:t>
            </w:r>
            <w:r>
              <w:fldChar w:fldCharType="begin"/>
            </w:r>
            <w:r>
              <w:instrText xml:space="preserve">PAGEREF _Toc198483551 \h</w:instrText>
            </w:r>
            <w:r>
              <w:fldChar w:fldCharType="separate"/>
            </w:r>
            <w:r>
              <w:rPr>
                <w:rStyle w:val="11053"/>
                <w:rFonts w:ascii="Times New Roman" w:hAnsi="Times New Roman" w:cs="Times New Roman"/>
                <w:bCs w:val="0"/>
                <w:vanish w:val="0"/>
                <w:sz w:val="22"/>
              </w:rPr>
              <w:tab/>
              <w:t xml:space="preserve">144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2" w:anchor="_Toc198483552" w:history="1">
            <w:r>
              <w:rPr>
                <w:rStyle w:val="11053"/>
                <w:rFonts w:ascii="Times New Roman" w:hAnsi="Times New Roman" w:cs="Times New Roman"/>
                <w:bCs w:val="0"/>
                <w:sz w:val="22"/>
              </w:rPr>
              <w:t xml:space="preserve">11.2.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Структура тарифов, установленных на момент разработки схемы теплоснабжения</w:t>
            </w:r>
            <w:r>
              <w:fldChar w:fldCharType="begin"/>
            </w:r>
            <w:r>
              <w:instrText xml:space="preserve">PAGEREF _Toc198483552 \h</w:instrText>
            </w:r>
            <w:r>
              <w:fldChar w:fldCharType="separate"/>
            </w:r>
            <w:r>
              <w:rPr>
                <w:rStyle w:val="11053"/>
                <w:rFonts w:ascii="Times New Roman" w:hAnsi="Times New Roman" w:cs="Times New Roman"/>
                <w:bCs w:val="0"/>
                <w:vanish w:val="0"/>
                <w:sz w:val="22"/>
              </w:rPr>
              <w:tab/>
              <w:t xml:space="preserve">145</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3" w:anchor="_Toc198483553" w:history="1">
            <w:r>
              <w:rPr>
                <w:rStyle w:val="11053"/>
                <w:rFonts w:ascii="Times New Roman" w:hAnsi="Times New Roman" w:cs="Times New Roman"/>
                <w:bCs w:val="0"/>
                <w:sz w:val="22"/>
              </w:rPr>
              <w:t xml:space="preserve">11.3.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Плата за подключение к системе теплоснабжения и поступления денежных средств от осуществления указанной деятельности</w:t>
            </w:r>
            <w:r>
              <w:fldChar w:fldCharType="begin"/>
            </w:r>
            <w:r>
              <w:instrText xml:space="preserve">PAGEREF _Toc198483553 \h</w:instrText>
            </w:r>
            <w:r>
              <w:fldChar w:fldCharType="separate"/>
            </w:r>
            <w:r>
              <w:rPr>
                <w:rStyle w:val="11053"/>
                <w:rFonts w:ascii="Times New Roman" w:hAnsi="Times New Roman" w:cs="Times New Roman"/>
                <w:bCs w:val="0"/>
                <w:vanish w:val="0"/>
                <w:sz w:val="22"/>
              </w:rPr>
              <w:tab/>
              <w:t xml:space="preserve">146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4" w:anchor="_Toc198483554" w:history="1">
            <w:r>
              <w:rPr>
                <w:rStyle w:val="11053"/>
                <w:rFonts w:ascii="Times New Roman" w:hAnsi="Times New Roman" w:cs="Times New Roman"/>
                <w:bCs w:val="0"/>
                <w:sz w:val="22"/>
              </w:rPr>
              <w:t xml:space="preserve">11.4.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Плата за услуги по поддержанию резервной тепловой мощности, в том числе для социально значимых категорий потребителей</w:t>
            </w:r>
            <w:r>
              <w:fldChar w:fldCharType="begin"/>
            </w:r>
            <w:r>
              <w:instrText xml:space="preserve">PAGEREF _Toc198483554 \h</w:instrText>
            </w:r>
            <w:r>
              <w:fldChar w:fldCharType="separate"/>
            </w:r>
            <w:r>
              <w:rPr>
                <w:rStyle w:val="11053"/>
                <w:rFonts w:ascii="Times New Roman" w:hAnsi="Times New Roman" w:cs="Times New Roman"/>
                <w:bCs w:val="0"/>
                <w:vanish w:val="0"/>
                <w:sz w:val="22"/>
              </w:rPr>
              <w:tab/>
              <w:t xml:space="preserve">146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5" w:anchor="_Toc198483555" w:history="1">
            <w:r>
              <w:rPr>
                <w:rStyle w:val="11053"/>
                <w:rFonts w:ascii="Times New Roman" w:hAnsi="Times New Roman" w:eastAsia="Calibri" w:cs="Times New Roman"/>
                <w:bCs w:val="0"/>
                <w:sz w:val="22"/>
              </w:rPr>
              <w:t xml:space="preserve">11.5.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eastAsia="Calibri" w:cs="Times New Roman"/>
                <w:bCs w:val="0"/>
                <w:sz w:val="22"/>
              </w:rPr>
              <w:t xml:space="preserve">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fldChar w:fldCharType="begin"/>
            </w:r>
            <w:r>
              <w:instrText xml:space="preserve">PAGEREF _Toc198483555 \h</w:instrText>
            </w:r>
            <w:r>
              <w:fldChar w:fldCharType="separate"/>
            </w:r>
            <w:r>
              <w:rPr>
                <w:rStyle w:val="11053"/>
                <w:rFonts w:ascii="Times New Roman" w:hAnsi="Times New Roman" w:cs="Times New Roman"/>
                <w:bCs w:val="0"/>
                <w:vanish w:val="0"/>
                <w:sz w:val="22"/>
              </w:rPr>
              <w:tab/>
              <w:tab/>
              <w:t xml:space="preserve">146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6" w:anchor="_Toc198483556" w:history="1">
            <w:r>
              <w:rPr>
                <w:rStyle w:val="11053"/>
                <w:rFonts w:ascii="Times New Roman" w:hAnsi="Times New Roman" w:eastAsia="Calibri" w:cs="Times New Roman"/>
                <w:bCs w:val="0"/>
                <w:sz w:val="22"/>
              </w:rPr>
              <w:t xml:space="preserve">11.6.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eastAsia="Calibri" w:cs="Times New Roman"/>
                <w:bCs w:val="0"/>
                <w:sz w:val="22"/>
              </w:rPr>
              <w:t xml:space="preserve">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fldChar w:fldCharType="begin"/>
            </w:r>
            <w:r>
              <w:instrText xml:space="preserve">PAGEREF _Toc198483556 \h</w:instrText>
            </w:r>
            <w:r>
              <w:fldChar w:fldCharType="separate"/>
            </w:r>
            <w:r>
              <w:rPr>
                <w:rStyle w:val="11053"/>
                <w:rFonts w:ascii="Times New Roman" w:hAnsi="Times New Roman" w:cs="Times New Roman"/>
                <w:bCs w:val="0"/>
                <w:vanish w:val="0"/>
                <w:sz w:val="22"/>
              </w:rPr>
              <w:tab/>
              <w:t xml:space="preserve">147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57" w:anchor="_Toc198483557" w:history="1">
            <w:r>
              <w:rPr>
                <w:rStyle w:val="11053"/>
                <w:rFonts w:ascii="Times New Roman" w:hAnsi="Times New Roman" w:cs="Times New Roman"/>
                <w:bCs w:val="0"/>
                <w:sz w:val="22"/>
                <w:szCs w:val="22"/>
              </w:rPr>
              <w:t xml:space="preserve">12.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r>
              <w:fldChar w:fldCharType="begin"/>
            </w:r>
            <w:r>
              <w:instrText xml:space="preserve">PAGEREF _Toc198483557 \h</w:instrText>
            </w:r>
            <w:r>
              <w:fldChar w:fldCharType="separate"/>
            </w:r>
            <w:r>
              <w:rPr>
                <w:rStyle w:val="11053"/>
                <w:rFonts w:ascii="Times New Roman" w:hAnsi="Times New Roman" w:cs="Times New Roman"/>
                <w:bCs w:val="0"/>
                <w:vanish w:val="0"/>
                <w:sz w:val="22"/>
                <w:szCs w:val="22"/>
              </w:rPr>
              <w:tab/>
              <w:tab/>
              <w:tab/>
              <w:tab/>
              <w:t xml:space="preserve">156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8" w:anchor="_Toc198483558" w:history="1">
            <w:r>
              <w:rPr>
                <w:rStyle w:val="11053"/>
                <w:rFonts w:ascii="Times New Roman" w:hAnsi="Times New Roman" w:cs="Times New Roman"/>
                <w:bCs w:val="0"/>
                <w:sz w:val="22"/>
              </w:rPr>
              <w:t xml:space="preserve">12.1.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существующих проблем организации качественного теплоснабжения</w:t>
            </w:r>
            <w:r>
              <w:fldChar w:fldCharType="begin"/>
            </w:r>
            <w:r>
              <w:instrText xml:space="preserve">PAGEREF _Toc198483558 \h</w:instrText>
            </w:r>
            <w:r>
              <w:fldChar w:fldCharType="separate"/>
            </w:r>
            <w:r>
              <w:rPr>
                <w:rStyle w:val="11053"/>
                <w:rFonts w:ascii="Times New Roman" w:hAnsi="Times New Roman" w:cs="Times New Roman"/>
                <w:bCs w:val="0"/>
                <w:vanish w:val="0"/>
                <w:sz w:val="22"/>
              </w:rPr>
              <w:tab/>
              <w:t xml:space="preserve">156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59" w:anchor="_Toc198483559" w:history="1">
            <w:r>
              <w:rPr>
                <w:rStyle w:val="11053"/>
                <w:rFonts w:ascii="Times New Roman" w:hAnsi="Times New Roman" w:cs="Times New Roman"/>
                <w:bCs w:val="0"/>
                <w:sz w:val="22"/>
              </w:rPr>
              <w:t xml:space="preserve">12.2.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существующих проблем организации надежного и безопасного теплоснабжения</w:t>
            </w:r>
            <w:r>
              <w:fldChar w:fldCharType="begin"/>
            </w:r>
            <w:r>
              <w:instrText xml:space="preserve">PAGEREF _Toc198483559 \h</w:instrText>
            </w:r>
            <w:r>
              <w:fldChar w:fldCharType="separate"/>
            </w:r>
            <w:r>
              <w:rPr>
                <w:rStyle w:val="11053"/>
                <w:rFonts w:ascii="Times New Roman" w:hAnsi="Times New Roman" w:cs="Times New Roman"/>
                <w:bCs w:val="0"/>
                <w:vanish w:val="0"/>
                <w:sz w:val="22"/>
              </w:rPr>
              <w:tab/>
              <w:tab/>
              <w:tab/>
              <w:t xml:space="preserve">156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60" w:anchor="_Toc198483560" w:history="1">
            <w:r>
              <w:rPr>
                <w:rStyle w:val="11053"/>
                <w:rFonts w:ascii="Times New Roman" w:hAnsi="Times New Roman" w:cs="Times New Roman"/>
                <w:bCs w:val="0"/>
                <w:sz w:val="22"/>
              </w:rPr>
              <w:t xml:space="preserve">12.3.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существующих проблем развития систем теплоснабжения</w:t>
            </w:r>
            <w:r>
              <w:fldChar w:fldCharType="begin"/>
            </w:r>
            <w:r>
              <w:instrText xml:space="preserve">PAGEREF _Toc198483560 \h</w:instrText>
            </w:r>
            <w:r>
              <w:fldChar w:fldCharType="separate"/>
            </w:r>
            <w:r>
              <w:rPr>
                <w:rStyle w:val="11053"/>
                <w:rFonts w:ascii="Times New Roman" w:hAnsi="Times New Roman" w:cs="Times New Roman"/>
                <w:bCs w:val="0"/>
                <w:vanish w:val="0"/>
                <w:sz w:val="22"/>
              </w:rPr>
              <w:tab/>
              <w:t xml:space="preserve">157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61" w:anchor="_Toc198483561" w:history="1">
            <w:r>
              <w:rPr>
                <w:rStyle w:val="11053"/>
                <w:rFonts w:ascii="Times New Roman" w:hAnsi="Times New Roman" w:cs="Times New Roman"/>
                <w:bCs w:val="0"/>
                <w:sz w:val="22"/>
              </w:rPr>
              <w:t xml:space="preserve">12.4.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Описание существующих проблем надежного и эффективного снабжения топливом действующих систем теплоснабжения</w:t>
            </w:r>
            <w:r>
              <w:fldChar w:fldCharType="begin"/>
            </w:r>
            <w:r>
              <w:instrText xml:space="preserve">PAGEREF _Toc198483561 \h</w:instrText>
            </w:r>
            <w:r>
              <w:fldChar w:fldCharType="separate"/>
            </w:r>
            <w:r>
              <w:rPr>
                <w:rStyle w:val="11053"/>
                <w:rFonts w:ascii="Times New Roman" w:hAnsi="Times New Roman" w:cs="Times New Roman"/>
                <w:bCs w:val="0"/>
                <w:vanish w:val="0"/>
                <w:sz w:val="22"/>
              </w:rPr>
              <w:tab/>
              <w:t xml:space="preserve">157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62" w:anchor="_Toc198483562" w:history="1">
            <w:r>
              <w:rPr>
                <w:rStyle w:val="11053"/>
                <w:rFonts w:ascii="Times New Roman" w:hAnsi="Times New Roman" w:cs="Times New Roman"/>
                <w:bCs w:val="0"/>
                <w:sz w:val="22"/>
              </w:rPr>
              <w:t xml:space="preserve">12.5.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Анализ предписаний надзорных органов об устранении нарушений, влияющих на безопасность и надежность системы теплоснабжения</w:t>
            </w:r>
            <w:r>
              <w:fldChar w:fldCharType="begin"/>
            </w:r>
            <w:r>
              <w:instrText xml:space="preserve">PAGEREF _Toc198483562 \h</w:instrText>
            </w:r>
            <w:r>
              <w:fldChar w:fldCharType="separate"/>
            </w:r>
            <w:r>
              <w:rPr>
                <w:rStyle w:val="11053"/>
                <w:rFonts w:ascii="Times New Roman" w:hAnsi="Times New Roman" w:cs="Times New Roman"/>
                <w:bCs w:val="0"/>
                <w:vanish w:val="0"/>
                <w:sz w:val="22"/>
              </w:rPr>
              <w:tab/>
              <w:t xml:space="preserve">157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63" w:anchor="_Toc198483563" w:history="1">
            <w:r>
              <w:rPr>
                <w:rStyle w:val="11053"/>
                <w:rFonts w:ascii="Times New Roman" w:hAnsi="Times New Roman" w:cs="Times New Roman"/>
                <w:bCs w:val="0"/>
                <w:sz w:val="22"/>
                <w:szCs w:val="22"/>
              </w:rPr>
              <w:t xml:space="preserve">ГЛАВА 2 СУЩЕСТВУЮЩЕЕ И ПЕРСПЕКТИВНОЕ ПОТРЕБЛЕНИЕ ТЕПЛОВОЙ ЭНЕРГИИ НА ЦЕЛИ ТЕПЛОСНАБЖЕНИЯ</w:t>
            </w:r>
            <w:r>
              <w:fldChar w:fldCharType="begin"/>
            </w:r>
            <w:r>
              <w:instrText xml:space="preserve">PAGEREF _Toc198483563 \h</w:instrText>
            </w:r>
            <w:r>
              <w:fldChar w:fldCharType="separate"/>
            </w:r>
            <w:r>
              <w:rPr>
                <w:rStyle w:val="11053"/>
                <w:rFonts w:ascii="Times New Roman" w:hAnsi="Times New Roman" w:cs="Times New Roman"/>
                <w:bCs w:val="0"/>
                <w:vanish w:val="0"/>
                <w:sz w:val="22"/>
                <w:szCs w:val="22"/>
              </w:rPr>
              <w:tab/>
              <w:t xml:space="preserve">158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64" w:anchor="_Toc198483564" w:history="1">
            <w:r>
              <w:rPr>
                <w:rStyle w:val="11053"/>
                <w:rFonts w:ascii="Times New Roman" w:hAnsi="Times New Roman" w:eastAsia="Calibri"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eastAsia="Calibri" w:cs="Times New Roman"/>
                <w:bCs w:val="0"/>
                <w:sz w:val="22"/>
                <w:szCs w:val="22"/>
              </w:rPr>
              <w:t xml:space="preserve">Данные базового уровня потребления тепла на цели теплоснабжения</w:t>
            </w:r>
            <w:r>
              <w:fldChar w:fldCharType="begin"/>
            </w:r>
            <w:r>
              <w:instrText xml:space="preserve">PAGEREF _Toc198483564 \h</w:instrText>
            </w:r>
            <w:r>
              <w:fldChar w:fldCharType="separate"/>
            </w:r>
            <w:r>
              <w:rPr>
                <w:rStyle w:val="11053"/>
                <w:rFonts w:ascii="Times New Roman" w:hAnsi="Times New Roman" w:cs="Times New Roman"/>
                <w:bCs w:val="0"/>
                <w:vanish w:val="0"/>
                <w:sz w:val="22"/>
                <w:szCs w:val="22"/>
              </w:rPr>
              <w:tab/>
              <w:t xml:space="preserve">158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65" w:anchor="_Toc198483565"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Прогнозы приростов площади строительных фондов, сгруппированные по расчетным эл</w:t>
            </w:r>
            <w:r>
              <w:rPr>
                <w:rStyle w:val="11053"/>
                <w:rFonts w:ascii="Times New Roman" w:hAnsi="Times New Roman" w:cs="Times New Roman"/>
                <w:bCs w:val="0"/>
                <w:sz w:val="22"/>
                <w:szCs w:val="22"/>
              </w:rPr>
              <w:t xml:space="preserve">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fldChar w:fldCharType="begin"/>
            </w:r>
            <w:r>
              <w:instrText xml:space="preserve">PAGEREF _Toc198483565 \h</w:instrText>
            </w:r>
            <w:r>
              <w:fldChar w:fldCharType="separate"/>
            </w:r>
            <w:r>
              <w:rPr>
                <w:rStyle w:val="11053"/>
                <w:rFonts w:ascii="Times New Roman" w:hAnsi="Times New Roman" w:cs="Times New Roman"/>
                <w:bCs w:val="0"/>
                <w:vanish w:val="0"/>
                <w:sz w:val="22"/>
                <w:szCs w:val="22"/>
              </w:rPr>
              <w:tab/>
              <w:tab/>
              <w:tab/>
              <w:tab/>
              <w:t xml:space="preserve">160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66" w:anchor="_Toc198483566"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Прогнозы п</w:t>
            </w:r>
            <w:r>
              <w:rPr>
                <w:rStyle w:val="11053"/>
                <w:rFonts w:ascii="Times New Roman" w:hAnsi="Times New Roman" w:cs="Times New Roman"/>
                <w:bCs w:val="0"/>
                <w:sz w:val="22"/>
                <w:szCs w:val="22"/>
              </w:rPr>
              <w:t xml:space="preserve">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fldChar w:fldCharType="begin"/>
            </w:r>
            <w:r>
              <w:instrText xml:space="preserve">PAGEREF _Toc198483566 \h</w:instrText>
            </w:r>
            <w:r>
              <w:fldChar w:fldCharType="separate"/>
            </w:r>
            <w:r>
              <w:rPr>
                <w:rStyle w:val="11053"/>
                <w:rFonts w:ascii="Times New Roman" w:hAnsi="Times New Roman" w:cs="Times New Roman"/>
                <w:bCs w:val="0"/>
                <w:vanish w:val="0"/>
                <w:sz w:val="22"/>
                <w:szCs w:val="22"/>
              </w:rPr>
              <w:tab/>
              <w:tab/>
              <w:tab/>
              <w:tab/>
              <w:t xml:space="preserve">161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67" w:anchor="_Toc198483567" w:history="1">
            <w:r>
              <w:rPr>
                <w:rStyle w:val="11053"/>
                <w:rFonts w:ascii="Times New Roman" w:hAnsi="Times New Roman" w:cs="Times New Roman"/>
                <w:bCs w:val="0"/>
                <w:sz w:val="22"/>
              </w:rPr>
              <w:t xml:space="preserve">3.1.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Нормативы потребления тепловой энергии для целей отопления и вентиляции зданий</w:t>
            </w:r>
            <w:r>
              <w:fldChar w:fldCharType="begin"/>
            </w:r>
            <w:r>
              <w:instrText xml:space="preserve">PAGEREF _Toc198483567 \h</w:instrText>
            </w:r>
            <w:r>
              <w:fldChar w:fldCharType="separate"/>
            </w:r>
            <w:r>
              <w:rPr>
                <w:rStyle w:val="11053"/>
                <w:rFonts w:ascii="Times New Roman" w:hAnsi="Times New Roman" w:cs="Times New Roman"/>
                <w:bCs w:val="0"/>
                <w:vanish w:val="0"/>
                <w:sz w:val="22"/>
              </w:rPr>
              <w:tab/>
              <w:t xml:space="preserve">162</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68" w:anchor="_Toc198483568"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Прогнозы приростов объемов потребления т</w:t>
            </w:r>
            <w:r>
              <w:rPr>
                <w:rStyle w:val="11053"/>
                <w:rFonts w:ascii="Times New Roman" w:hAnsi="Times New Roman" w:cs="Times New Roman"/>
                <w:bCs w:val="0"/>
                <w:sz w:val="22"/>
                <w:szCs w:val="22"/>
              </w:rPr>
              <w:t xml:space="preserve">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fldChar w:fldCharType="begin"/>
            </w:r>
            <w:r>
              <w:instrText xml:space="preserve">PAGEREF _Toc198483568 \h</w:instrText>
            </w:r>
            <w:r>
              <w:fldChar w:fldCharType="separate"/>
            </w:r>
            <w:r>
              <w:rPr>
                <w:rStyle w:val="11053"/>
                <w:rFonts w:ascii="Times New Roman" w:hAnsi="Times New Roman" w:cs="Times New Roman"/>
                <w:bCs w:val="0"/>
                <w:vanish w:val="0"/>
                <w:sz w:val="22"/>
                <w:szCs w:val="22"/>
              </w:rPr>
              <w:tab/>
              <w:t xml:space="preserve">164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69" w:anchor="_Toc198483569"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w:t>
            </w:r>
            <w:r>
              <w:rPr>
                <w:rStyle w:val="11053"/>
                <w:rFonts w:ascii="Times New Roman" w:hAnsi="Times New Roman" w:cs="Times New Roman"/>
                <w:bCs w:val="0"/>
                <w:sz w:val="22"/>
                <w:szCs w:val="22"/>
              </w:rPr>
              <w:t xml:space="preserve">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fldChar w:fldCharType="begin"/>
            </w:r>
            <w:r>
              <w:instrText xml:space="preserve">PAGEREF _Toc198483569 \h</w:instrText>
            </w:r>
            <w:r>
              <w:fldChar w:fldCharType="separate"/>
            </w:r>
            <w:r>
              <w:rPr>
                <w:rStyle w:val="11053"/>
                <w:rFonts w:ascii="Times New Roman" w:hAnsi="Times New Roman" w:cs="Times New Roman"/>
                <w:bCs w:val="0"/>
                <w:vanish w:val="0"/>
                <w:sz w:val="22"/>
                <w:szCs w:val="22"/>
              </w:rPr>
              <w:tab/>
              <w:t xml:space="preserve">168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70" w:anchor="_Toc198483570" w:history="1">
            <w:r>
              <w:rPr>
                <w:rStyle w:val="11053"/>
                <w:rFonts w:ascii="Times New Roman" w:hAnsi="Times New Roman" w:cs="Times New Roman"/>
                <w:bCs w:val="0"/>
                <w:sz w:val="22"/>
              </w:rPr>
              <w:t xml:space="preserve">5.1.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fldChar w:fldCharType="begin"/>
            </w:r>
            <w:r>
              <w:instrText xml:space="preserve">PAGEREF _Toc198483570 \h</w:instrText>
            </w:r>
            <w:r>
              <w:fldChar w:fldCharType="separate"/>
            </w:r>
            <w:r>
              <w:rPr>
                <w:rStyle w:val="11053"/>
                <w:rFonts w:ascii="Times New Roman" w:hAnsi="Times New Roman" w:cs="Times New Roman"/>
                <w:bCs w:val="0"/>
                <w:vanish w:val="0"/>
                <w:sz w:val="22"/>
              </w:rPr>
              <w:tab/>
              <w:t xml:space="preserve">168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71" w:anchor="_Toc198483571" w:history="1">
            <w:r>
              <w:rPr>
                <w:rStyle w:val="11053"/>
                <w:rFonts w:ascii="Times New Roman" w:hAnsi="Times New Roman" w:cs="Times New Roman"/>
                <w:bCs w:val="0"/>
                <w:sz w:val="22"/>
              </w:rPr>
              <w:t xml:space="preserve">5.2.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fldChar w:fldCharType="begin"/>
            </w:r>
            <w:r>
              <w:instrText xml:space="preserve">PAGEREF _Toc198483571 \h</w:instrText>
            </w:r>
            <w:r>
              <w:fldChar w:fldCharType="separate"/>
            </w:r>
            <w:r>
              <w:rPr>
                <w:rStyle w:val="11053"/>
                <w:rFonts w:ascii="Times New Roman" w:hAnsi="Times New Roman" w:cs="Times New Roman"/>
                <w:bCs w:val="0"/>
                <w:vanish w:val="0"/>
                <w:sz w:val="22"/>
              </w:rPr>
              <w:tab/>
              <w:t xml:space="preserve">170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572" w:anchor="_Toc198483572" w:history="1">
            <w:r>
              <w:rPr>
                <w:rStyle w:val="11053"/>
                <w:rFonts w:ascii="Times New Roman" w:hAnsi="Times New Roman" w:cs="Times New Roman"/>
                <w:bCs w:val="0"/>
                <w:sz w:val="22"/>
              </w:rPr>
              <w:t xml:space="preserve">5.3.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w:t>
            </w:r>
            <w:r>
              <w:rPr>
                <w:rStyle w:val="11053"/>
                <w:rFonts w:ascii="Times New Roman" w:hAnsi="Times New Roman" w:cs="Times New Roman"/>
                <w:bCs w:val="0"/>
                <w:sz w:val="22"/>
                <w:shd w:val="clear" w:color="auto" w:fill="auto"/>
              </w:rPr>
              <w:t xml:space="preserve">цене</w:t>
            </w:r>
            <w:r>
              <w:fldChar w:fldCharType="begin"/>
            </w:r>
            <w:r>
              <w:instrText xml:space="preserve">PAGEREF _Toc198483572 \h</w:instrText>
            </w:r>
            <w:r>
              <w:fldChar w:fldCharType="separate"/>
            </w:r>
            <w:r>
              <w:rPr>
                <w:rStyle w:val="11053"/>
                <w:rFonts w:ascii="Times New Roman" w:hAnsi="Times New Roman" w:cs="Times New Roman"/>
                <w:bCs w:val="0"/>
                <w:vanish w:val="0"/>
                <w:sz w:val="22"/>
                <w:shd w:val="clear" w:color="auto" w:fill="auto"/>
              </w:rPr>
              <w:tab/>
              <w:tab/>
              <w:t xml:space="preserve">171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spacing/>
            <w:ind w:firstLine="0"/>
            <w:rPr/>
          </w:pPr>
          <w:r/>
          <w:hyperlink w:tooltip="#_Toc198483573" w:anchor="_Toc198483573" w:history="1">
            <w:r>
              <w:rPr>
                <w:rStyle w:val="11053"/>
                <w:rFonts w:ascii="Times New Roman" w:hAnsi="Times New Roman" w:cs="Times New Roman"/>
                <w:bCs w:val="0"/>
                <w:sz w:val="22"/>
                <w:szCs w:val="22"/>
                <w:shd w:val="clear" w:color="auto" w:fill="auto"/>
              </w:rPr>
              <w:t xml:space="preserve">ГЛАВА 3. ЭЛЕКТРОННАЯ МОДЕЛЬ СИСТЕМЫ ТЕПЛОСНАБЖЕНИЯ ПОСЕЛЕНИЯ</w:t>
            </w:r>
            <w:r>
              <w:fldChar w:fldCharType="begin"/>
            </w:r>
            <w:r>
              <w:instrText xml:space="preserve">PAGEREF _Toc198483573 \h</w:instrText>
            </w:r>
            <w:r>
              <w:fldChar w:fldCharType="separate"/>
            </w:r>
            <w:r>
              <w:rPr>
                <w:rStyle w:val="11053"/>
                <w:rFonts w:ascii="Times New Roman" w:hAnsi="Times New Roman" w:cs="Times New Roman"/>
                <w:bCs w:val="0"/>
                <w:vanish w:val="0"/>
                <w:sz w:val="22"/>
                <w:szCs w:val="22"/>
                <w:shd w:val="clear" w:color="auto" w:fill="auto"/>
              </w:rPr>
              <w:tab/>
              <w:t xml:space="preserve">174</w:t>
            </w:r>
            <w:r>
              <w:fldChar w:fldCharType="end"/>
            </w:r>
          </w:hyperlink>
          <w:r/>
          <w:r/>
        </w:p>
        <w:p>
          <w:pPr>
            <w:pStyle w:val="11104"/>
            <w:pBdr/>
            <w:spacing/>
            <w:ind w:firstLine="0"/>
            <w:rPr/>
          </w:pPr>
          <w:r/>
          <w:hyperlink w:tooltip="#_Toc198483574" w:anchor="_Toc198483574" w:history="1">
            <w:r>
              <w:rPr>
                <w:rStyle w:val="11053"/>
                <w:rFonts w:ascii="Times New Roman" w:hAnsi="Times New Roman" w:cs="Times New Roman"/>
                <w:bCs w:val="0"/>
                <w:sz w:val="22"/>
                <w:szCs w:val="22"/>
                <w:shd w:val="clear" w:color="auto" w:fill="auto"/>
              </w:rPr>
              <w:t xml:space="preserve">ГЛАВА 4. СУЩЕСТВУЮЩИЕ И ПЕРСПЕКТИВНЫЕ БАЛАНСЫ ТЕПЛОВОЙ МОЩНОСТИ ИСТОЧНИКОВ ТЕПЛОВОЙ ЭНЕРГИИ И ТЕПЛОВОЙ НАГРУЗКИ ПОТРЕБИТЕЛЕЙ</w:t>
            </w:r>
            <w:r>
              <w:fldChar w:fldCharType="begin"/>
            </w:r>
            <w:r>
              <w:instrText xml:space="preserve">PAGEREF _Toc198483574 \h</w:instrText>
            </w:r>
            <w:r>
              <w:fldChar w:fldCharType="separate"/>
            </w:r>
            <w:r>
              <w:rPr>
                <w:rStyle w:val="11053"/>
                <w:rFonts w:ascii="Times New Roman" w:hAnsi="Times New Roman" w:cs="Times New Roman"/>
                <w:bCs w:val="0"/>
                <w:vanish w:val="0"/>
                <w:sz w:val="22"/>
                <w:szCs w:val="22"/>
                <w:shd w:val="clear" w:color="auto" w:fill="auto"/>
              </w:rPr>
              <w:tab/>
              <w:t xml:space="preserve">175</w:t>
            </w:r>
            <w:r>
              <w:fldChar w:fldCharType="end"/>
            </w:r>
          </w:hyperlink>
          <w:r/>
          <w:r/>
        </w:p>
        <w:p>
          <w:pPr>
            <w:pStyle w:val="11104"/>
            <w:pBdr/>
            <w:tabs>
              <w:tab w:val="left" w:leader="none" w:pos="440"/>
              <w:tab w:val="left" w:leader="none" w:pos="1320"/>
              <w:tab w:val="right" w:leader="dot" w:pos="9214"/>
            </w:tabs>
            <w:spacing/>
            <w:ind w:firstLine="0"/>
            <w:rPr/>
          </w:pPr>
          <w:r/>
          <w:hyperlink w:tooltip="#_Toc198483575" w:anchor="_Toc198483575" w:history="1">
            <w:r>
              <w:rPr>
                <w:rStyle w:val="11053"/>
                <w:rFonts w:ascii="Times New Roman" w:hAnsi="Times New Roman" w:cs="Times New Roman"/>
                <w:bCs w:val="0"/>
                <w:sz w:val="22"/>
                <w:szCs w:val="22"/>
                <w:shd w:val="clear" w:color="auto" w:fill="auto"/>
              </w:rPr>
              <w:t xml:space="preserve">1.</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Балансы существующей на базовый период схемы теплоснабжения (акт</w:t>
            </w:r>
            <w:r>
              <w:rPr>
                <w:rStyle w:val="11053"/>
                <w:rFonts w:ascii="Times New Roman" w:hAnsi="Times New Roman" w:cs="Times New Roman"/>
                <w:bCs w:val="0"/>
                <w:sz w:val="22"/>
                <w:szCs w:val="22"/>
                <w:shd w:val="clear" w:color="auto" w:fill="auto"/>
              </w:rPr>
              <w:t xml:space="preserve">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w:t>
            </w:r>
            <w:r>
              <w:rPr>
                <w:rStyle w:val="11053"/>
                <w:rFonts w:ascii="Times New Roman" w:hAnsi="Times New Roman" w:cs="Times New Roman"/>
                <w:bCs w:val="0"/>
                <w:sz w:val="22"/>
                <w:szCs w:val="22"/>
                <w:shd w:val="clear" w:color="auto" w:fill="auto"/>
              </w:rPr>
              <w:t xml:space="preserve">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w:t>
            </w:r>
            <w:r>
              <w:rPr>
                <w:rStyle w:val="11053"/>
                <w:rFonts w:ascii="Times New Roman" w:hAnsi="Times New Roman" w:cs="Times New Roman"/>
                <w:bCs w:val="0"/>
                <w:sz w:val="22"/>
                <w:szCs w:val="22"/>
                <w:shd w:val="clear" w:color="auto" w:fill="auto"/>
              </w:rPr>
              <w:t xml:space="preserve">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fldChar w:fldCharType="begin"/>
            </w:r>
            <w:r>
              <w:instrText xml:space="preserve">PAGEREF _Toc198483575 \h</w:instrText>
            </w:r>
            <w:r>
              <w:fldChar w:fldCharType="separate"/>
            </w:r>
            <w:r>
              <w:rPr>
                <w:rStyle w:val="11053"/>
                <w:rFonts w:ascii="Times New Roman" w:hAnsi="Times New Roman" w:cs="Times New Roman"/>
                <w:bCs w:val="0"/>
                <w:vanish w:val="0"/>
                <w:sz w:val="22"/>
                <w:szCs w:val="22"/>
                <w:shd w:val="clear" w:color="auto" w:fill="auto"/>
              </w:rPr>
              <w:tab/>
              <w:t xml:space="preserve">175</w:t>
            </w:r>
            <w:r>
              <w:fldChar w:fldCharType="end"/>
            </w:r>
          </w:hyperlink>
          <w:r/>
          <w:r/>
        </w:p>
        <w:p>
          <w:pPr>
            <w:pStyle w:val="11104"/>
            <w:pBdr/>
            <w:tabs>
              <w:tab w:val="left" w:leader="none" w:pos="440"/>
              <w:tab w:val="left" w:leader="none" w:pos="1320"/>
              <w:tab w:val="right" w:leader="dot" w:pos="9214"/>
            </w:tabs>
            <w:spacing/>
            <w:ind w:firstLine="0"/>
            <w:rPr/>
          </w:pPr>
          <w:r/>
          <w:hyperlink w:tooltip="#_Toc198483576" w:anchor="_Toc198483576" w:history="1">
            <w:r>
              <w:rPr>
                <w:rStyle w:val="11053"/>
                <w:rFonts w:ascii="Times New Roman" w:hAnsi="Times New Roman" w:cs="Times New Roman"/>
                <w:bCs w:val="0"/>
                <w:sz w:val="22"/>
                <w:szCs w:val="22"/>
                <w:shd w:val="clear" w:color="auto" w:fill="auto"/>
              </w:rPr>
              <w:t xml:space="preserve">2.</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Гидравлическ</w:t>
            </w:r>
            <w:r>
              <w:rPr>
                <w:rStyle w:val="11053"/>
                <w:rFonts w:ascii="Times New Roman" w:hAnsi="Times New Roman" w:cs="Times New Roman"/>
                <w:bCs w:val="0"/>
                <w:sz w:val="22"/>
                <w:szCs w:val="22"/>
                <w:shd w:val="clear" w:color="auto" w:fill="auto"/>
              </w:rPr>
              <w:t xml:space="preserve">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fldChar w:fldCharType="begin"/>
            </w:r>
            <w:r>
              <w:instrText xml:space="preserve">PAGEREF _Toc198483576 \h</w:instrText>
            </w:r>
            <w:r>
              <w:fldChar w:fldCharType="separate"/>
            </w:r>
            <w:r>
              <w:rPr>
                <w:rStyle w:val="11053"/>
                <w:rFonts w:ascii="Times New Roman" w:hAnsi="Times New Roman" w:cs="Times New Roman"/>
                <w:bCs w:val="0"/>
                <w:vanish w:val="0"/>
                <w:sz w:val="22"/>
                <w:szCs w:val="22"/>
                <w:shd w:val="clear" w:color="auto" w:fill="auto"/>
              </w:rPr>
              <w:tab/>
              <w:tab/>
              <w:t xml:space="preserve">178</w:t>
            </w:r>
            <w:r>
              <w:fldChar w:fldCharType="end"/>
            </w:r>
          </w:hyperlink>
          <w:r/>
          <w:r/>
        </w:p>
        <w:p>
          <w:pPr>
            <w:pStyle w:val="11104"/>
            <w:pBdr/>
            <w:tabs>
              <w:tab w:val="left" w:leader="none" w:pos="440"/>
              <w:tab w:val="left" w:leader="none" w:pos="1320"/>
              <w:tab w:val="right" w:leader="dot" w:pos="9214"/>
            </w:tabs>
            <w:spacing/>
            <w:ind w:firstLine="0"/>
            <w:rPr/>
          </w:pPr>
          <w:r/>
          <w:hyperlink w:tooltip="#_Toc198483577" w:anchor="_Toc198483577" w:history="1">
            <w:r>
              <w:rPr>
                <w:rStyle w:val="11053"/>
                <w:rFonts w:ascii="Times New Roman" w:hAnsi="Times New Roman" w:cs="Times New Roman"/>
                <w:bCs w:val="0"/>
                <w:sz w:val="22"/>
                <w:szCs w:val="22"/>
                <w:shd w:val="clear" w:color="auto" w:fill="auto"/>
              </w:rPr>
              <w:t xml:space="preserve">3.</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Выводы о резервах (дефицитах) существующей системы теплоснабжения при обеспечении перспективной тепловой нагрузки потребителей</w:t>
            </w:r>
            <w:r>
              <w:fldChar w:fldCharType="begin"/>
            </w:r>
            <w:r>
              <w:instrText xml:space="preserve">PAGEREF _Toc198483577 \h</w:instrText>
            </w:r>
            <w:r>
              <w:fldChar w:fldCharType="separate"/>
            </w:r>
            <w:r>
              <w:rPr>
                <w:rStyle w:val="11053"/>
                <w:rFonts w:ascii="Times New Roman" w:hAnsi="Times New Roman" w:cs="Times New Roman"/>
                <w:bCs w:val="0"/>
                <w:vanish w:val="0"/>
                <w:sz w:val="22"/>
                <w:szCs w:val="22"/>
                <w:shd w:val="clear" w:color="auto" w:fill="auto"/>
              </w:rPr>
              <w:tab/>
              <w:t xml:space="preserve">184</w:t>
            </w:r>
            <w:r>
              <w:fldChar w:fldCharType="end"/>
            </w:r>
          </w:hyperlink>
          <w:r/>
          <w:r/>
        </w:p>
        <w:p>
          <w:pPr>
            <w:pStyle w:val="11104"/>
            <w:pBdr/>
            <w:spacing/>
            <w:ind w:firstLine="0"/>
            <w:rPr/>
          </w:pPr>
          <w:r/>
          <w:hyperlink w:tooltip="#_Toc198483578" w:anchor="_Toc198483578" w:history="1">
            <w:r>
              <w:rPr>
                <w:rStyle w:val="11053"/>
                <w:rFonts w:ascii="Times New Roman" w:hAnsi="Times New Roman" w:cs="Times New Roman"/>
                <w:bCs w:val="0"/>
                <w:sz w:val="22"/>
                <w:szCs w:val="22"/>
                <w:shd w:val="clear" w:color="auto" w:fill="auto"/>
              </w:rPr>
              <w:t xml:space="preserve">ГЛАВА 5. МАСТЕР-ПЛАН РАЗВИТИЯ СИСТЕМЫ ТЕПЛОСНАБЖЕНИЯ ПОСЕЛЕНИЯ</w:t>
            </w:r>
            <w:r>
              <w:fldChar w:fldCharType="begin"/>
            </w:r>
            <w:r>
              <w:instrText xml:space="preserve">PAGEREF _Toc198483578 \h</w:instrText>
            </w:r>
            <w:r>
              <w:fldChar w:fldCharType="separate"/>
            </w:r>
            <w:r>
              <w:rPr>
                <w:rStyle w:val="11053"/>
                <w:rFonts w:ascii="Times New Roman" w:hAnsi="Times New Roman" w:cs="Times New Roman"/>
                <w:bCs w:val="0"/>
                <w:vanish w:val="0"/>
                <w:sz w:val="22"/>
                <w:szCs w:val="22"/>
                <w:shd w:val="clear" w:color="auto" w:fill="auto"/>
              </w:rPr>
              <w:tab/>
              <w:t xml:space="preserve">187</w:t>
            </w:r>
            <w:r>
              <w:fldChar w:fldCharType="end"/>
            </w:r>
          </w:hyperlink>
          <w:r/>
          <w:r/>
        </w:p>
        <w:p>
          <w:pPr>
            <w:pStyle w:val="11104"/>
            <w:pBdr/>
            <w:tabs>
              <w:tab w:val="left" w:leader="none" w:pos="440"/>
              <w:tab w:val="left" w:leader="none" w:pos="1320"/>
              <w:tab w:val="right" w:leader="dot" w:pos="9214"/>
            </w:tabs>
            <w:spacing/>
            <w:ind w:firstLine="0"/>
            <w:rPr/>
          </w:pPr>
          <w:r/>
          <w:hyperlink w:tooltip="#_Toc198483579" w:anchor="_Toc198483579" w:history="1">
            <w:r>
              <w:rPr>
                <w:rStyle w:val="11053"/>
                <w:rFonts w:ascii="Times New Roman" w:hAnsi="Times New Roman" w:cs="Times New Roman"/>
                <w:bCs w:val="0"/>
                <w:sz w:val="22"/>
                <w:szCs w:val="22"/>
                <w:shd w:val="clear" w:color="auto" w:fill="auto"/>
              </w:rPr>
              <w:t xml:space="preserve">1.</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fldChar w:fldCharType="begin"/>
            </w:r>
            <w:r>
              <w:instrText xml:space="preserve">PAGEREF _Toc198483579 \h</w:instrText>
            </w:r>
            <w:r>
              <w:fldChar w:fldCharType="separate"/>
            </w:r>
            <w:r>
              <w:rPr>
                <w:rStyle w:val="11053"/>
                <w:rFonts w:ascii="Times New Roman" w:hAnsi="Times New Roman" w:cs="Times New Roman"/>
                <w:bCs w:val="0"/>
                <w:vanish w:val="0"/>
                <w:sz w:val="22"/>
                <w:szCs w:val="22"/>
                <w:shd w:val="clear" w:color="auto" w:fill="auto"/>
              </w:rPr>
              <w:tab/>
              <w:t xml:space="preserve">187</w:t>
            </w:r>
            <w:r>
              <w:fldChar w:fldCharType="end"/>
            </w:r>
          </w:hyperlink>
          <w:r/>
          <w:r/>
        </w:p>
        <w:p>
          <w:pPr>
            <w:pStyle w:val="11104"/>
            <w:pBdr/>
            <w:tabs>
              <w:tab w:val="left" w:leader="none" w:pos="440"/>
              <w:tab w:val="left" w:leader="none" w:pos="1320"/>
              <w:tab w:val="right" w:leader="dot" w:pos="9214"/>
            </w:tabs>
            <w:spacing/>
            <w:ind w:firstLine="0"/>
            <w:rPr/>
          </w:pPr>
          <w:r/>
          <w:hyperlink w:tooltip="#_Toc198483580" w:anchor="_Toc198483580" w:history="1">
            <w:r>
              <w:rPr>
                <w:rStyle w:val="11053"/>
                <w:rFonts w:ascii="Times New Roman" w:hAnsi="Times New Roman" w:cs="Times New Roman"/>
                <w:bCs w:val="0"/>
                <w:sz w:val="22"/>
                <w:szCs w:val="22"/>
                <w:shd w:val="clear" w:color="auto" w:fill="auto"/>
              </w:rPr>
              <w:t xml:space="preserve">2.</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Технико-экономическое сравнение вариантов перспективного развития систем теплоснабжения поселения</w:t>
            </w:r>
            <w:r>
              <w:fldChar w:fldCharType="begin"/>
            </w:r>
            <w:r>
              <w:instrText xml:space="preserve">PAGEREF _Toc198483580 \h</w:instrText>
            </w:r>
            <w:r>
              <w:fldChar w:fldCharType="separate"/>
            </w:r>
            <w:r>
              <w:rPr>
                <w:rStyle w:val="11053"/>
                <w:rFonts w:ascii="Times New Roman" w:hAnsi="Times New Roman" w:cs="Times New Roman"/>
                <w:bCs w:val="0"/>
                <w:vanish w:val="0"/>
                <w:sz w:val="22"/>
                <w:szCs w:val="22"/>
                <w:shd w:val="clear" w:color="auto" w:fill="auto"/>
              </w:rPr>
              <w:tab/>
              <w:t xml:space="preserve">188</w:t>
            </w:r>
            <w:r>
              <w:fldChar w:fldCharType="end"/>
            </w:r>
          </w:hyperlink>
          <w:r/>
          <w:r/>
        </w:p>
        <w:p>
          <w:pPr>
            <w:pStyle w:val="11104"/>
            <w:pBdr/>
            <w:tabs>
              <w:tab w:val="left" w:leader="none" w:pos="440"/>
              <w:tab w:val="left" w:leader="none" w:pos="1320"/>
              <w:tab w:val="right" w:leader="dot" w:pos="9214"/>
            </w:tabs>
            <w:spacing/>
            <w:ind w:firstLine="0"/>
            <w:rPr/>
          </w:pPr>
          <w:r/>
          <w:hyperlink w:tooltip="#_Toc198483581" w:anchor="_Toc198483581" w:history="1">
            <w:r>
              <w:rPr>
                <w:rStyle w:val="11053"/>
                <w:rFonts w:ascii="Times New Roman" w:hAnsi="Times New Roman" w:cs="Times New Roman"/>
                <w:bCs w:val="0"/>
                <w:sz w:val="22"/>
                <w:szCs w:val="22"/>
                <w:shd w:val="clear" w:color="auto" w:fill="auto"/>
              </w:rPr>
              <w:t xml:space="preserve">3.</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Обоснование выбора приорит</w:t>
            </w:r>
            <w:r>
              <w:rPr>
                <w:rStyle w:val="11053"/>
                <w:rFonts w:ascii="Times New Roman" w:hAnsi="Times New Roman" w:cs="Times New Roman"/>
                <w:bCs w:val="0"/>
                <w:sz w:val="22"/>
                <w:szCs w:val="22"/>
                <w:shd w:val="clear" w:color="auto" w:fill="auto"/>
              </w:rPr>
              <w:t xml:space="preserve">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w:t>
            </w:r>
            <w:r>
              <w:rPr>
                <w:rStyle w:val="11053"/>
                <w:rFonts w:ascii="Times New Roman" w:hAnsi="Times New Roman" w:cs="Times New Roman"/>
                <w:bCs w:val="0"/>
                <w:sz w:val="22"/>
                <w:szCs w:val="22"/>
                <w:shd w:val="clear" w:color="auto" w:fill="auto"/>
              </w:rPr>
              <w:t xml:space="preserve">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r>
              <w:fldChar w:fldCharType="begin"/>
            </w:r>
            <w:r>
              <w:instrText xml:space="preserve">PAGEREF _Toc198483581 \h</w:instrText>
            </w:r>
            <w:r>
              <w:fldChar w:fldCharType="separate"/>
            </w:r>
            <w:r>
              <w:rPr>
                <w:rStyle w:val="11053"/>
                <w:rFonts w:ascii="Times New Roman" w:hAnsi="Times New Roman" w:cs="Times New Roman"/>
                <w:bCs w:val="0"/>
                <w:vanish w:val="0"/>
                <w:sz w:val="22"/>
                <w:szCs w:val="22"/>
                <w:shd w:val="clear" w:color="auto" w:fill="auto"/>
              </w:rPr>
              <w:tab/>
              <w:t xml:space="preserve">189</w:t>
            </w:r>
            <w:r>
              <w:fldChar w:fldCharType="end"/>
            </w:r>
          </w:hyperlink>
          <w:r/>
          <w:r/>
        </w:p>
        <w:p>
          <w:pPr>
            <w:pStyle w:val="11104"/>
            <w:pBdr/>
            <w:spacing/>
            <w:ind w:firstLine="0"/>
            <w:rPr/>
          </w:pPr>
          <w:r/>
          <w:hyperlink w:tooltip="#_Toc198483582" w:anchor="_Toc198483582" w:history="1">
            <w:r>
              <w:rPr>
                <w:rStyle w:val="11053"/>
                <w:rFonts w:ascii="Times New Roman" w:hAnsi="Times New Roman" w:cs="Times New Roman"/>
                <w:bCs w:val="0"/>
                <w:sz w:val="22"/>
                <w:szCs w:val="22"/>
                <w:shd w:val="clear" w:color="auto" w:fill="auto"/>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r>
              <w:fldChar w:fldCharType="begin"/>
            </w:r>
            <w:r>
              <w:instrText xml:space="preserve">PAGEREF _Toc198483582 \h</w:instrText>
            </w:r>
            <w:r>
              <w:fldChar w:fldCharType="separate"/>
            </w:r>
            <w:r>
              <w:rPr>
                <w:rStyle w:val="11053"/>
                <w:rFonts w:ascii="Times New Roman" w:hAnsi="Times New Roman" w:cs="Times New Roman"/>
                <w:bCs w:val="0"/>
                <w:vanish w:val="0"/>
                <w:sz w:val="22"/>
                <w:szCs w:val="22"/>
                <w:shd w:val="clear" w:color="auto" w:fill="auto"/>
              </w:rPr>
              <w:tab/>
              <w:t xml:space="preserve">190</w:t>
            </w:r>
            <w:r>
              <w:fldChar w:fldCharType="end"/>
            </w:r>
          </w:hyperlink>
          <w:r/>
          <w:r/>
        </w:p>
        <w:p>
          <w:pPr>
            <w:pStyle w:val="11104"/>
            <w:pBdr/>
            <w:tabs>
              <w:tab w:val="left" w:leader="none" w:pos="440"/>
              <w:tab w:val="left" w:leader="none" w:pos="1320"/>
              <w:tab w:val="right" w:leader="dot" w:pos="9214"/>
            </w:tabs>
            <w:spacing/>
            <w:ind w:firstLine="0"/>
            <w:rPr/>
          </w:pPr>
          <w:r/>
          <w:hyperlink w:tooltip="#_Toc198483583" w:anchor="_Toc198483583" w:history="1">
            <w:r>
              <w:rPr>
                <w:rStyle w:val="11053"/>
                <w:rFonts w:ascii="Times New Roman" w:hAnsi="Times New Roman" w:cs="Times New Roman"/>
                <w:bCs w:val="0"/>
                <w:sz w:val="22"/>
                <w:szCs w:val="22"/>
                <w:shd w:val="clear" w:color="auto" w:fill="auto"/>
              </w:rPr>
              <w:t xml:space="preserve">1.</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Расчетная величин</w:t>
            </w:r>
            <w:r>
              <w:rPr>
                <w:rStyle w:val="11053"/>
                <w:rFonts w:ascii="Times New Roman" w:hAnsi="Times New Roman" w:cs="Times New Roman"/>
                <w:bCs w:val="0"/>
                <w:sz w:val="22"/>
                <w:szCs w:val="22"/>
                <w:shd w:val="clear" w:color="auto" w:fill="auto"/>
              </w:rPr>
              <w:t xml:space="preserve">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fldChar w:fldCharType="begin"/>
            </w:r>
            <w:r>
              <w:instrText xml:space="preserve">PAGEREF _Toc198483583 \h</w:instrText>
            </w:r>
            <w:r>
              <w:fldChar w:fldCharType="separate"/>
            </w:r>
            <w:r>
              <w:rPr>
                <w:rStyle w:val="11053"/>
                <w:rFonts w:ascii="Times New Roman" w:hAnsi="Times New Roman" w:cs="Times New Roman"/>
                <w:bCs w:val="0"/>
                <w:vanish w:val="0"/>
                <w:sz w:val="22"/>
                <w:szCs w:val="22"/>
                <w:shd w:val="clear" w:color="auto" w:fill="auto"/>
              </w:rPr>
              <w:tab/>
              <w:t xml:space="preserve">191</w:t>
            </w:r>
            <w:r>
              <w:fldChar w:fldCharType="end"/>
            </w:r>
          </w:hyperlink>
          <w:r/>
          <w:r/>
        </w:p>
        <w:p>
          <w:pPr>
            <w:pStyle w:val="11104"/>
            <w:pBdr/>
            <w:tabs>
              <w:tab w:val="left" w:leader="none" w:pos="440"/>
              <w:tab w:val="left" w:leader="none" w:pos="1320"/>
              <w:tab w:val="right" w:leader="dot" w:pos="9214"/>
            </w:tabs>
            <w:spacing/>
            <w:ind w:firstLine="0"/>
            <w:rPr/>
          </w:pPr>
          <w:r/>
          <w:hyperlink w:tooltip="#_Toc198483584" w:anchor="_Toc198483584" w:history="1">
            <w:r>
              <w:rPr>
                <w:rStyle w:val="11053"/>
                <w:rFonts w:ascii="Times New Roman" w:hAnsi="Times New Roman" w:cs="Times New Roman"/>
                <w:bCs w:val="0"/>
                <w:sz w:val="22"/>
                <w:szCs w:val="22"/>
                <w:shd w:val="clear" w:color="auto" w:fill="auto"/>
              </w:rPr>
              <w:t xml:space="preserve">2.</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Максимальный и среднечасовой расход теплоносителя (расход сетевой воды) на горячее водоснабжение потребителей с использованием открытой</w:t>
            </w:r>
            <w:r>
              <w:rPr>
                <w:rStyle w:val="11053"/>
                <w:rFonts w:ascii="Times New Roman" w:hAnsi="Times New Roman" w:cs="Times New Roman"/>
                <w:bCs w:val="0"/>
                <w:sz w:val="22"/>
                <w:szCs w:val="22"/>
                <w:shd w:val="clear" w:color="auto" w:fill="auto"/>
              </w:rPr>
              <w:t xml:space="preserve">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fldChar w:fldCharType="begin"/>
            </w:r>
            <w:r>
              <w:instrText xml:space="preserve">PAGEREF _Toc198483584 \h</w:instrText>
            </w:r>
            <w:r>
              <w:fldChar w:fldCharType="separate"/>
            </w:r>
            <w:r>
              <w:rPr>
                <w:rStyle w:val="11053"/>
                <w:rFonts w:ascii="Times New Roman" w:hAnsi="Times New Roman" w:cs="Times New Roman"/>
                <w:bCs w:val="0"/>
                <w:vanish w:val="0"/>
                <w:sz w:val="22"/>
                <w:szCs w:val="22"/>
                <w:shd w:val="clear" w:color="auto" w:fill="auto"/>
              </w:rPr>
              <w:tab/>
              <w:t xml:space="preserve">193</w:t>
            </w:r>
            <w:r>
              <w:fldChar w:fldCharType="end"/>
            </w:r>
          </w:hyperlink>
          <w:r/>
          <w:r/>
        </w:p>
        <w:p>
          <w:pPr>
            <w:pStyle w:val="11104"/>
            <w:pBdr/>
            <w:tabs>
              <w:tab w:val="left" w:leader="none" w:pos="440"/>
              <w:tab w:val="left" w:leader="none" w:pos="1320"/>
              <w:tab w:val="right" w:leader="dot" w:pos="9214"/>
            </w:tabs>
            <w:spacing/>
            <w:ind w:firstLine="0"/>
            <w:rPr/>
          </w:pPr>
          <w:r/>
          <w:hyperlink w:tooltip="#_Toc198483585" w:anchor="_Toc198483585" w:history="1">
            <w:r>
              <w:rPr>
                <w:rStyle w:val="11053"/>
                <w:rFonts w:ascii="Times New Roman" w:hAnsi="Times New Roman" w:cs="Times New Roman"/>
                <w:bCs w:val="0"/>
                <w:sz w:val="22"/>
                <w:szCs w:val="22"/>
                <w:shd w:val="clear" w:color="auto" w:fill="auto"/>
              </w:rPr>
              <w:t xml:space="preserve">3.</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Сведения о наличии баков-аккумуляторов</w:t>
            </w:r>
            <w:r>
              <w:fldChar w:fldCharType="begin"/>
            </w:r>
            <w:r>
              <w:instrText xml:space="preserve">PAGEREF _Toc198483585 \h</w:instrText>
            </w:r>
            <w:r>
              <w:fldChar w:fldCharType="separate"/>
            </w:r>
            <w:r>
              <w:rPr>
                <w:rStyle w:val="11053"/>
                <w:rFonts w:ascii="Times New Roman" w:hAnsi="Times New Roman" w:cs="Times New Roman"/>
                <w:bCs w:val="0"/>
                <w:vanish w:val="0"/>
                <w:sz w:val="22"/>
                <w:szCs w:val="22"/>
                <w:shd w:val="clear" w:color="auto" w:fill="auto"/>
              </w:rPr>
              <w:tab/>
              <w:t xml:space="preserve">193</w:t>
            </w:r>
            <w:r>
              <w:fldChar w:fldCharType="end"/>
            </w:r>
          </w:hyperlink>
          <w:r/>
          <w:r/>
        </w:p>
        <w:p>
          <w:pPr>
            <w:pStyle w:val="11104"/>
            <w:pBdr/>
            <w:tabs>
              <w:tab w:val="left" w:leader="none" w:pos="440"/>
              <w:tab w:val="left" w:leader="none" w:pos="1320"/>
              <w:tab w:val="right" w:leader="dot" w:pos="9214"/>
            </w:tabs>
            <w:spacing/>
            <w:ind w:firstLine="0"/>
            <w:rPr/>
          </w:pPr>
          <w:r/>
          <w:hyperlink w:tooltip="#_Toc198483586" w:anchor="_Toc198483586" w:history="1">
            <w:r>
              <w:rPr>
                <w:rStyle w:val="11053"/>
                <w:rFonts w:ascii="Times New Roman" w:hAnsi="Times New Roman" w:cs="Times New Roman"/>
                <w:bCs w:val="0"/>
                <w:sz w:val="22"/>
                <w:szCs w:val="22"/>
                <w:shd w:val="clear" w:color="auto" w:fill="auto"/>
              </w:rPr>
              <w:t xml:space="preserve">4.</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fldChar w:fldCharType="begin"/>
            </w:r>
            <w:r>
              <w:instrText xml:space="preserve">PAGEREF _Toc198483586 \h</w:instrText>
            </w:r>
            <w:r>
              <w:fldChar w:fldCharType="separate"/>
            </w:r>
            <w:r>
              <w:rPr>
                <w:rStyle w:val="11053"/>
                <w:rFonts w:ascii="Times New Roman" w:hAnsi="Times New Roman" w:cs="Times New Roman"/>
                <w:bCs w:val="0"/>
                <w:vanish w:val="0"/>
                <w:sz w:val="22"/>
                <w:szCs w:val="22"/>
                <w:shd w:val="clear" w:color="auto" w:fill="auto"/>
              </w:rPr>
              <w:tab/>
              <w:t xml:space="preserve">193</w:t>
            </w:r>
            <w:r>
              <w:fldChar w:fldCharType="end"/>
            </w:r>
          </w:hyperlink>
          <w:r/>
          <w:r/>
        </w:p>
        <w:p>
          <w:pPr>
            <w:pStyle w:val="11104"/>
            <w:pBdr/>
            <w:tabs>
              <w:tab w:val="left" w:leader="none" w:pos="440"/>
              <w:tab w:val="left" w:leader="none" w:pos="1320"/>
              <w:tab w:val="right" w:leader="dot" w:pos="9214"/>
            </w:tabs>
            <w:spacing/>
            <w:ind w:firstLine="0"/>
            <w:rPr/>
          </w:pPr>
          <w:r/>
          <w:hyperlink w:tooltip="#_Toc198483587" w:anchor="_Toc198483587" w:history="1">
            <w:r>
              <w:rPr>
                <w:rStyle w:val="11053"/>
                <w:rFonts w:ascii="Times New Roman" w:hAnsi="Times New Roman" w:cs="Times New Roman"/>
                <w:bCs w:val="0"/>
                <w:sz w:val="22"/>
                <w:szCs w:val="22"/>
                <w:shd w:val="clear" w:color="auto" w:fill="auto"/>
              </w:rPr>
              <w:t xml:space="preserve">5.</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fldChar w:fldCharType="begin"/>
            </w:r>
            <w:r>
              <w:instrText xml:space="preserve">PAGEREF _Toc198483587 \h</w:instrText>
            </w:r>
            <w:r>
              <w:fldChar w:fldCharType="separate"/>
            </w:r>
            <w:r>
              <w:rPr>
                <w:rStyle w:val="11053"/>
                <w:rFonts w:ascii="Times New Roman" w:hAnsi="Times New Roman" w:cs="Times New Roman"/>
                <w:bCs w:val="0"/>
                <w:vanish w:val="0"/>
                <w:sz w:val="22"/>
                <w:szCs w:val="22"/>
                <w:shd w:val="clear" w:color="auto" w:fill="auto"/>
              </w:rPr>
              <w:tab/>
              <w:t xml:space="preserve">196</w:t>
            </w:r>
            <w:r>
              <w:fldChar w:fldCharType="end"/>
            </w:r>
          </w:hyperlink>
          <w:r/>
          <w:r/>
        </w:p>
        <w:p>
          <w:pPr>
            <w:pStyle w:val="11104"/>
            <w:pBdr/>
            <w:spacing/>
            <w:ind w:firstLine="0"/>
            <w:rPr/>
          </w:pPr>
          <w:r/>
          <w:hyperlink w:tooltip="#_Toc198483588" w:anchor="_Toc198483588" w:history="1">
            <w:r>
              <w:rPr>
                <w:rStyle w:val="11053"/>
                <w:rFonts w:ascii="Times New Roman" w:hAnsi="Times New Roman" w:cs="Times New Roman"/>
                <w:bCs w:val="0"/>
                <w:sz w:val="22"/>
                <w:szCs w:val="22"/>
                <w:shd w:val="clear" w:color="auto" w:fill="auto"/>
              </w:rPr>
              <w:t xml:space="preserve">ГЛАВА 7. ПРЕДЛОЖЕНИЯ ПО СТРОИТЕЛЬСТВУ, РЕКОНСТРУКЦИИ, ТЕХНИЧЕСКОМУ ПЕРЕВООРУЖЕНИЮ И (ИЛИ) МОДЕРНИЗАЦИИ ИСТОЧНИКОВ ТЕПЛОВОЙ ЭНЕРГИИ</w:t>
            </w:r>
            <w:r>
              <w:fldChar w:fldCharType="begin"/>
            </w:r>
            <w:r>
              <w:instrText xml:space="preserve">PAGEREF _Toc198483588 \h</w:instrText>
            </w:r>
            <w:r>
              <w:fldChar w:fldCharType="separate"/>
            </w:r>
            <w:r>
              <w:rPr>
                <w:rStyle w:val="11053"/>
                <w:rFonts w:ascii="Times New Roman" w:hAnsi="Times New Roman" w:cs="Times New Roman"/>
                <w:bCs w:val="0"/>
                <w:vanish w:val="0"/>
                <w:sz w:val="22"/>
                <w:szCs w:val="22"/>
                <w:shd w:val="clear" w:color="auto" w:fill="auto"/>
              </w:rPr>
              <w:tab/>
              <w:t xml:space="preserve">197</w:t>
            </w:r>
            <w:r>
              <w:fldChar w:fldCharType="end"/>
            </w:r>
          </w:hyperlink>
          <w:r/>
          <w:r/>
        </w:p>
        <w:p>
          <w:pPr>
            <w:pStyle w:val="11104"/>
            <w:pBdr/>
            <w:tabs>
              <w:tab w:val="left" w:leader="none" w:pos="440"/>
              <w:tab w:val="left" w:leader="none" w:pos="1320"/>
              <w:tab w:val="right" w:leader="dot" w:pos="9214"/>
            </w:tabs>
            <w:spacing/>
            <w:ind w:firstLine="0"/>
            <w:rPr/>
          </w:pPr>
          <w:r/>
          <w:hyperlink w:tooltip="#_Toc198483589" w:anchor="_Toc198483589" w:history="1">
            <w:r>
              <w:rPr>
                <w:rStyle w:val="11053"/>
                <w:rFonts w:ascii="Times New Roman" w:hAnsi="Times New Roman" w:cs="Times New Roman"/>
                <w:bCs w:val="0"/>
                <w:sz w:val="22"/>
                <w:szCs w:val="22"/>
                <w:shd w:val="clear" w:color="auto" w:fill="auto"/>
              </w:rPr>
              <w:t xml:space="preserve">1.</w:t>
            </w:r>
            <w:r>
              <w:rPr>
                <w:rStyle w:val="11053"/>
                <w:rFonts w:ascii="Times New Roman" w:hAnsi="Times New Roman" w:eastAsia="宋体" w:cs="Times New Roman" w:eastAsiaTheme="minorEastAsia"/>
                <w:bCs w:val="0"/>
                <w:iCs w:val="0"/>
                <w:sz w:val="22"/>
                <w:szCs w:val="22"/>
                <w:shd w:val="clear" w:color="auto" w:fill="auto"/>
                <w:lang w:val="ru-RU" w:eastAsia="ru-RU" w:bidi="ar-SA"/>
                <w14:ligatures w14:val="standardContextual"/>
              </w:rPr>
              <w:tab/>
            </w:r>
            <w:r>
              <w:rPr>
                <w:rStyle w:val="11053"/>
                <w:rFonts w:ascii="Times New Roman" w:hAnsi="Times New Roman" w:cs="Times New Roman"/>
                <w:bCs w:val="0"/>
                <w:sz w:val="22"/>
                <w:szCs w:val="22"/>
                <w:shd w:val="clear" w:color="auto" w:fill="auto"/>
              </w:rPr>
              <w:t xml:space="preserve">Описание условий организации централизованного теплоснабжения, индивидуального теплоснабжения, а также поквартирного отопления</w:t>
            </w:r>
            <w:r>
              <w:fldChar w:fldCharType="begin"/>
            </w:r>
            <w:r>
              <w:instrText xml:space="preserve">PAGEREF _Toc198483589 \h</w:instrText>
            </w:r>
            <w:r>
              <w:fldChar w:fldCharType="separate"/>
            </w:r>
            <w:r>
              <w:rPr>
                <w:rStyle w:val="11053"/>
                <w:rFonts w:ascii="Times New Roman" w:hAnsi="Times New Roman" w:cs="Times New Roman"/>
                <w:bCs w:val="0"/>
                <w:vanish w:val="0"/>
                <w:sz w:val="22"/>
                <w:szCs w:val="22"/>
                <w:shd w:val="clear" w:color="auto" w:fill="auto"/>
              </w:rPr>
              <w:tab/>
              <w:t xml:space="preserve">197</w:t>
            </w:r>
            <w:r>
              <w:fldChar w:fldCharType="end"/>
            </w:r>
          </w:hyperlink>
          <w: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0" w:anchor="_Toc198483590"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Описание текущей ситуации, связанной с ранее принятыми</w:t>
            </w:r>
            <w:r>
              <w:rPr>
                <w:rStyle w:val="11053"/>
                <w:rFonts w:ascii="Times New Roman" w:hAnsi="Times New Roman" w:cs="Times New Roman"/>
                <w:bCs w:val="0"/>
                <w:sz w:val="22"/>
                <w:szCs w:val="22"/>
              </w:rPr>
              <w:t xml:space="preserve">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fldChar w:fldCharType="begin"/>
            </w:r>
            <w:r>
              <w:instrText xml:space="preserve">PAGEREF _Toc198483590 \h</w:instrText>
            </w:r>
            <w:r>
              <w:fldChar w:fldCharType="separate"/>
            </w:r>
            <w:r>
              <w:rPr>
                <w:rStyle w:val="11053"/>
                <w:rFonts w:ascii="Times New Roman" w:hAnsi="Times New Roman" w:cs="Times New Roman"/>
                <w:bCs w:val="0"/>
                <w:vanish w:val="0"/>
                <w:sz w:val="22"/>
                <w:szCs w:val="22"/>
              </w:rPr>
              <w:tab/>
              <w:t xml:space="preserve">202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1" w:anchor="_Toc198483591"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Анализ надежности и качества теплоснабжения для случаев отнесения генер</w:t>
            </w:r>
            <w:r>
              <w:rPr>
                <w:rStyle w:val="11053"/>
                <w:rFonts w:ascii="Times New Roman" w:hAnsi="Times New Roman" w:cs="Times New Roman"/>
                <w:bCs w:val="0"/>
                <w:sz w:val="22"/>
                <w:szCs w:val="22"/>
              </w:rPr>
              <w:t xml:space="preserve">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w:t>
            </w:r>
            <w:r>
              <w:rPr>
                <w:rStyle w:val="11053"/>
                <w:rFonts w:ascii="Times New Roman" w:hAnsi="Times New Roman" w:cs="Times New Roman"/>
                <w:bCs w:val="0"/>
                <w:sz w:val="22"/>
                <w:szCs w:val="22"/>
              </w:rPr>
              <w:t xml:space="preserve">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fldChar w:fldCharType="begin"/>
            </w:r>
            <w:r>
              <w:instrText xml:space="preserve">PAGEREF _Toc198483591 \h</w:instrText>
            </w:r>
            <w:r>
              <w:fldChar w:fldCharType="separate"/>
            </w:r>
            <w:r>
              <w:rPr>
                <w:rStyle w:val="11053"/>
                <w:rFonts w:ascii="Times New Roman" w:hAnsi="Times New Roman" w:cs="Times New Roman"/>
                <w:bCs w:val="0"/>
                <w:vanish w:val="0"/>
                <w:sz w:val="22"/>
                <w:szCs w:val="22"/>
              </w:rPr>
              <w:tab/>
              <w:t xml:space="preserve">202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2" w:anchor="_Toc198483592"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fldChar w:fldCharType="begin"/>
            </w:r>
            <w:r>
              <w:instrText xml:space="preserve">PAGEREF _Toc198483592 \h</w:instrText>
            </w:r>
            <w:r>
              <w:fldChar w:fldCharType="separate"/>
            </w:r>
            <w:r>
              <w:rPr>
                <w:rStyle w:val="11053"/>
                <w:rFonts w:ascii="Times New Roman" w:hAnsi="Times New Roman" w:cs="Times New Roman"/>
                <w:bCs w:val="0"/>
                <w:vanish w:val="0"/>
                <w:sz w:val="22"/>
                <w:szCs w:val="22"/>
              </w:rPr>
              <w:tab/>
              <w:t xml:space="preserve">203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3" w:anchor="_Toc198483593"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fldChar w:fldCharType="begin"/>
            </w:r>
            <w:r>
              <w:instrText xml:space="preserve">PAGEREF _Toc198483593 \h</w:instrText>
            </w:r>
            <w:r>
              <w:fldChar w:fldCharType="separate"/>
            </w:r>
            <w:r>
              <w:rPr>
                <w:rStyle w:val="11053"/>
                <w:rFonts w:ascii="Times New Roman" w:hAnsi="Times New Roman" w:cs="Times New Roman"/>
                <w:bCs w:val="0"/>
                <w:vanish w:val="0"/>
                <w:sz w:val="22"/>
                <w:szCs w:val="22"/>
              </w:rPr>
              <w:tab/>
              <w:tab/>
              <w:tab/>
              <w:t xml:space="preserve">203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4" w:anchor="_Toc198483594"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предложений по переоборудованию котельных в источники тепловой энергии, </w:t>
            </w:r>
            <w:r>
              <w:rPr>
                <w:rStyle w:val="11053"/>
                <w:rFonts w:ascii="Times New Roman" w:hAnsi="Times New Roman" w:cs="Times New Roman"/>
                <w:bCs w:val="0"/>
                <w:sz w:val="22"/>
                <w:szCs w:val="22"/>
              </w:rPr>
              <w:t xml:space="preserve">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fldChar w:fldCharType="begin"/>
            </w:r>
            <w:r>
              <w:instrText xml:space="preserve">PAGEREF _Toc198483594 \h</w:instrText>
            </w:r>
            <w:r>
              <w:fldChar w:fldCharType="separate"/>
            </w:r>
            <w:r>
              <w:rPr>
                <w:rStyle w:val="11053"/>
                <w:rFonts w:ascii="Times New Roman" w:hAnsi="Times New Roman" w:cs="Times New Roman"/>
                <w:bCs w:val="0"/>
                <w:vanish w:val="0"/>
                <w:sz w:val="22"/>
                <w:szCs w:val="22"/>
              </w:rPr>
              <w:tab/>
              <w:t xml:space="preserve">204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5" w:anchor="_Toc198483595" w:history="1">
            <w:r>
              <w:rPr>
                <w:rStyle w:val="11053"/>
                <w:rFonts w:ascii="Times New Roman" w:hAnsi="Times New Roman" w:cs="Times New Roman"/>
                <w:bCs w:val="0"/>
                <w:sz w:val="22"/>
                <w:szCs w:val="22"/>
              </w:rPr>
              <w:t xml:space="preserve">7.</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fldChar w:fldCharType="begin"/>
            </w:r>
            <w:r>
              <w:instrText xml:space="preserve">PAGEREF _Toc198483595 \h</w:instrText>
            </w:r>
            <w:r>
              <w:fldChar w:fldCharType="separate"/>
            </w:r>
            <w:r>
              <w:rPr>
                <w:rStyle w:val="11053"/>
                <w:rFonts w:ascii="Times New Roman" w:hAnsi="Times New Roman" w:cs="Times New Roman"/>
                <w:bCs w:val="0"/>
                <w:vanish w:val="0"/>
                <w:sz w:val="22"/>
                <w:szCs w:val="22"/>
              </w:rPr>
              <w:tab/>
              <w:t xml:space="preserve">204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6" w:anchor="_Toc198483596" w:history="1">
            <w:r>
              <w:rPr>
                <w:rStyle w:val="11053"/>
                <w:rFonts w:ascii="Times New Roman" w:hAnsi="Times New Roman" w:cs="Times New Roman"/>
                <w:bCs w:val="0"/>
                <w:sz w:val="22"/>
                <w:szCs w:val="22"/>
              </w:rPr>
              <w:t xml:space="preserve">8.</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fldChar w:fldCharType="begin"/>
            </w:r>
            <w:r>
              <w:instrText xml:space="preserve">PAGEREF _Toc198483596 \h</w:instrText>
            </w:r>
            <w:r>
              <w:fldChar w:fldCharType="separate"/>
            </w:r>
            <w:r>
              <w:rPr>
                <w:rStyle w:val="11053"/>
                <w:rFonts w:ascii="Times New Roman" w:hAnsi="Times New Roman" w:cs="Times New Roman"/>
                <w:bCs w:val="0"/>
                <w:vanish w:val="0"/>
                <w:sz w:val="22"/>
                <w:szCs w:val="22"/>
              </w:rPr>
              <w:tab/>
              <w:t xml:space="preserve">204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7" w:anchor="_Toc198483597" w:history="1">
            <w:r>
              <w:rPr>
                <w:rStyle w:val="11053"/>
                <w:rFonts w:ascii="Times New Roman" w:hAnsi="Times New Roman" w:cs="Times New Roman"/>
                <w:bCs w:val="0"/>
                <w:sz w:val="22"/>
                <w:szCs w:val="22"/>
              </w:rPr>
              <w:t xml:space="preserve">9.</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fldChar w:fldCharType="begin"/>
            </w:r>
            <w:r>
              <w:instrText xml:space="preserve">PAGEREF _Toc198483597 \h</w:instrText>
            </w:r>
            <w:r>
              <w:fldChar w:fldCharType="separate"/>
            </w:r>
            <w:r>
              <w:rPr>
                <w:rStyle w:val="11053"/>
                <w:rFonts w:ascii="Times New Roman" w:hAnsi="Times New Roman" w:cs="Times New Roman"/>
                <w:bCs w:val="0"/>
                <w:vanish w:val="0"/>
                <w:sz w:val="22"/>
                <w:szCs w:val="22"/>
              </w:rPr>
              <w:tab/>
              <w:tab/>
              <w:t xml:space="preserve">204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8" w:anchor="_Toc198483598" w:history="1">
            <w:r>
              <w:rPr>
                <w:rStyle w:val="11053"/>
                <w:rFonts w:ascii="Times New Roman" w:hAnsi="Times New Roman" w:cs="Times New Roman"/>
                <w:bCs w:val="0"/>
                <w:sz w:val="22"/>
                <w:szCs w:val="22"/>
              </w:rPr>
              <w:t xml:space="preserve">10.</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fldChar w:fldCharType="begin"/>
            </w:r>
            <w:r>
              <w:instrText xml:space="preserve">PAGEREF _Toc198483598 \h</w:instrText>
            </w:r>
            <w:r>
              <w:fldChar w:fldCharType="separate"/>
            </w:r>
            <w:r>
              <w:rPr>
                <w:rStyle w:val="11053"/>
                <w:rFonts w:ascii="Times New Roman" w:hAnsi="Times New Roman" w:cs="Times New Roman"/>
                <w:bCs w:val="0"/>
                <w:vanish w:val="0"/>
                <w:sz w:val="22"/>
                <w:szCs w:val="22"/>
              </w:rPr>
              <w:tab/>
              <w:t xml:space="preserve">205</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599" w:anchor="_Toc198483599" w:history="1">
            <w:r>
              <w:rPr>
                <w:rStyle w:val="11053"/>
                <w:rFonts w:ascii="Times New Roman" w:hAnsi="Times New Roman" w:cs="Times New Roman"/>
                <w:bCs w:val="0"/>
                <w:sz w:val="22"/>
                <w:szCs w:val="22"/>
              </w:rPr>
              <w:t xml:space="preserve">11.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организации индивидуального теплоснабжения в зонах застройки поселения малоэтажными жилыми зданиями</w:t>
            </w:r>
            <w:r>
              <w:fldChar w:fldCharType="begin"/>
            </w:r>
            <w:r>
              <w:instrText xml:space="preserve">PAGEREF _Toc198483599 \h</w:instrText>
            </w:r>
            <w:r>
              <w:fldChar w:fldCharType="separate"/>
            </w:r>
            <w:r>
              <w:rPr>
                <w:rStyle w:val="11053"/>
                <w:rFonts w:ascii="Times New Roman" w:hAnsi="Times New Roman" w:cs="Times New Roman"/>
                <w:bCs w:val="0"/>
                <w:vanish w:val="0"/>
                <w:sz w:val="22"/>
                <w:szCs w:val="22"/>
              </w:rPr>
              <w:tab/>
              <w:t xml:space="preserve">205</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0" w:anchor="_Toc198483600" w:history="1">
            <w:r>
              <w:rPr>
                <w:rStyle w:val="11053"/>
                <w:rFonts w:ascii="Times New Roman" w:hAnsi="Times New Roman" w:cs="Times New Roman"/>
                <w:bCs w:val="0"/>
                <w:sz w:val="22"/>
                <w:szCs w:val="22"/>
              </w:rPr>
              <w:t xml:space="preserve">12.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fldChar w:fldCharType="begin"/>
            </w:r>
            <w:r>
              <w:instrText xml:space="preserve">PAGEREF _Toc198483600 \h</w:instrText>
            </w:r>
            <w:r>
              <w:fldChar w:fldCharType="separate"/>
            </w:r>
            <w:r>
              <w:rPr>
                <w:rStyle w:val="11053"/>
                <w:rFonts w:ascii="Times New Roman" w:hAnsi="Times New Roman" w:cs="Times New Roman"/>
                <w:bCs w:val="0"/>
                <w:vanish w:val="0"/>
                <w:sz w:val="22"/>
                <w:szCs w:val="22"/>
              </w:rPr>
              <w:tab/>
              <w:t xml:space="preserve">206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1" w:anchor="_Toc198483601" w:history="1">
            <w:r>
              <w:rPr>
                <w:rStyle w:val="11053"/>
                <w:rFonts w:ascii="Times New Roman" w:hAnsi="Times New Roman" w:cs="Times New Roman"/>
                <w:bCs w:val="0"/>
                <w:sz w:val="22"/>
                <w:szCs w:val="22"/>
              </w:rPr>
              <w:t xml:space="preserve">13.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fldChar w:fldCharType="begin"/>
            </w:r>
            <w:r>
              <w:instrText xml:space="preserve">PAGEREF _Toc198483601 \h</w:instrText>
            </w:r>
            <w:r>
              <w:fldChar w:fldCharType="separate"/>
            </w:r>
            <w:r>
              <w:rPr>
                <w:rStyle w:val="11053"/>
                <w:rFonts w:ascii="Times New Roman" w:hAnsi="Times New Roman" w:cs="Times New Roman"/>
                <w:bCs w:val="0"/>
                <w:vanish w:val="0"/>
                <w:sz w:val="22"/>
                <w:szCs w:val="22"/>
              </w:rPr>
              <w:tab/>
              <w:t xml:space="preserve">207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2" w:anchor="_Toc198483602" w:history="1">
            <w:r>
              <w:rPr>
                <w:rStyle w:val="11053"/>
                <w:rFonts w:ascii="Times New Roman" w:hAnsi="Times New Roman" w:cs="Times New Roman"/>
                <w:bCs w:val="0"/>
                <w:sz w:val="22"/>
                <w:szCs w:val="22"/>
              </w:rPr>
              <w:t xml:space="preserve">14.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организации теплоснабжения в производственных зонах на территории муниципального образования</w:t>
            </w:r>
            <w:r>
              <w:fldChar w:fldCharType="begin"/>
            </w:r>
            <w:r>
              <w:instrText xml:space="preserve">PAGEREF _Toc198483602 \h</w:instrText>
            </w:r>
            <w:r>
              <w:fldChar w:fldCharType="separate"/>
            </w:r>
            <w:r>
              <w:rPr>
                <w:rStyle w:val="11053"/>
                <w:rFonts w:ascii="Times New Roman" w:hAnsi="Times New Roman" w:cs="Times New Roman"/>
                <w:bCs w:val="0"/>
                <w:vanish w:val="0"/>
                <w:sz w:val="22"/>
                <w:szCs w:val="22"/>
              </w:rPr>
              <w:tab/>
              <w:t xml:space="preserve">209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3" w:anchor="_Toc198483603" w:history="1">
            <w:r>
              <w:rPr>
                <w:rStyle w:val="11053"/>
                <w:rFonts w:ascii="Times New Roman" w:hAnsi="Times New Roman" w:cs="Times New Roman"/>
                <w:bCs w:val="0"/>
                <w:sz w:val="22"/>
                <w:szCs w:val="22"/>
              </w:rPr>
              <w:t xml:space="preserve">15.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Результаты расчетов радиуса эффективного теплоснабжения</w:t>
            </w:r>
            <w:r>
              <w:fldChar w:fldCharType="begin"/>
            </w:r>
            <w:r>
              <w:instrText xml:space="preserve">PAGEREF _Toc198483603 \h</w:instrText>
            </w:r>
            <w:r>
              <w:fldChar w:fldCharType="separate"/>
            </w:r>
            <w:r>
              <w:rPr>
                <w:rStyle w:val="11053"/>
                <w:rFonts w:ascii="Times New Roman" w:hAnsi="Times New Roman" w:cs="Times New Roman"/>
                <w:bCs w:val="0"/>
                <w:vanish w:val="0"/>
                <w:sz w:val="22"/>
                <w:szCs w:val="22"/>
              </w:rPr>
              <w:tab/>
              <w:t xml:space="preserve">209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4" w:anchor="_Toc198483604" w:history="1">
            <w:r>
              <w:rPr>
                <w:rStyle w:val="11053"/>
                <w:rFonts w:ascii="Times New Roman" w:hAnsi="Times New Roman" w:cs="Times New Roman"/>
                <w:bCs w:val="0"/>
                <w:sz w:val="22"/>
                <w:szCs w:val="22"/>
              </w:rPr>
              <w:t xml:space="preserve">ГЛАВА 8. ПРЕДЛОЖЕНИЯ ПО СТРОИТЕЛЬСТВУ, РЕКОНСТРУКЦИИ И (ИЛИ) МОДЕРНИЗАЦИИ ТЕПЛОВЫХ СЕТЕЙ</w:t>
            </w:r>
            <w:r>
              <w:fldChar w:fldCharType="begin"/>
            </w:r>
            <w:r>
              <w:instrText xml:space="preserve">PAGEREF _Toc198483604 \h</w:instrText>
            </w:r>
            <w:r>
              <w:fldChar w:fldCharType="separate"/>
            </w:r>
            <w:r>
              <w:rPr>
                <w:rStyle w:val="11053"/>
                <w:rFonts w:ascii="Times New Roman" w:hAnsi="Times New Roman" w:cs="Times New Roman"/>
                <w:bCs w:val="0"/>
                <w:vanish w:val="0"/>
                <w:sz w:val="22"/>
                <w:szCs w:val="22"/>
              </w:rPr>
              <w:tab/>
              <w:t xml:space="preserve">211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5" w:anchor="_Toc198483605"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fldChar w:fldCharType="begin"/>
            </w:r>
            <w:r>
              <w:instrText xml:space="preserve">PAGEREF _Toc198483605 \h</w:instrText>
            </w:r>
            <w:r>
              <w:fldChar w:fldCharType="separate"/>
            </w:r>
            <w:r>
              <w:rPr>
                <w:rStyle w:val="11053"/>
                <w:rFonts w:ascii="Times New Roman" w:hAnsi="Times New Roman" w:cs="Times New Roman"/>
                <w:bCs w:val="0"/>
                <w:vanish w:val="0"/>
                <w:sz w:val="22"/>
                <w:szCs w:val="22"/>
              </w:rPr>
              <w:tab/>
              <w:t xml:space="preserve">212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6" w:anchor="_Toc198483606"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стро</w:t>
            </w:r>
            <w:r>
              <w:rPr>
                <w:rStyle w:val="11053"/>
                <w:rFonts w:ascii="Times New Roman" w:hAnsi="Times New Roman" w:cs="Times New Roman"/>
                <w:bCs w:val="0"/>
                <w:sz w:val="22"/>
                <w:szCs w:val="22"/>
              </w:rPr>
              <w:t xml:space="preserve">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r>
              <w:fldChar w:fldCharType="begin"/>
            </w:r>
            <w:r>
              <w:instrText xml:space="preserve">PAGEREF _Toc198483606 \h</w:instrText>
            </w:r>
            <w:r>
              <w:fldChar w:fldCharType="separate"/>
            </w:r>
            <w:r>
              <w:rPr>
                <w:rStyle w:val="11053"/>
                <w:rFonts w:ascii="Times New Roman" w:hAnsi="Times New Roman" w:cs="Times New Roman"/>
                <w:bCs w:val="0"/>
                <w:vanish w:val="0"/>
                <w:sz w:val="22"/>
                <w:szCs w:val="22"/>
              </w:rPr>
              <w:tab/>
              <w:t xml:space="preserve">213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7" w:anchor="_Toc198483607"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fldChar w:fldCharType="begin"/>
            </w:r>
            <w:r>
              <w:instrText xml:space="preserve">PAGEREF _Toc198483607 \h</w:instrText>
            </w:r>
            <w:r>
              <w:fldChar w:fldCharType="separate"/>
            </w:r>
            <w:r>
              <w:rPr>
                <w:rStyle w:val="11053"/>
                <w:rFonts w:ascii="Times New Roman" w:hAnsi="Times New Roman" w:cs="Times New Roman"/>
                <w:bCs w:val="0"/>
                <w:vanish w:val="0"/>
                <w:sz w:val="22"/>
                <w:szCs w:val="22"/>
              </w:rPr>
              <w:tab/>
              <w:t xml:space="preserve">213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8" w:anchor="_Toc198483608"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fldChar w:fldCharType="begin"/>
            </w:r>
            <w:r>
              <w:instrText xml:space="preserve">PAGEREF _Toc198483608 \h</w:instrText>
            </w:r>
            <w:r>
              <w:fldChar w:fldCharType="separate"/>
            </w:r>
            <w:r>
              <w:rPr>
                <w:rStyle w:val="11053"/>
                <w:rFonts w:ascii="Times New Roman" w:hAnsi="Times New Roman" w:cs="Times New Roman"/>
                <w:bCs w:val="0"/>
                <w:vanish w:val="0"/>
                <w:sz w:val="22"/>
                <w:szCs w:val="22"/>
              </w:rPr>
              <w:tab/>
              <w:t xml:space="preserve">213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09" w:anchor="_Toc198483609"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строительству тепловых сетей для обеспечения нормативной надежности теплоснабжения</w:t>
            </w:r>
            <w:r>
              <w:fldChar w:fldCharType="begin"/>
            </w:r>
            <w:r>
              <w:instrText xml:space="preserve">PAGEREF _Toc198483609 \h</w:instrText>
            </w:r>
            <w:r>
              <w:fldChar w:fldCharType="separate"/>
            </w:r>
            <w:r>
              <w:rPr>
                <w:rStyle w:val="11053"/>
                <w:rFonts w:ascii="Times New Roman" w:hAnsi="Times New Roman" w:cs="Times New Roman"/>
                <w:bCs w:val="0"/>
                <w:vanish w:val="0"/>
                <w:sz w:val="22"/>
                <w:szCs w:val="22"/>
              </w:rPr>
              <w:tab/>
              <w:t xml:space="preserve">214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0" w:anchor="_Toc198483610"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fldChar w:fldCharType="begin"/>
            </w:r>
            <w:r>
              <w:instrText xml:space="preserve">PAGEREF _Toc198483610 \h</w:instrText>
            </w:r>
            <w:r>
              <w:fldChar w:fldCharType="separate"/>
            </w:r>
            <w:r>
              <w:rPr>
                <w:rStyle w:val="11053"/>
                <w:rFonts w:ascii="Times New Roman" w:hAnsi="Times New Roman" w:cs="Times New Roman"/>
                <w:bCs w:val="0"/>
                <w:vanish w:val="0"/>
                <w:sz w:val="22"/>
                <w:szCs w:val="22"/>
              </w:rPr>
              <w:tab/>
              <w:t xml:space="preserve">214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1" w:anchor="_Toc198483611" w:history="1">
            <w:r>
              <w:rPr>
                <w:rStyle w:val="11053"/>
                <w:rFonts w:ascii="Times New Roman" w:hAnsi="Times New Roman" w:cs="Times New Roman"/>
                <w:bCs w:val="0"/>
                <w:sz w:val="22"/>
                <w:szCs w:val="22"/>
              </w:rPr>
              <w:t xml:space="preserve">7.</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реконструкции и (или) модернизации тепловых сетей, подлежащих замене в связи с исчерпанием эксплуатационного ресурса</w:t>
            </w:r>
            <w:r>
              <w:fldChar w:fldCharType="begin"/>
            </w:r>
            <w:r>
              <w:instrText xml:space="preserve">PAGEREF _Toc198483611 \h</w:instrText>
            </w:r>
            <w:r>
              <w:fldChar w:fldCharType="separate"/>
            </w:r>
            <w:r>
              <w:rPr>
                <w:rStyle w:val="11053"/>
                <w:rFonts w:ascii="Times New Roman" w:hAnsi="Times New Roman" w:cs="Times New Roman"/>
                <w:bCs w:val="0"/>
                <w:vanish w:val="0"/>
                <w:sz w:val="22"/>
                <w:szCs w:val="22"/>
              </w:rPr>
              <w:tab/>
              <w:t xml:space="preserve">214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2" w:anchor="_Toc198483612" w:history="1">
            <w:r>
              <w:rPr>
                <w:rStyle w:val="11053"/>
                <w:rFonts w:ascii="Times New Roman" w:hAnsi="Times New Roman" w:cs="Times New Roman"/>
                <w:bCs w:val="0"/>
                <w:sz w:val="22"/>
                <w:szCs w:val="22"/>
              </w:rPr>
              <w:t xml:space="preserve">8.</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строительству, реконструкции и (или) модернизации насосных станций</w:t>
            </w:r>
            <w:r>
              <w:fldChar w:fldCharType="begin"/>
            </w:r>
            <w:r>
              <w:instrText xml:space="preserve">PAGEREF _Toc198483612 \h</w:instrText>
            </w:r>
            <w:r>
              <w:fldChar w:fldCharType="separate"/>
            </w:r>
            <w:r>
              <w:rPr>
                <w:rStyle w:val="11053"/>
                <w:rFonts w:ascii="Times New Roman" w:hAnsi="Times New Roman" w:cs="Times New Roman"/>
                <w:bCs w:val="0"/>
                <w:vanish w:val="0"/>
                <w:sz w:val="22"/>
                <w:szCs w:val="22"/>
              </w:rPr>
              <w:tab/>
              <w:t xml:space="preserve">214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3" w:anchor="_Toc198483613" w:history="1">
            <w:r>
              <w:rPr>
                <w:rStyle w:val="11053"/>
                <w:rFonts w:ascii="Times New Roman" w:hAnsi="Times New Roman" w:cs="Times New Roman"/>
                <w:bCs w:val="0"/>
                <w:sz w:val="22"/>
                <w:szCs w:val="22"/>
              </w:rPr>
              <w:t xml:space="preserve">ГЛАВА 9. ПРЕДЛОЖЕНИЯ ПО ПЕРЕВОДУ ОТКРЫТЫХ СИСТЕМ ТЕПЛОСНАБЖЕНИЯ (ГОРЯЧЕГО ВОДОСНАБЖЕНИЯ) В ЗАКРЫТЫЕ СИСТЕМЫ ГОРЯЧЕГО ВОДОСНАБЖЕНИЯ</w:t>
            </w:r>
            <w:r>
              <w:fldChar w:fldCharType="begin"/>
            </w:r>
            <w:r>
              <w:instrText xml:space="preserve">PAGEREF _Toc198483613 \h</w:instrText>
            </w:r>
            <w:r>
              <w:fldChar w:fldCharType="separate"/>
            </w:r>
            <w:r>
              <w:rPr>
                <w:rStyle w:val="11053"/>
                <w:rFonts w:ascii="Times New Roman" w:hAnsi="Times New Roman" w:cs="Times New Roman"/>
                <w:bCs w:val="0"/>
                <w:vanish w:val="0"/>
                <w:sz w:val="22"/>
                <w:szCs w:val="22"/>
              </w:rPr>
              <w:tab/>
              <w:tab/>
              <w:tab/>
              <w:t xml:space="preserve">215</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4" w:anchor="_Toc198483614"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Технико-экономическое обоснование предложений по типам присоеди</w:t>
            </w:r>
            <w:r>
              <w:rPr>
                <w:rStyle w:val="11053"/>
                <w:rFonts w:ascii="Times New Roman" w:hAnsi="Times New Roman" w:cs="Times New Roman"/>
                <w:bCs w:val="0"/>
                <w:sz w:val="22"/>
                <w:szCs w:val="22"/>
              </w:rPr>
              <w:t xml:space="preserve">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fldChar w:fldCharType="begin"/>
            </w:r>
            <w:r>
              <w:instrText xml:space="preserve">PAGEREF _Toc198483614 \h</w:instrText>
            </w:r>
            <w:r>
              <w:fldChar w:fldCharType="separate"/>
            </w:r>
            <w:r>
              <w:rPr>
                <w:rStyle w:val="11053"/>
                <w:rFonts w:ascii="Times New Roman" w:hAnsi="Times New Roman" w:cs="Times New Roman"/>
                <w:bCs w:val="0"/>
                <w:vanish w:val="0"/>
                <w:sz w:val="22"/>
                <w:szCs w:val="22"/>
              </w:rPr>
              <w:tab/>
              <w:t xml:space="preserve">215</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5" w:anchor="_Toc198483615"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Выбор и обоснование метода регулирования отпуска тепловой энергии от источников тепловой энергии</w:t>
            </w:r>
            <w:r>
              <w:fldChar w:fldCharType="begin"/>
            </w:r>
            <w:r>
              <w:instrText xml:space="preserve">PAGEREF _Toc198483615 \h</w:instrText>
            </w:r>
            <w:r>
              <w:fldChar w:fldCharType="separate"/>
            </w:r>
            <w:r>
              <w:rPr>
                <w:rStyle w:val="11053"/>
                <w:rFonts w:ascii="Times New Roman" w:hAnsi="Times New Roman" w:cs="Times New Roman"/>
                <w:bCs w:val="0"/>
                <w:vanish w:val="0"/>
                <w:sz w:val="22"/>
                <w:szCs w:val="22"/>
              </w:rPr>
              <w:tab/>
              <w:tab/>
              <w:t xml:space="preserve">215</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6" w:anchor="_Toc198483616"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fldChar w:fldCharType="begin"/>
            </w:r>
            <w:r>
              <w:instrText xml:space="preserve">PAGEREF _Toc198483616 \h</w:instrText>
            </w:r>
            <w:r>
              <w:fldChar w:fldCharType="separate"/>
            </w:r>
            <w:r>
              <w:rPr>
                <w:rStyle w:val="11053"/>
                <w:rFonts w:ascii="Times New Roman" w:hAnsi="Times New Roman" w:cs="Times New Roman"/>
                <w:bCs w:val="0"/>
                <w:vanish w:val="0"/>
                <w:sz w:val="22"/>
                <w:szCs w:val="22"/>
              </w:rPr>
              <w:tab/>
              <w:t xml:space="preserve">216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7" w:anchor="_Toc198483617"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Расчет потребности инвестиций для перевода открытой системы теплоснабжения (горячего водоснабжения) в закрытую систему горячего водоснабжения</w:t>
            </w:r>
            <w:r>
              <w:fldChar w:fldCharType="begin"/>
            </w:r>
            <w:r>
              <w:instrText xml:space="preserve">PAGEREF _Toc198483617 \h</w:instrText>
            </w:r>
            <w:r>
              <w:fldChar w:fldCharType="separate"/>
            </w:r>
            <w:r>
              <w:rPr>
                <w:rStyle w:val="11053"/>
                <w:rFonts w:ascii="Times New Roman" w:hAnsi="Times New Roman" w:cs="Times New Roman"/>
                <w:bCs w:val="0"/>
                <w:vanish w:val="0"/>
                <w:sz w:val="22"/>
                <w:szCs w:val="22"/>
              </w:rPr>
              <w:tab/>
              <w:t xml:space="preserve">216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8" w:anchor="_Toc198483618"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fldChar w:fldCharType="begin"/>
            </w:r>
            <w:r>
              <w:instrText xml:space="preserve">PAGEREF _Toc198483618 \h</w:instrText>
            </w:r>
            <w:r>
              <w:fldChar w:fldCharType="separate"/>
            </w:r>
            <w:r>
              <w:rPr>
                <w:rStyle w:val="11053"/>
                <w:rFonts w:ascii="Times New Roman" w:hAnsi="Times New Roman" w:cs="Times New Roman"/>
                <w:bCs w:val="0"/>
                <w:vanish w:val="0"/>
                <w:sz w:val="22"/>
                <w:szCs w:val="22"/>
              </w:rPr>
              <w:tab/>
              <w:t xml:space="preserve">216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19" w:anchor="_Toc198483619"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Предложения по источникам инвестиций</w:t>
            </w:r>
            <w:r>
              <w:fldChar w:fldCharType="begin"/>
            </w:r>
            <w:r>
              <w:instrText xml:space="preserve">PAGEREF _Toc198483619 \h</w:instrText>
            </w:r>
            <w:r>
              <w:fldChar w:fldCharType="separate"/>
            </w:r>
            <w:r>
              <w:rPr>
                <w:rStyle w:val="11053"/>
                <w:rFonts w:ascii="Times New Roman" w:hAnsi="Times New Roman" w:cs="Times New Roman"/>
                <w:bCs w:val="0"/>
                <w:vanish w:val="0"/>
                <w:sz w:val="22"/>
                <w:szCs w:val="22"/>
              </w:rPr>
              <w:tab/>
              <w:t xml:space="preserve">216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0" w:anchor="_Toc198483620" w:history="1">
            <w:r>
              <w:rPr>
                <w:rStyle w:val="11053"/>
                <w:rFonts w:ascii="Times New Roman" w:hAnsi="Times New Roman" w:cs="Times New Roman"/>
                <w:bCs w:val="0"/>
                <w:sz w:val="22"/>
                <w:szCs w:val="22"/>
              </w:rPr>
              <w:t xml:space="preserve">ГЛАВА 10. ПЕРСПЕКТИВНЫЕ ТОПЛИВНЫЕ БАЛАНСЫ</w:t>
            </w:r>
            <w:r>
              <w:fldChar w:fldCharType="begin"/>
            </w:r>
            <w:r>
              <w:instrText xml:space="preserve">PAGEREF _Toc198483620 \h</w:instrText>
            </w:r>
            <w:r>
              <w:fldChar w:fldCharType="separate"/>
            </w:r>
            <w:r>
              <w:rPr>
                <w:rStyle w:val="11053"/>
                <w:rFonts w:ascii="Times New Roman" w:hAnsi="Times New Roman" w:cs="Times New Roman"/>
                <w:bCs w:val="0"/>
                <w:vanish w:val="0"/>
                <w:sz w:val="22"/>
                <w:szCs w:val="22"/>
              </w:rPr>
              <w:tab/>
              <w:t xml:space="preserve">217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1" w:anchor="_Toc198483621"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Расчеты по каждому источни</w:t>
            </w:r>
            <w:r>
              <w:rPr>
                <w:rStyle w:val="11053"/>
                <w:rFonts w:ascii="Times New Roman" w:hAnsi="Times New Roman" w:cs="Times New Roman"/>
                <w:bCs w:val="0"/>
                <w:sz w:val="22"/>
                <w:szCs w:val="22"/>
              </w:rPr>
              <w:t xml:space="preserve">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fldChar w:fldCharType="begin"/>
            </w:r>
            <w:r>
              <w:instrText xml:space="preserve">PAGEREF _Toc198483621 \h</w:instrText>
            </w:r>
            <w:r>
              <w:fldChar w:fldCharType="separate"/>
            </w:r>
            <w:r>
              <w:rPr>
                <w:rStyle w:val="11053"/>
                <w:rFonts w:ascii="Times New Roman" w:hAnsi="Times New Roman" w:cs="Times New Roman"/>
                <w:bCs w:val="0"/>
                <w:vanish w:val="0"/>
                <w:sz w:val="22"/>
                <w:szCs w:val="22"/>
              </w:rPr>
              <w:tab/>
              <w:t xml:space="preserve">217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2" w:anchor="_Toc198483622"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Результаты расчетов по каждому источнику тепловой энергии нормативных запасов топлива</w:t>
            </w:r>
            <w:r>
              <w:fldChar w:fldCharType="begin"/>
            </w:r>
            <w:r>
              <w:instrText xml:space="preserve">PAGEREF _Toc198483622 \h</w:instrText>
            </w:r>
            <w:r>
              <w:fldChar w:fldCharType="separate"/>
            </w:r>
            <w:r>
              <w:rPr>
                <w:rStyle w:val="11053"/>
                <w:rFonts w:ascii="Times New Roman" w:hAnsi="Times New Roman" w:cs="Times New Roman"/>
                <w:bCs w:val="0"/>
                <w:vanish w:val="0"/>
                <w:sz w:val="22"/>
                <w:szCs w:val="22"/>
              </w:rPr>
              <w:tab/>
              <w:tab/>
              <w:tab/>
              <w:tab/>
              <w:t xml:space="preserve">219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3" w:anchor="_Toc198483623"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Вид топлива, потребляемый источником тепловой энергии, в том числе с использованием возобновляемых источников энергии и местных видов топлива</w:t>
            </w:r>
            <w:r>
              <w:fldChar w:fldCharType="begin"/>
            </w:r>
            <w:r>
              <w:instrText xml:space="preserve">PAGEREF _Toc198483623 \h</w:instrText>
            </w:r>
            <w:r>
              <w:fldChar w:fldCharType="separate"/>
            </w:r>
            <w:r>
              <w:rPr>
                <w:rStyle w:val="11053"/>
                <w:rFonts w:ascii="Times New Roman" w:hAnsi="Times New Roman" w:cs="Times New Roman"/>
                <w:bCs w:val="0"/>
                <w:vanish w:val="0"/>
                <w:sz w:val="22"/>
                <w:szCs w:val="22"/>
              </w:rPr>
              <w:tab/>
              <w:t xml:space="preserve">221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4" w:anchor="_Toc198483624"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виды топлива (в случае, если топливом является угoль, - вид ископаемого yгля в соответствии с Межгосударственным</w:t>
            </w:r>
            <w:r>
              <w:rPr>
                <w:rStyle w:val="11053"/>
                <w:rFonts w:ascii="Times New Roman" w:hAnsi="Times New Roman" w:cs="Times New Roman"/>
                <w:bCs w:val="0"/>
                <w:sz w:val="22"/>
                <w:szCs w:val="22"/>
              </w:rPr>
              <w:t xml:space="preserve">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fldChar w:fldCharType="begin"/>
            </w:r>
            <w:r>
              <w:instrText xml:space="preserve">PAGEREF _Toc198483624 \h</w:instrText>
            </w:r>
            <w:r>
              <w:fldChar w:fldCharType="separate"/>
            </w:r>
            <w:r>
              <w:rPr>
                <w:rStyle w:val="11053"/>
                <w:rFonts w:ascii="Times New Roman" w:hAnsi="Times New Roman" w:cs="Times New Roman"/>
                <w:bCs w:val="0"/>
                <w:vanish w:val="0"/>
                <w:sz w:val="22"/>
                <w:szCs w:val="22"/>
              </w:rPr>
              <w:tab/>
              <w:t xml:space="preserve">222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5" w:anchor="_Toc198483625"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Преобладающий в поселении, муниципальном образовании вид топлива, определяемый по совокупности всех систем теплоснабжения, находящихся в соответствующем поселении, муниципальном образовании</w:t>
            </w:r>
            <w:r>
              <w:fldChar w:fldCharType="begin"/>
            </w:r>
            <w:r>
              <w:instrText xml:space="preserve">PAGEREF _Toc198483625 \h</w:instrText>
            </w:r>
            <w:r>
              <w:fldChar w:fldCharType="separate"/>
            </w:r>
            <w:r>
              <w:rPr>
                <w:rStyle w:val="11053"/>
                <w:rFonts w:ascii="Times New Roman" w:hAnsi="Times New Roman" w:cs="Times New Roman"/>
                <w:bCs w:val="0"/>
                <w:vanish w:val="0"/>
                <w:sz w:val="22"/>
                <w:szCs w:val="22"/>
              </w:rPr>
              <w:tab/>
              <w:t xml:space="preserve">222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6" w:anchor="_Toc198483626"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Приоритетное направление развития топливного баланса поселения, муниципального образования</w:t>
            </w:r>
            <w:r>
              <w:fldChar w:fldCharType="begin"/>
            </w:r>
            <w:r>
              <w:instrText xml:space="preserve">PAGEREF _Toc198483626 \h</w:instrText>
            </w:r>
            <w:r>
              <w:fldChar w:fldCharType="separate"/>
            </w:r>
            <w:r>
              <w:rPr>
                <w:rStyle w:val="11053"/>
                <w:rFonts w:ascii="Times New Roman" w:hAnsi="Times New Roman" w:cs="Times New Roman"/>
                <w:bCs w:val="0"/>
                <w:vanish w:val="0"/>
                <w:sz w:val="22"/>
                <w:szCs w:val="22"/>
              </w:rPr>
              <w:tab/>
              <w:tab/>
              <w:t xml:space="preserve">222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7" w:anchor="_Toc198483627" w:history="1">
            <w:r>
              <w:rPr>
                <w:rStyle w:val="11053"/>
                <w:rFonts w:ascii="Times New Roman" w:hAnsi="Times New Roman" w:cs="Times New Roman"/>
                <w:bCs w:val="0"/>
                <w:sz w:val="22"/>
                <w:szCs w:val="22"/>
              </w:rPr>
              <w:t xml:space="preserve">ГЛАВА 11. ОЦЕНКА НАДЕЖНОСТИ ТЕПЛОСНАБЖЕНИЯ</w:t>
            </w:r>
            <w:r>
              <w:fldChar w:fldCharType="begin"/>
            </w:r>
            <w:r>
              <w:instrText xml:space="preserve">PAGEREF _Toc198483627 \h</w:instrText>
            </w:r>
            <w:r>
              <w:fldChar w:fldCharType="separate"/>
            </w:r>
            <w:r>
              <w:rPr>
                <w:rStyle w:val="11053"/>
                <w:rFonts w:ascii="Times New Roman" w:hAnsi="Times New Roman" w:cs="Times New Roman"/>
                <w:bCs w:val="0"/>
                <w:vanish w:val="0"/>
                <w:sz w:val="22"/>
                <w:szCs w:val="22"/>
              </w:rPr>
              <w:tab/>
              <w:t xml:space="preserve">223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8" w:anchor="_Toc198483628"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fldChar w:fldCharType="begin"/>
            </w:r>
            <w:r>
              <w:instrText xml:space="preserve">PAGEREF _Toc198483628 \h</w:instrText>
            </w:r>
            <w:r>
              <w:fldChar w:fldCharType="separate"/>
            </w:r>
            <w:r>
              <w:rPr>
                <w:rStyle w:val="11053"/>
                <w:rFonts w:ascii="Times New Roman" w:hAnsi="Times New Roman" w:cs="Times New Roman"/>
                <w:bCs w:val="0"/>
                <w:vanish w:val="0"/>
                <w:sz w:val="22"/>
                <w:szCs w:val="22"/>
              </w:rPr>
              <w:tab/>
              <w:t xml:space="preserve">223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29" w:anchor="_Toc198483629"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ме</w:t>
            </w:r>
            <w:r>
              <w:rPr>
                <w:rStyle w:val="11053"/>
                <w:rFonts w:ascii="Times New Roman" w:hAnsi="Times New Roman" w:cs="Times New Roman"/>
                <w:bCs w:val="0"/>
                <w:sz w:val="22"/>
                <w:szCs w:val="22"/>
              </w:rPr>
              <w:t xml:space="preserve">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fldChar w:fldCharType="begin"/>
            </w:r>
            <w:r>
              <w:instrText xml:space="preserve">PAGEREF _Toc198483629 \h</w:instrText>
            </w:r>
            <w:r>
              <w:fldChar w:fldCharType="separate"/>
            </w:r>
            <w:r>
              <w:rPr>
                <w:rStyle w:val="11053"/>
                <w:rFonts w:ascii="Times New Roman" w:hAnsi="Times New Roman" w:cs="Times New Roman"/>
                <w:bCs w:val="0"/>
                <w:vanish w:val="0"/>
                <w:sz w:val="22"/>
                <w:szCs w:val="22"/>
              </w:rPr>
              <w:tab/>
              <w:t xml:space="preserve">235</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0" w:anchor="_Toc198483630"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fldChar w:fldCharType="begin"/>
            </w:r>
            <w:r>
              <w:instrText xml:space="preserve">PAGEREF _Toc198483630 \h</w:instrText>
            </w:r>
            <w:r>
              <w:fldChar w:fldCharType="separate"/>
            </w:r>
            <w:r>
              <w:rPr>
                <w:rStyle w:val="11053"/>
                <w:rFonts w:ascii="Times New Roman" w:hAnsi="Times New Roman" w:cs="Times New Roman"/>
                <w:bCs w:val="0"/>
                <w:vanish w:val="0"/>
                <w:sz w:val="22"/>
                <w:szCs w:val="22"/>
              </w:rPr>
              <w:tab/>
              <w:t xml:space="preserve">240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1" w:anchor="_Toc198483631"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результатов оценки коэффициентов готовности теплопроводов к несению тепловой нагрузки</w:t>
            </w:r>
            <w:r>
              <w:fldChar w:fldCharType="begin"/>
            </w:r>
            <w:r>
              <w:instrText xml:space="preserve">PAGEREF _Toc198483631 \h</w:instrText>
            </w:r>
            <w:r>
              <w:fldChar w:fldCharType="separate"/>
            </w:r>
            <w:r>
              <w:rPr>
                <w:rStyle w:val="11053"/>
                <w:rFonts w:ascii="Times New Roman" w:hAnsi="Times New Roman" w:cs="Times New Roman"/>
                <w:bCs w:val="0"/>
                <w:vanish w:val="0"/>
                <w:sz w:val="22"/>
                <w:szCs w:val="22"/>
              </w:rPr>
              <w:tab/>
              <w:t xml:space="preserve">242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2" w:anchor="_Toc198483632"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fldChar w:fldCharType="begin"/>
            </w:r>
            <w:r>
              <w:instrText xml:space="preserve">PAGEREF _Toc198483632 \h</w:instrText>
            </w:r>
            <w:r>
              <w:fldChar w:fldCharType="separate"/>
            </w:r>
            <w:r>
              <w:rPr>
                <w:rStyle w:val="11053"/>
                <w:rFonts w:ascii="Times New Roman" w:hAnsi="Times New Roman" w:cs="Times New Roman"/>
                <w:bCs w:val="0"/>
                <w:vanish w:val="0"/>
                <w:sz w:val="22"/>
                <w:szCs w:val="22"/>
              </w:rPr>
              <w:tab/>
              <w:t xml:space="preserve">242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3" w:anchor="_Toc198483633"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fldChar w:fldCharType="begin"/>
            </w:r>
            <w:r>
              <w:instrText xml:space="preserve">PAGEREF _Toc198483633 \h</w:instrText>
            </w:r>
            <w:r>
              <w:fldChar w:fldCharType="separate"/>
            </w:r>
            <w:r>
              <w:rPr>
                <w:rStyle w:val="11053"/>
                <w:rFonts w:ascii="Times New Roman" w:hAnsi="Times New Roman" w:cs="Times New Roman"/>
                <w:bCs w:val="0"/>
                <w:vanish w:val="0"/>
                <w:sz w:val="22"/>
                <w:szCs w:val="22"/>
              </w:rPr>
              <w:tab/>
              <w:tab/>
              <w:t xml:space="preserve">243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4" w:anchor="_Toc198483634" w:history="1">
            <w:r>
              <w:rPr>
                <w:rStyle w:val="11053"/>
                <w:rFonts w:ascii="Times New Roman" w:hAnsi="Times New Roman" w:cs="Times New Roman"/>
                <w:bCs w:val="0"/>
                <w:sz w:val="22"/>
                <w:szCs w:val="22"/>
              </w:rPr>
              <w:t xml:space="preserve">7.</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Установка резервного оборудования</w:t>
            </w:r>
            <w:r>
              <w:fldChar w:fldCharType="begin"/>
            </w:r>
            <w:r>
              <w:instrText xml:space="preserve">PAGEREF _Toc198483634 \h</w:instrText>
            </w:r>
            <w:r>
              <w:fldChar w:fldCharType="separate"/>
            </w:r>
            <w:r>
              <w:rPr>
                <w:rStyle w:val="11053"/>
                <w:rFonts w:ascii="Times New Roman" w:hAnsi="Times New Roman" w:cs="Times New Roman"/>
                <w:bCs w:val="0"/>
                <w:vanish w:val="0"/>
                <w:sz w:val="22"/>
                <w:szCs w:val="22"/>
              </w:rPr>
              <w:tab/>
              <w:t xml:space="preserve">243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5" w:anchor="_Toc198483635" w:history="1">
            <w:r>
              <w:rPr>
                <w:rStyle w:val="11053"/>
                <w:rFonts w:ascii="Times New Roman" w:hAnsi="Times New Roman" w:cs="Times New Roman"/>
                <w:bCs w:val="0"/>
                <w:sz w:val="22"/>
                <w:szCs w:val="22"/>
              </w:rPr>
              <w:t xml:space="preserve">8.</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Организация совместной работы нескольких источников тепловой энергии на единую тепловую сеть</w:t>
            </w:r>
            <w:r>
              <w:fldChar w:fldCharType="begin"/>
            </w:r>
            <w:r>
              <w:instrText xml:space="preserve">PAGEREF _Toc198483635 \h</w:instrText>
            </w:r>
            <w:r>
              <w:fldChar w:fldCharType="separate"/>
            </w:r>
            <w:r>
              <w:rPr>
                <w:rStyle w:val="11053"/>
                <w:rFonts w:ascii="Times New Roman" w:hAnsi="Times New Roman" w:cs="Times New Roman"/>
                <w:bCs w:val="0"/>
                <w:vanish w:val="0"/>
                <w:sz w:val="22"/>
                <w:szCs w:val="22"/>
              </w:rPr>
              <w:tab/>
              <w:t xml:space="preserve">243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6" w:anchor="_Toc198483636" w:history="1">
            <w:r>
              <w:rPr>
                <w:rStyle w:val="11053"/>
                <w:rFonts w:ascii="Times New Roman" w:hAnsi="Times New Roman" w:cs="Times New Roman"/>
                <w:bCs w:val="0"/>
                <w:sz w:val="22"/>
                <w:szCs w:val="22"/>
              </w:rPr>
              <w:t xml:space="preserve">9.</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Резервирование тепловых сетей смежных районов поселения, горoдского посeления, горoда федерального значения</w:t>
            </w:r>
            <w:r>
              <w:fldChar w:fldCharType="begin"/>
            </w:r>
            <w:r>
              <w:instrText xml:space="preserve">PAGEREF _Toc198483636 \h</w:instrText>
            </w:r>
            <w:r>
              <w:fldChar w:fldCharType="separate"/>
            </w:r>
            <w:r>
              <w:rPr>
                <w:rStyle w:val="11053"/>
                <w:rFonts w:ascii="Times New Roman" w:hAnsi="Times New Roman" w:cs="Times New Roman"/>
                <w:bCs w:val="0"/>
                <w:vanish w:val="0"/>
                <w:sz w:val="22"/>
                <w:szCs w:val="22"/>
              </w:rPr>
              <w:tab/>
              <w:t xml:space="preserve">244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7" w:anchor="_Toc198483637" w:history="1">
            <w:r>
              <w:rPr>
                <w:rStyle w:val="11053"/>
                <w:rFonts w:ascii="Times New Roman" w:hAnsi="Times New Roman" w:cs="Times New Roman"/>
                <w:bCs w:val="0"/>
                <w:sz w:val="22"/>
                <w:szCs w:val="22"/>
              </w:rPr>
              <w:t xml:space="preserve">10.</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Устройство резервных насосных станций</w:t>
            </w:r>
            <w:r>
              <w:fldChar w:fldCharType="begin"/>
            </w:r>
            <w:r>
              <w:instrText xml:space="preserve">PAGEREF _Toc198483637 \h</w:instrText>
            </w:r>
            <w:r>
              <w:fldChar w:fldCharType="separate"/>
            </w:r>
            <w:r>
              <w:rPr>
                <w:rStyle w:val="11053"/>
                <w:rFonts w:ascii="Times New Roman" w:hAnsi="Times New Roman" w:cs="Times New Roman"/>
                <w:bCs w:val="0"/>
                <w:vanish w:val="0"/>
                <w:sz w:val="22"/>
                <w:szCs w:val="22"/>
              </w:rPr>
              <w:tab/>
              <w:t xml:space="preserve">247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8" w:anchor="_Toc198483638" w:history="1">
            <w:r>
              <w:rPr>
                <w:rStyle w:val="11053"/>
                <w:rFonts w:ascii="Times New Roman" w:hAnsi="Times New Roman" w:cs="Times New Roman"/>
                <w:bCs w:val="0"/>
                <w:sz w:val="22"/>
                <w:szCs w:val="22"/>
              </w:rPr>
              <w:t xml:space="preserve">11.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Установка баков-аккумуляторов.</w:t>
            </w:r>
            <w:r>
              <w:fldChar w:fldCharType="begin"/>
            </w:r>
            <w:r>
              <w:instrText xml:space="preserve">PAGEREF _Toc198483638 \h</w:instrText>
            </w:r>
            <w:r>
              <w:fldChar w:fldCharType="separate"/>
            </w:r>
            <w:r>
              <w:rPr>
                <w:rStyle w:val="11053"/>
                <w:rFonts w:ascii="Times New Roman" w:hAnsi="Times New Roman" w:cs="Times New Roman"/>
                <w:bCs w:val="0"/>
                <w:vanish w:val="0"/>
                <w:sz w:val="22"/>
                <w:szCs w:val="22"/>
              </w:rPr>
              <w:tab/>
              <w:t xml:space="preserve">247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39" w:anchor="_Toc198483639" w:history="1">
            <w:r>
              <w:rPr>
                <w:rStyle w:val="11053"/>
                <w:rFonts w:ascii="Times New Roman" w:hAnsi="Times New Roman" w:cs="Times New Roman"/>
                <w:bCs w:val="0"/>
                <w:sz w:val="22"/>
                <w:szCs w:val="22"/>
              </w:rPr>
              <w:t xml:space="preserve">12.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Сведения о сценари</w:t>
            </w:r>
            <w:r>
              <w:rPr>
                <w:rStyle w:val="11053"/>
                <w:rFonts w:ascii="Times New Roman" w:hAnsi="Times New Roman" w:cs="Times New Roman"/>
                <w:bCs w:val="0"/>
                <w:sz w:val="22"/>
                <w:szCs w:val="22"/>
              </w:rPr>
              <w:t xml:space="preserve">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fldChar w:fldCharType="begin"/>
            </w:r>
            <w:r>
              <w:instrText xml:space="preserve">PAGEREF _Toc198483639 \h</w:instrText>
            </w:r>
            <w:r>
              <w:fldChar w:fldCharType="separate"/>
            </w:r>
            <w:r>
              <w:rPr>
                <w:rStyle w:val="11053"/>
                <w:rFonts w:ascii="Times New Roman" w:hAnsi="Times New Roman" w:cs="Times New Roman"/>
                <w:bCs w:val="0"/>
                <w:vanish w:val="0"/>
                <w:sz w:val="22"/>
                <w:szCs w:val="22"/>
              </w:rPr>
              <w:tab/>
              <w:t xml:space="preserve">248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0" w:anchor="_Toc198483640" w:history="1">
            <w:r>
              <w:rPr>
                <w:rStyle w:val="11053"/>
                <w:rFonts w:ascii="Times New Roman" w:hAnsi="Times New Roman" w:cs="Times New Roman"/>
                <w:bCs w:val="0"/>
                <w:sz w:val="22"/>
              </w:rPr>
              <w:t xml:space="preserve">12.1.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Аварийные режимы работы, связанных с прекращением подачи тепловой энергии</w:t>
            </w:r>
            <w:r>
              <w:fldChar w:fldCharType="begin"/>
            </w:r>
            <w:r>
              <w:instrText xml:space="preserve">PAGEREF _Toc198483640 \h</w:instrText>
            </w:r>
            <w:r>
              <w:fldChar w:fldCharType="separate"/>
            </w:r>
            <w:r>
              <w:rPr>
                <w:rStyle w:val="11053"/>
                <w:rFonts w:ascii="Times New Roman" w:hAnsi="Times New Roman" w:cs="Times New Roman"/>
                <w:bCs w:val="0"/>
                <w:vanish w:val="0"/>
                <w:sz w:val="22"/>
              </w:rPr>
              <w:tab/>
              <w:t xml:space="preserve">250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1" w:anchor="_Toc198483641" w:history="1">
            <w:r>
              <w:rPr>
                <w:rStyle w:val="11053"/>
                <w:rFonts w:ascii="Times New Roman" w:hAnsi="Times New Roman" w:cs="Times New Roman"/>
                <w:bCs w:val="0"/>
                <w:sz w:val="22"/>
              </w:rPr>
              <w:t xml:space="preserve">12.2.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Сценарии развития аварий в сис</w:t>
            </w:r>
            <w:r>
              <w:rPr>
                <w:rStyle w:val="11053"/>
                <w:rFonts w:ascii="Times New Roman" w:hAnsi="Times New Roman" w:cs="Times New Roman"/>
                <w:bCs w:val="0"/>
                <w:sz w:val="22"/>
              </w:rPr>
              <w:t xml:space="preserve">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энергииОбозначения и сокращения</w:t>
            </w:r>
            <w:r>
              <w:fldChar w:fldCharType="begin"/>
            </w:r>
            <w:r>
              <w:instrText xml:space="preserve">PAGEREF _Toc198483641 \h</w:instrText>
            </w:r>
            <w:r>
              <w:fldChar w:fldCharType="separate"/>
            </w:r>
            <w:r>
              <w:rPr>
                <w:rStyle w:val="11053"/>
                <w:rFonts w:ascii="Times New Roman" w:hAnsi="Times New Roman" w:cs="Times New Roman"/>
                <w:bCs w:val="0"/>
                <w:vanish w:val="0"/>
                <w:sz w:val="22"/>
              </w:rPr>
              <w:tab/>
              <w:t xml:space="preserve">251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2" w:anchor="_Toc198483642" w:history="1">
            <w:r>
              <w:rPr>
                <w:rStyle w:val="11053"/>
                <w:rFonts w:ascii="Times New Roman" w:hAnsi="Times New Roman" w:cs="Times New Roman"/>
                <w:bCs w:val="0"/>
                <w:sz w:val="22"/>
              </w:rPr>
              <w:t xml:space="preserve">12.3.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Аварийные режимы работы, связанных с прекращением подачи тепловой энергии</w:t>
            </w:r>
            <w:r>
              <w:fldChar w:fldCharType="begin"/>
            </w:r>
            <w:r>
              <w:instrText xml:space="preserve">PAGEREF _Toc198483642 \h</w:instrText>
            </w:r>
            <w:r>
              <w:fldChar w:fldCharType="separate"/>
            </w:r>
            <w:r>
              <w:rPr>
                <w:rStyle w:val="11053"/>
                <w:rFonts w:ascii="Times New Roman" w:hAnsi="Times New Roman" w:cs="Times New Roman"/>
                <w:bCs w:val="0"/>
                <w:vanish w:val="0"/>
                <w:sz w:val="22"/>
              </w:rPr>
              <w:tab/>
              <w:t xml:space="preserve">253</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3" w:anchor="_Toc198483643" w:history="1">
            <w:r>
              <w:rPr>
                <w:rStyle w:val="11053"/>
                <w:rFonts w:ascii="Times New Roman" w:hAnsi="Times New Roman" w:cs="Times New Roman"/>
                <w:bCs w:val="0"/>
                <w:sz w:val="22"/>
              </w:rPr>
              <w:t xml:space="preserve">12.4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Расчеты допустимого времени устранения технологических нарушений</w:t>
            </w:r>
            <w:r>
              <w:fldChar w:fldCharType="begin"/>
            </w:r>
            <w:r>
              <w:instrText xml:space="preserve">PAGEREF _Toc198483643 \h</w:instrText>
            </w:r>
            <w:r>
              <w:fldChar w:fldCharType="separate"/>
            </w:r>
            <w:r>
              <w:rPr>
                <w:rStyle w:val="11053"/>
                <w:rFonts w:ascii="Times New Roman" w:hAnsi="Times New Roman" w:cs="Times New Roman"/>
                <w:bCs w:val="0"/>
                <w:vanish w:val="0"/>
                <w:sz w:val="22"/>
              </w:rPr>
              <w:tab/>
              <w:t xml:space="preserve">254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4" w:anchor="_Toc198483644" w:history="1">
            <w:r>
              <w:rPr>
                <w:rStyle w:val="11053"/>
                <w:rFonts w:ascii="Times New Roman" w:hAnsi="Times New Roman" w:cs="Times New Roman"/>
                <w:bCs w:val="0"/>
                <w:sz w:val="22"/>
              </w:rPr>
              <w:t xml:space="preserve">12.5.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Организация управления ликвидацией аварий на источниках теплоснабжения и тепловых сетях</w:t>
            </w:r>
            <w:r>
              <w:fldChar w:fldCharType="begin"/>
            </w:r>
            <w:r>
              <w:instrText xml:space="preserve">PAGEREF _Toc198483644 \h</w:instrText>
            </w:r>
            <w:r>
              <w:fldChar w:fldCharType="separate"/>
            </w:r>
            <w:r>
              <w:rPr>
                <w:rStyle w:val="11053"/>
                <w:rFonts w:ascii="Times New Roman" w:hAnsi="Times New Roman" w:cs="Times New Roman"/>
                <w:bCs w:val="0"/>
                <w:vanish w:val="0"/>
                <w:sz w:val="22"/>
              </w:rPr>
              <w:tab/>
              <w:tab/>
              <w:tab/>
              <w:t xml:space="preserve">258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5" w:anchor="_Toc198483645" w:history="1">
            <w:r>
              <w:rPr>
                <w:rStyle w:val="11053"/>
                <w:rFonts w:ascii="Times New Roman" w:hAnsi="Times New Roman" w:cs="Times New Roman"/>
                <w:bCs w:val="0"/>
                <w:sz w:val="22"/>
              </w:rPr>
              <w:t xml:space="preserve">12.6.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Силы и средства для ликвидации аварий на источниках теплоснабжения и тепловых сетях</w:t>
            </w:r>
            <w:r>
              <w:fldChar w:fldCharType="begin"/>
            </w:r>
            <w:r>
              <w:instrText xml:space="preserve">PAGEREF _Toc198483645 \h</w:instrText>
            </w:r>
            <w:r>
              <w:fldChar w:fldCharType="separate"/>
            </w:r>
            <w:r>
              <w:rPr>
                <w:rStyle w:val="11053"/>
                <w:rFonts w:ascii="Times New Roman" w:hAnsi="Times New Roman" w:cs="Times New Roman"/>
                <w:bCs w:val="0"/>
                <w:vanish w:val="0"/>
                <w:sz w:val="22"/>
              </w:rPr>
              <w:tab/>
              <w:tab/>
              <w:tab/>
              <w:tab/>
              <w:t xml:space="preserve">261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6" w:anchor="_Toc198483646" w:history="1">
            <w:r>
              <w:rPr>
                <w:rStyle w:val="11053"/>
                <w:rFonts w:ascii="Times New Roman" w:hAnsi="Times New Roman" w:cs="Times New Roman"/>
                <w:bCs w:val="0"/>
                <w:sz w:val="22"/>
              </w:rPr>
              <w:t xml:space="preserve">12.7.</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Порядок действий по ликвидации аварий на теплопроизводящих объектах и тепловых сетях</w:t>
            </w:r>
            <w:r>
              <w:fldChar w:fldCharType="begin"/>
            </w:r>
            <w:r>
              <w:instrText xml:space="preserve">PAGEREF _Toc198483646 \h</w:instrText>
            </w:r>
            <w:r>
              <w:fldChar w:fldCharType="separate"/>
            </w:r>
            <w:r>
              <w:rPr>
                <w:rStyle w:val="11053"/>
                <w:rFonts w:ascii="Times New Roman" w:hAnsi="Times New Roman" w:cs="Times New Roman"/>
                <w:bCs w:val="0"/>
                <w:vanish w:val="0"/>
                <w:sz w:val="22"/>
              </w:rPr>
              <w:tab/>
              <w:tab/>
              <w:tab/>
              <w:t xml:space="preserve">261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6"/>
            <w:pBdr/>
            <w:tabs>
              <w:tab w:val="clear" w:leader="none" w:pos="708"/>
              <w:tab w:val="left" w:leader="none" w:pos="1917"/>
              <w:tab w:val="right" w:leader="dot" w:pos="9345"/>
            </w:tabs>
            <w:spacing w:line="240" w:lineRule="auto"/>
            <w:ind w:firstLine="0" w:left="0"/>
            <w:jc w:val="both"/>
            <w:rPr>
              <w:rFonts w:ascii="Times New Roman" w:hAnsi="Times New Roman" w:eastAsia="宋体" w:cs="Times New Roman" w:eastAsiaTheme="minorEastAsia"/>
              <w:sz w:val="22"/>
              <w:szCs w:val="22"/>
              <w:lang w:val="ru-RU" w:eastAsia="ru-RU" w:bidi="ar-SA"/>
              <w14:ligatures w14:val="standardContextual"/>
            </w:rPr>
          </w:pPr>
          <w:r/>
          <w:hyperlink w:tooltip="#_Toc198483647" w:anchor="_Toc198483647" w:history="1">
            <w:r>
              <w:rPr>
                <w:rStyle w:val="11053"/>
                <w:rFonts w:ascii="Times New Roman" w:hAnsi="Times New Roman" w:eastAsia="Calibri" w:cs="Times New Roman"/>
                <w:sz w:val="22"/>
                <w:szCs w:val="22"/>
              </w:rPr>
              <w:t xml:space="preserve">12.7.1.</w:t>
            </w:r>
            <w:r>
              <w:rPr>
                <w:rStyle w:val="11053"/>
                <w:rFonts w:ascii="Times New Roman" w:hAnsi="Times New Roman" w:eastAsia="宋体" w:cs="Times New Roman" w:eastAsiaTheme="minorEastAsia"/>
                <w:sz w:val="22"/>
                <w:szCs w:val="22"/>
                <w:lang w:val="ru-RU" w:eastAsia="ru-RU" w:bidi="ar-SA"/>
                <w14:ligatures w14:val="standardContextual"/>
              </w:rPr>
              <w:tab/>
            </w:r>
            <w:r>
              <w:rPr>
                <w:rStyle w:val="11053"/>
                <w:rFonts w:ascii="Times New Roman" w:hAnsi="Times New Roman" w:eastAsia="Calibri" w:cs="Times New Roman"/>
                <w:sz w:val="22"/>
                <w:szCs w:val="22"/>
              </w:rPr>
              <w:t xml:space="preserve">Взаимодействие между органами и организациями при ликвидации аварий, инцидентов</w:t>
            </w:r>
            <w:r>
              <w:fldChar w:fldCharType="begin"/>
            </w:r>
            <w:r>
              <w:instrText xml:space="preserve">PAGEREF _Toc198483647 \h</w:instrText>
            </w:r>
            <w:r>
              <w:fldChar w:fldCharType="separate"/>
            </w:r>
            <w:r>
              <w:rPr>
                <w:rStyle w:val="11053"/>
                <w:rFonts w:ascii="Times New Roman" w:hAnsi="Times New Roman" w:cs="Times New Roman"/>
                <w:vanish w:val="0"/>
                <w:sz w:val="22"/>
                <w:szCs w:val="22"/>
              </w:rPr>
              <w:tab/>
              <w:tab/>
              <w:t xml:space="preserve">267</w:t>
            </w:r>
            <w:r>
              <w:fldChar w:fldCharType="end"/>
            </w:r>
          </w:hyperlink>
          <w:r/>
          <w:r>
            <w:rPr>
              <w:rFonts w:ascii="Times New Roman" w:hAnsi="Times New Roman" w:eastAsia="宋体" w:cs="Times New Roman" w:eastAsiaTheme="minorEastAsia"/>
              <w:sz w:val="22"/>
              <w:szCs w:val="22"/>
              <w:lang w:val="ru-RU" w:eastAsia="ru-RU" w:bidi="ar-SA"/>
              <w14:ligatures w14:val="standardContextual"/>
            </w:rPr>
          </w:r>
        </w:p>
        <w:p>
          <w:pPr>
            <w:pStyle w:val="11106"/>
            <w:pBdr/>
            <w:tabs>
              <w:tab w:val="clear" w:leader="none" w:pos="708"/>
              <w:tab w:val="left" w:leader="none" w:pos="1917"/>
              <w:tab w:val="right" w:leader="dot" w:pos="9345"/>
            </w:tabs>
            <w:spacing w:line="240" w:lineRule="auto"/>
            <w:ind w:firstLine="0" w:left="0"/>
            <w:jc w:val="both"/>
            <w:rPr>
              <w:rFonts w:ascii="Times New Roman" w:hAnsi="Times New Roman" w:eastAsia="宋体" w:cs="Times New Roman" w:eastAsiaTheme="minorEastAsia"/>
              <w:sz w:val="22"/>
              <w:szCs w:val="22"/>
              <w:lang w:val="ru-RU" w:eastAsia="ru-RU" w:bidi="ar-SA"/>
              <w14:ligatures w14:val="standardContextual"/>
            </w:rPr>
          </w:pPr>
          <w:r/>
          <w:hyperlink w:tooltip="#_Toc198483648" w:anchor="_Toc198483648" w:history="1">
            <w:r>
              <w:rPr>
                <w:rStyle w:val="11053"/>
                <w:rFonts w:ascii="Times New Roman" w:hAnsi="Times New Roman" w:eastAsia="Calibri" w:cs="Times New Roman"/>
                <w:sz w:val="22"/>
                <w:szCs w:val="22"/>
              </w:rPr>
              <w:t xml:space="preserve">12.7.2.</w:t>
            </w:r>
            <w:r>
              <w:rPr>
                <w:rStyle w:val="11053"/>
                <w:rFonts w:ascii="Times New Roman" w:hAnsi="Times New Roman" w:eastAsia="宋体" w:cs="Times New Roman" w:eastAsiaTheme="minorEastAsia"/>
                <w:sz w:val="22"/>
                <w:szCs w:val="22"/>
                <w:lang w:val="ru-RU" w:eastAsia="ru-RU" w:bidi="ar-SA"/>
                <w14:ligatures w14:val="standardContextual"/>
              </w:rPr>
              <w:tab/>
            </w:r>
            <w:r>
              <w:rPr>
                <w:rStyle w:val="11053"/>
                <w:rFonts w:ascii="Times New Roman" w:hAnsi="Times New Roman" w:eastAsia="Calibri" w:cs="Times New Roman"/>
                <w:sz w:val="22"/>
                <w:szCs w:val="22"/>
              </w:rPr>
              <w:t xml:space="preserve">Взаимодействие оперативно-диспетчерских служб при эксплуатации систем энергоснабжения</w:t>
            </w:r>
            <w:r>
              <w:fldChar w:fldCharType="begin"/>
            </w:r>
            <w:r>
              <w:instrText xml:space="preserve">PAGEREF _Toc198483648 \h</w:instrText>
            </w:r>
            <w:r>
              <w:fldChar w:fldCharType="separate"/>
            </w:r>
            <w:r>
              <w:rPr>
                <w:rStyle w:val="11053"/>
                <w:rFonts w:ascii="Times New Roman" w:hAnsi="Times New Roman" w:cs="Times New Roman"/>
                <w:vanish w:val="0"/>
                <w:sz w:val="22"/>
                <w:szCs w:val="22"/>
              </w:rPr>
              <w:tab/>
              <w:tab/>
              <w:t xml:space="preserve">269</w:t>
            </w:r>
            <w:r>
              <w:fldChar w:fldCharType="end"/>
            </w:r>
          </w:hyperlink>
          <w:r/>
          <w:r>
            <w:rPr>
              <w:rFonts w:ascii="Times New Roman" w:hAnsi="Times New Roman" w:eastAsia="宋体" w:cs="Times New Roman" w:eastAsiaTheme="minorEastAsia"/>
              <w:sz w:val="22"/>
              <w:szCs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49" w:anchor="_Toc198483649" w:history="1">
            <w:r>
              <w:rPr>
                <w:rStyle w:val="11053"/>
                <w:rFonts w:ascii="Times New Roman" w:hAnsi="Times New Roman" w:eastAsia="Calibri" w:cs="Times New Roman"/>
                <w:bCs w:val="0"/>
                <w:sz w:val="22"/>
              </w:rPr>
              <w:t xml:space="preserve">12.8.</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eastAsia="Calibri" w:cs="Times New Roman"/>
                <w:bCs w:val="0"/>
                <w:sz w:val="22"/>
              </w:rPr>
              <w:t xml:space="preserve">Порядок ограничения, прекращения подачи тепловой энергии при возникновении (угрозе возникновения) аварийных ситуаций в системе теплоснабжения на территории муниципального образования Астаповское </w:t>
            </w:r>
            <w:r>
              <w:fldChar w:fldCharType="begin"/>
            </w:r>
            <w:r>
              <w:instrText xml:space="preserve">PAGEREF _Toc198483649 \h</w:instrText>
            </w:r>
            <w:r>
              <w:fldChar w:fldCharType="separate"/>
            </w:r>
            <w:r>
              <w:rPr>
                <w:rStyle w:val="11053"/>
                <w:rFonts w:ascii="Times New Roman" w:hAnsi="Times New Roman" w:cs="Times New Roman"/>
                <w:bCs w:val="0"/>
                <w:vanish w:val="0"/>
                <w:sz w:val="22"/>
              </w:rPr>
              <w:tab/>
              <w:t xml:space="preserve">271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10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0" w:anchor="_Toc198483650" w:history="1">
            <w:r>
              <w:rPr>
                <w:rStyle w:val="11053"/>
                <w:rFonts w:ascii="Times New Roman" w:hAnsi="Times New Roman" w:eastAsia="Calibri" w:cs="Times New Roman"/>
                <w:bCs w:val="0"/>
                <w:sz w:val="22"/>
              </w:rPr>
              <w:t xml:space="preserve">12.9.</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eastAsia="Calibri" w:cs="Times New Roman"/>
                <w:bCs w:val="0"/>
                <w:sz w:val="22"/>
              </w:rPr>
              <w:t xml:space="preserve">Порядок ограничения, прекращения подачи тепловой энергии при возникновении (угрозе возникновения) аварийных ситуаций в системе теплоснабжения</w:t>
            </w:r>
            <w:r>
              <w:fldChar w:fldCharType="begin"/>
            </w:r>
            <w:r>
              <w:instrText xml:space="preserve">PAGEREF _Toc198483650 \h</w:instrText>
            </w:r>
            <w:r>
              <w:fldChar w:fldCharType="separate"/>
            </w:r>
            <w:r>
              <w:rPr>
                <w:rStyle w:val="11053"/>
                <w:rFonts w:ascii="Times New Roman" w:hAnsi="Times New Roman" w:cs="Times New Roman"/>
                <w:bCs w:val="0"/>
                <w:vanish w:val="0"/>
                <w:sz w:val="22"/>
              </w:rPr>
              <w:tab/>
              <w:t xml:space="preserve">274</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1" w:anchor="_Toc198483651" w:history="1">
            <w:r>
              <w:rPr>
                <w:rStyle w:val="11053"/>
                <w:rFonts w:ascii="Times New Roman" w:hAnsi="Times New Roman" w:eastAsia="Calibri" w:cs="Times New Roman"/>
                <w:bCs w:val="0"/>
                <w:sz w:val="22"/>
              </w:rPr>
              <w:t xml:space="preserve">12.10.</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eastAsia="Calibri" w:cs="Times New Roman"/>
                <w:bCs w:val="0"/>
                <w:sz w:val="22"/>
              </w:rPr>
              <w:t xml:space="preserve">Общие требования к составлению графиков ограничения аварийного отключения потребителей тепловой энергии и мощности</w:t>
            </w:r>
            <w:r>
              <w:fldChar w:fldCharType="begin"/>
            </w:r>
            <w:r>
              <w:instrText xml:space="preserve">PAGEREF _Toc198483651 \h</w:instrText>
            </w:r>
            <w:r>
              <w:fldChar w:fldCharType="separate"/>
            </w:r>
            <w:r>
              <w:rPr>
                <w:rStyle w:val="11053"/>
                <w:rFonts w:ascii="Times New Roman" w:hAnsi="Times New Roman" w:cs="Times New Roman"/>
                <w:bCs w:val="0"/>
                <w:vanish w:val="0"/>
                <w:sz w:val="22"/>
              </w:rPr>
              <w:tab/>
              <w:t xml:space="preserve">276</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2" w:anchor="_Toc198483652" w:history="1">
            <w:r>
              <w:rPr>
                <w:rStyle w:val="11053"/>
                <w:rFonts w:ascii="Times New Roman" w:hAnsi="Times New Roman" w:cs="Times New Roman"/>
                <w:bCs w:val="0"/>
                <w:sz w:val="22"/>
              </w:rPr>
              <w:t xml:space="preserve">12.11.</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Технологическая бронь теплоснабжения</w:t>
            </w:r>
            <w:r>
              <w:fldChar w:fldCharType="begin"/>
            </w:r>
            <w:r>
              <w:instrText xml:space="preserve">PAGEREF _Toc198483652 \h</w:instrText>
            </w:r>
            <w:r>
              <w:fldChar w:fldCharType="separate"/>
            </w:r>
            <w:r>
              <w:rPr>
                <w:rStyle w:val="11053"/>
                <w:rFonts w:ascii="Times New Roman" w:hAnsi="Times New Roman" w:cs="Times New Roman"/>
                <w:bCs w:val="0"/>
                <w:vanish w:val="0"/>
                <w:sz w:val="22"/>
              </w:rPr>
              <w:tab/>
              <w:t xml:space="preserve">277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3" w:anchor="_Toc198483653" w:history="1">
            <w:r>
              <w:rPr>
                <w:rStyle w:val="11053"/>
                <w:rFonts w:ascii="Times New Roman" w:hAnsi="Times New Roman" w:cs="Times New Roman"/>
                <w:bCs w:val="0"/>
                <w:sz w:val="22"/>
              </w:rPr>
              <w:t xml:space="preserve">12.12.</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Аварийная бронь теплоснабжения</w:t>
            </w:r>
            <w:r>
              <w:fldChar w:fldCharType="begin"/>
            </w:r>
            <w:r>
              <w:instrText xml:space="preserve">PAGEREF _Toc198483653 \h</w:instrText>
            </w:r>
            <w:r>
              <w:fldChar w:fldCharType="separate"/>
            </w:r>
            <w:r>
              <w:rPr>
                <w:rStyle w:val="11053"/>
                <w:rFonts w:ascii="Times New Roman" w:hAnsi="Times New Roman" w:cs="Times New Roman"/>
                <w:bCs w:val="0"/>
                <w:vanish w:val="0"/>
                <w:sz w:val="22"/>
              </w:rPr>
              <w:tab/>
              <w:t xml:space="preserve">277</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4" w:anchor="_Toc198483654" w:history="1">
            <w:r>
              <w:rPr>
                <w:rStyle w:val="11053"/>
                <w:rFonts w:ascii="Times New Roman" w:hAnsi="Times New Roman" w:cs="Times New Roman"/>
                <w:bCs w:val="0"/>
                <w:sz w:val="22"/>
              </w:rPr>
              <w:t xml:space="preserve">12.13.</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Порядок ввода графиков ограничения потребителей тепловой энергии и мощности</w:t>
            </w:r>
            <w:r>
              <w:fldChar w:fldCharType="begin"/>
            </w:r>
            <w:r>
              <w:instrText xml:space="preserve">PAGEREF _Toc198483654 \h</w:instrText>
            </w:r>
            <w:r>
              <w:fldChar w:fldCharType="separate"/>
            </w:r>
            <w:r>
              <w:rPr>
                <w:rStyle w:val="11053"/>
                <w:rFonts w:ascii="Times New Roman" w:hAnsi="Times New Roman" w:cs="Times New Roman"/>
                <w:bCs w:val="0"/>
                <w:vanish w:val="0"/>
                <w:sz w:val="22"/>
              </w:rPr>
              <w:tab/>
              <w:t xml:space="preserve">278</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5" w:anchor="_Toc198483655" w:history="1">
            <w:r>
              <w:rPr>
                <w:rStyle w:val="11053"/>
                <w:rFonts w:ascii="Times New Roman" w:hAnsi="Times New Roman" w:cs="Times New Roman"/>
                <w:bCs w:val="0"/>
                <w:sz w:val="22"/>
              </w:rPr>
              <w:t xml:space="preserve">12.14.</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Порядок ввода графиков аварийного ограничения и отключения потребителей тепловой мощности</w:t>
            </w:r>
            <w:r>
              <w:fldChar w:fldCharType="begin"/>
            </w:r>
            <w:r>
              <w:instrText xml:space="preserve">PAGEREF _Toc198483655 \h</w:instrText>
            </w:r>
            <w:r>
              <w:fldChar w:fldCharType="separate"/>
            </w:r>
            <w:r>
              <w:rPr>
                <w:rStyle w:val="11053"/>
                <w:rFonts w:ascii="Times New Roman" w:hAnsi="Times New Roman" w:cs="Times New Roman"/>
                <w:bCs w:val="0"/>
                <w:vanish w:val="0"/>
                <w:sz w:val="22"/>
              </w:rPr>
              <w:tab/>
              <w:tab/>
              <w:t xml:space="preserve">279</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6" w:anchor="_Toc198483656" w:history="1">
            <w:r>
              <w:rPr>
                <w:rStyle w:val="11053"/>
                <w:rFonts w:ascii="Times New Roman" w:hAnsi="Times New Roman" w:cs="Times New Roman"/>
                <w:bCs w:val="0"/>
                <w:sz w:val="22"/>
              </w:rPr>
              <w:t xml:space="preserve">12.15.</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Обязанности, права и ответственность теплоснабжающих организаций</w:t>
            </w:r>
            <w:r>
              <w:fldChar w:fldCharType="begin"/>
            </w:r>
            <w:r>
              <w:instrText xml:space="preserve">PAGEREF _Toc198483656 \h</w:instrText>
            </w:r>
            <w:r>
              <w:fldChar w:fldCharType="separate"/>
            </w:r>
            <w:r>
              <w:rPr>
                <w:rStyle w:val="11053"/>
                <w:rFonts w:ascii="Times New Roman" w:hAnsi="Times New Roman" w:cs="Times New Roman"/>
                <w:bCs w:val="0"/>
                <w:vanish w:val="0"/>
                <w:sz w:val="22"/>
              </w:rPr>
              <w:tab/>
              <w:t xml:space="preserve">280</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5"/>
            <w:pBdr/>
            <w:tabs>
              <w:tab w:val="left" w:leader="none" w:pos="709"/>
              <w:tab w:val="left" w:leader="none" w:pos="1320"/>
              <w:tab w:val="right" w:leader="dot" w:pos="9214"/>
            </w:tabs>
            <w:spacing w:line="240" w:lineRule="auto"/>
            <w:ind w:firstLine="0" w:left="0"/>
            <w:jc w:val="both"/>
            <w:rPr>
              <w:rFonts w:ascii="Times New Roman" w:hAnsi="Times New Roman" w:eastAsia="宋体" w:cs="Times New Roman" w:eastAsiaTheme="minorEastAsia"/>
              <w:bCs w:val="0"/>
              <w:sz w:val="22"/>
              <w:lang w:val="ru-RU" w:eastAsia="ru-RU" w:bidi="ar-SA"/>
              <w14:ligatures w14:val="standardContextual"/>
            </w:rPr>
          </w:pPr>
          <w:r/>
          <w:hyperlink w:tooltip="#_Toc198483657" w:anchor="_Toc198483657" w:history="1">
            <w:r>
              <w:rPr>
                <w:rStyle w:val="11053"/>
                <w:rFonts w:ascii="Times New Roman" w:hAnsi="Times New Roman" w:cs="Times New Roman"/>
                <w:bCs w:val="0"/>
                <w:sz w:val="22"/>
              </w:rPr>
              <w:t xml:space="preserve">12.16.</w:t>
            </w:r>
            <w:r>
              <w:rPr>
                <w:rStyle w:val="11053"/>
                <w:rFonts w:ascii="Times New Roman" w:hAnsi="Times New Roman" w:eastAsia="宋体" w:cs="Times New Roman" w:eastAsiaTheme="minorEastAsia"/>
                <w:bCs w:val="0"/>
                <w:sz w:val="22"/>
                <w:lang w:val="ru-RU" w:eastAsia="ru-RU" w:bidi="ar-SA"/>
                <w14:ligatures w14:val="standardContextual"/>
              </w:rPr>
              <w:tab/>
            </w:r>
            <w:r>
              <w:rPr>
                <w:rStyle w:val="11053"/>
                <w:rFonts w:ascii="Times New Roman" w:hAnsi="Times New Roman" w:cs="Times New Roman"/>
                <w:bCs w:val="0"/>
                <w:sz w:val="22"/>
              </w:rPr>
              <w:t xml:space="preserve">Обязанности, права и ответственность потребителей тепловой энергии</w:t>
            </w:r>
            <w:r>
              <w:fldChar w:fldCharType="begin"/>
            </w:r>
            <w:r>
              <w:instrText xml:space="preserve">PAGEREF _Toc198483657 \h</w:instrText>
            </w:r>
            <w:r>
              <w:fldChar w:fldCharType="separate"/>
            </w:r>
            <w:r>
              <w:rPr>
                <w:rStyle w:val="11053"/>
                <w:rFonts w:ascii="Times New Roman" w:hAnsi="Times New Roman" w:cs="Times New Roman"/>
                <w:bCs w:val="0"/>
                <w:vanish w:val="0"/>
                <w:sz w:val="22"/>
              </w:rPr>
              <w:tab/>
              <w:t xml:space="preserve">281</w:t>
            </w:r>
            <w:r>
              <w:fldChar w:fldCharType="end"/>
            </w:r>
          </w:hyperlink>
          <w:r/>
          <w:r>
            <w:rPr>
              <w:rFonts w:ascii="Times New Roman" w:hAnsi="Times New Roman" w:eastAsia="宋体" w:cs="Times New Roman" w:eastAsiaTheme="minorEastAsia"/>
              <w:bCs w:val="0"/>
              <w:sz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58" w:anchor="_Toc198483658" w:history="1">
            <w:r>
              <w:rPr>
                <w:rStyle w:val="11053"/>
                <w:rFonts w:ascii="Times New Roman" w:hAnsi="Times New Roman" w:cs="Times New Roman"/>
                <w:bCs w:val="0"/>
                <w:sz w:val="22"/>
                <w:szCs w:val="22"/>
              </w:rPr>
              <w:t xml:space="preserve">ГЛАВА 12. ОБОСНОВАНИЕ ИНВЕСТИЦИЙ В СТРОИТЕЛЬСТВО, РЕКОНСТРУКЦИЮ, ТЕХНИЧЕСКОЕ ПЕРЕВООРУЖЕНИЕ И (ИЛИ) МОДЕРНИЗАЦИЮ</w:t>
            </w:r>
            <w:r>
              <w:fldChar w:fldCharType="begin"/>
            </w:r>
            <w:r>
              <w:instrText xml:space="preserve">PAGEREF _Toc198483658 \h</w:instrText>
            </w:r>
            <w:r>
              <w:fldChar w:fldCharType="separate"/>
            </w:r>
            <w:r>
              <w:rPr>
                <w:rStyle w:val="11053"/>
                <w:rFonts w:ascii="Times New Roman" w:hAnsi="Times New Roman" w:cs="Times New Roman"/>
                <w:bCs w:val="0"/>
                <w:vanish w:val="0"/>
                <w:sz w:val="22"/>
                <w:szCs w:val="22"/>
              </w:rPr>
              <w:tab/>
              <w:t xml:space="preserve">282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59" w:anchor="_Toc198483659"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fldChar w:fldCharType="begin"/>
            </w:r>
            <w:r>
              <w:instrText xml:space="preserve">PAGEREF _Toc198483659 \h</w:instrText>
            </w:r>
            <w:r>
              <w:fldChar w:fldCharType="separate"/>
            </w:r>
            <w:r>
              <w:rPr>
                <w:rStyle w:val="11053"/>
                <w:rFonts w:ascii="Times New Roman" w:hAnsi="Times New Roman" w:cs="Times New Roman"/>
                <w:bCs w:val="0"/>
                <w:vanish w:val="0"/>
                <w:sz w:val="22"/>
                <w:szCs w:val="22"/>
              </w:rPr>
              <w:tab/>
              <w:tab/>
              <w:t xml:space="preserve">282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0" w:anchor="_Toc198483660"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fldChar w:fldCharType="begin"/>
            </w:r>
            <w:r>
              <w:instrText xml:space="preserve">PAGEREF _Toc198483660 \h</w:instrText>
            </w:r>
            <w:r>
              <w:fldChar w:fldCharType="separate"/>
            </w:r>
            <w:r>
              <w:rPr>
                <w:rStyle w:val="11053"/>
                <w:rFonts w:ascii="Times New Roman" w:hAnsi="Times New Roman" w:cs="Times New Roman"/>
                <w:bCs w:val="0"/>
                <w:vanish w:val="0"/>
                <w:sz w:val="22"/>
                <w:szCs w:val="22"/>
              </w:rPr>
              <w:tab/>
              <w:t xml:space="preserve">284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1" w:anchor="_Toc198483661"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Расчеты экономической эффективности инвестиций</w:t>
            </w:r>
            <w:r>
              <w:fldChar w:fldCharType="begin"/>
            </w:r>
            <w:r>
              <w:instrText xml:space="preserve">PAGEREF _Toc198483661 \h</w:instrText>
            </w:r>
            <w:r>
              <w:fldChar w:fldCharType="separate"/>
            </w:r>
            <w:r>
              <w:rPr>
                <w:rStyle w:val="11053"/>
                <w:rFonts w:ascii="Times New Roman" w:hAnsi="Times New Roman" w:cs="Times New Roman"/>
                <w:bCs w:val="0"/>
                <w:vanish w:val="0"/>
                <w:sz w:val="22"/>
                <w:szCs w:val="22"/>
              </w:rPr>
              <w:tab/>
              <w:t xml:space="preserve">286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2" w:anchor="_Toc198483662"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fldChar w:fldCharType="begin"/>
            </w:r>
            <w:r>
              <w:instrText xml:space="preserve">PAGEREF _Toc198483662 \h</w:instrText>
            </w:r>
            <w:r>
              <w:fldChar w:fldCharType="separate"/>
            </w:r>
            <w:r>
              <w:rPr>
                <w:rStyle w:val="11053"/>
                <w:rFonts w:ascii="Times New Roman" w:hAnsi="Times New Roman" w:cs="Times New Roman"/>
                <w:bCs w:val="0"/>
                <w:vanish w:val="0"/>
                <w:sz w:val="22"/>
                <w:szCs w:val="22"/>
              </w:rPr>
              <w:tab/>
              <w:t xml:space="preserve">288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3" w:anchor="_Toc198483663" w:history="1">
            <w:r>
              <w:rPr>
                <w:rStyle w:val="11053"/>
                <w:rFonts w:ascii="Times New Roman" w:hAnsi="Times New Roman" w:cs="Times New Roman"/>
                <w:bCs w:val="0"/>
                <w:sz w:val="22"/>
                <w:szCs w:val="22"/>
              </w:rPr>
              <w:t xml:space="preserve">ГЛАВА 13. ИНДИКАТОРЫ РАЗВИТИЯ СИСТЕМ ТЕПЛОСНАБЖЕНИЯ ПОСЕЛЕНИЯ</w:t>
            </w:r>
            <w:r>
              <w:fldChar w:fldCharType="begin"/>
            </w:r>
            <w:r>
              <w:instrText xml:space="preserve">PAGEREF _Toc198483663 \h</w:instrText>
            </w:r>
            <w:r>
              <w:fldChar w:fldCharType="separate"/>
            </w:r>
            <w:r>
              <w:rPr>
                <w:rStyle w:val="11053"/>
                <w:rFonts w:ascii="Times New Roman" w:hAnsi="Times New Roman" w:cs="Times New Roman"/>
                <w:bCs w:val="0"/>
                <w:vanish w:val="0"/>
                <w:sz w:val="22"/>
                <w:szCs w:val="22"/>
              </w:rPr>
              <w:tab/>
              <w:t xml:space="preserve">289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4" w:anchor="_Toc198483664"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Количество прекращений подачи тепловой энергии, теплоносителя в результате технологических нарушений на тепловых сетях</w:t>
            </w:r>
            <w:r>
              <w:fldChar w:fldCharType="begin"/>
            </w:r>
            <w:r>
              <w:instrText xml:space="preserve">PAGEREF _Toc198483664 \h</w:instrText>
            </w:r>
            <w:r>
              <w:fldChar w:fldCharType="separate"/>
            </w:r>
            <w:r>
              <w:rPr>
                <w:rStyle w:val="11053"/>
                <w:rFonts w:ascii="Times New Roman" w:hAnsi="Times New Roman" w:cs="Times New Roman"/>
                <w:bCs w:val="0"/>
                <w:vanish w:val="0"/>
                <w:sz w:val="22"/>
                <w:szCs w:val="22"/>
              </w:rPr>
              <w:tab/>
              <w:t xml:space="preserve">289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5" w:anchor="_Toc198483665"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Количество прекращений подачи тепловой энергии, теплоносителя в результате технологических нарушений на источниках тепловой энергии</w:t>
            </w:r>
            <w:r>
              <w:fldChar w:fldCharType="begin"/>
            </w:r>
            <w:r>
              <w:instrText xml:space="preserve">PAGEREF _Toc198483665 \h</w:instrText>
            </w:r>
            <w:r>
              <w:fldChar w:fldCharType="separate"/>
            </w:r>
            <w:r>
              <w:rPr>
                <w:rStyle w:val="11053"/>
                <w:rFonts w:ascii="Times New Roman" w:hAnsi="Times New Roman" w:cs="Times New Roman"/>
                <w:bCs w:val="0"/>
                <w:vanish w:val="0"/>
                <w:sz w:val="22"/>
                <w:szCs w:val="22"/>
              </w:rPr>
              <w:tab/>
              <w:t xml:space="preserve">289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6" w:anchor="_Toc198483666"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fldChar w:fldCharType="begin"/>
            </w:r>
            <w:r>
              <w:instrText xml:space="preserve">PAGEREF _Toc198483666 \h</w:instrText>
            </w:r>
            <w:r>
              <w:fldChar w:fldCharType="separate"/>
            </w:r>
            <w:r>
              <w:rPr>
                <w:rStyle w:val="11053"/>
                <w:rFonts w:ascii="Times New Roman" w:hAnsi="Times New Roman" w:cs="Times New Roman"/>
                <w:bCs w:val="0"/>
                <w:vanish w:val="0"/>
                <w:sz w:val="22"/>
                <w:szCs w:val="22"/>
              </w:rPr>
              <w:tab/>
              <w:t xml:space="preserve">289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7" w:anchor="_Toc198483667"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Отношение величины технологических потерь тепловой энергии, теплоносителя к материальной характеристике тепловой сети</w:t>
            </w:r>
            <w:r>
              <w:fldChar w:fldCharType="begin"/>
            </w:r>
            <w:r>
              <w:instrText xml:space="preserve">PAGEREF _Toc198483667 \h</w:instrText>
            </w:r>
            <w:r>
              <w:fldChar w:fldCharType="separate"/>
            </w:r>
            <w:r>
              <w:rPr>
                <w:rStyle w:val="11053"/>
                <w:rFonts w:ascii="Times New Roman" w:hAnsi="Times New Roman" w:cs="Times New Roman"/>
                <w:bCs w:val="0"/>
                <w:vanish w:val="0"/>
                <w:sz w:val="22"/>
                <w:szCs w:val="22"/>
              </w:rPr>
              <w:tab/>
              <w:t xml:space="preserve">291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8" w:anchor="_Toc198483668"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Коэффициент использования установленной тепловой мощности</w:t>
            </w:r>
            <w:r>
              <w:fldChar w:fldCharType="begin"/>
            </w:r>
            <w:r>
              <w:instrText xml:space="preserve">PAGEREF _Toc198483668 \h</w:instrText>
            </w:r>
            <w:r>
              <w:fldChar w:fldCharType="separate"/>
            </w:r>
            <w:r>
              <w:rPr>
                <w:rStyle w:val="11053"/>
                <w:rFonts w:ascii="Times New Roman" w:hAnsi="Times New Roman" w:cs="Times New Roman"/>
                <w:bCs w:val="0"/>
                <w:vanish w:val="0"/>
                <w:sz w:val="22"/>
                <w:szCs w:val="22"/>
              </w:rPr>
              <w:tab/>
              <w:t xml:space="preserve">291</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69" w:anchor="_Toc198483669" w:history="1">
            <w:r>
              <w:rPr>
                <w:rStyle w:val="11053"/>
                <w:rFonts w:ascii="Times New Roman" w:hAnsi="Times New Roman" w:cs="Times New Roman"/>
                <w:bCs w:val="0"/>
                <w:sz w:val="22"/>
                <w:szCs w:val="22"/>
              </w:rPr>
              <w:t xml:space="preserve">6.</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Удельная материальная характеристика тепловых сетей, приведенная к расчетной тепловой нагрузке</w:t>
            </w:r>
            <w:r>
              <w:fldChar w:fldCharType="begin"/>
            </w:r>
            <w:r>
              <w:instrText xml:space="preserve">PAGEREF _Toc198483669 \h</w:instrText>
            </w:r>
            <w:r>
              <w:fldChar w:fldCharType="separate"/>
            </w:r>
            <w:r>
              <w:rPr>
                <w:rStyle w:val="11053"/>
                <w:rFonts w:ascii="Times New Roman" w:hAnsi="Times New Roman" w:cs="Times New Roman"/>
                <w:bCs w:val="0"/>
                <w:vanish w:val="0"/>
                <w:sz w:val="22"/>
                <w:szCs w:val="22"/>
              </w:rPr>
              <w:tab/>
              <w:tab/>
              <w:t xml:space="preserve">292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0" w:anchor="_Toc198483670" w:history="1">
            <w:r>
              <w:rPr>
                <w:rStyle w:val="11053"/>
                <w:rFonts w:ascii="Times New Roman" w:hAnsi="Times New Roman" w:cs="Times New Roman"/>
                <w:bCs w:val="0"/>
                <w:sz w:val="22"/>
                <w:szCs w:val="22"/>
              </w:rPr>
              <w:t xml:space="preserve">7.</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Количество тепловой энергии, выработа</w:t>
            </w:r>
            <w:r>
              <w:rPr>
                <w:rStyle w:val="11053"/>
                <w:rFonts w:ascii="Times New Roman" w:hAnsi="Times New Roman" w:cs="Times New Roman"/>
                <w:bCs w:val="0"/>
                <w:sz w:val="22"/>
                <w:szCs w:val="22"/>
              </w:rPr>
              <w:t xml:space="preserve">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fldChar w:fldCharType="begin"/>
            </w:r>
            <w:r>
              <w:instrText xml:space="preserve">PAGEREF _Toc198483670 \h</w:instrText>
            </w:r>
            <w:r>
              <w:fldChar w:fldCharType="separate"/>
            </w:r>
            <w:r>
              <w:rPr>
                <w:rStyle w:val="11053"/>
                <w:rFonts w:ascii="Times New Roman" w:hAnsi="Times New Roman" w:cs="Times New Roman"/>
                <w:bCs w:val="0"/>
                <w:vanish w:val="0"/>
                <w:sz w:val="22"/>
                <w:szCs w:val="22"/>
              </w:rPr>
              <w:tab/>
              <w:t xml:space="preserve">292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1" w:anchor="_Toc198483671" w:history="1">
            <w:r>
              <w:rPr>
                <w:rStyle w:val="11053"/>
                <w:rFonts w:ascii="Times New Roman" w:hAnsi="Times New Roman" w:cs="Times New Roman"/>
                <w:bCs w:val="0"/>
                <w:sz w:val="22"/>
                <w:szCs w:val="22"/>
              </w:rPr>
              <w:t xml:space="preserve">8.</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Удельный расход условного топлива на отпуск электрической энергии</w:t>
            </w:r>
            <w:r>
              <w:fldChar w:fldCharType="begin"/>
            </w:r>
            <w:r>
              <w:instrText xml:space="preserve">PAGEREF _Toc198483671 \h</w:instrText>
            </w:r>
            <w:r>
              <w:fldChar w:fldCharType="separate"/>
            </w:r>
            <w:r>
              <w:rPr>
                <w:rStyle w:val="11053"/>
                <w:rFonts w:ascii="Times New Roman" w:hAnsi="Times New Roman" w:cs="Times New Roman"/>
                <w:bCs w:val="0"/>
                <w:vanish w:val="0"/>
                <w:sz w:val="22"/>
                <w:szCs w:val="22"/>
              </w:rPr>
              <w:tab/>
              <w:t xml:space="preserve">292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2" w:anchor="_Toc198483672" w:history="1">
            <w:r>
              <w:rPr>
                <w:rStyle w:val="11053"/>
                <w:rFonts w:ascii="Times New Roman" w:hAnsi="Times New Roman" w:cs="Times New Roman"/>
                <w:bCs w:val="0"/>
                <w:sz w:val="22"/>
                <w:szCs w:val="22"/>
              </w:rPr>
              <w:t xml:space="preserve">9.</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fldChar w:fldCharType="begin"/>
            </w:r>
            <w:r>
              <w:instrText xml:space="preserve">PAGEREF _Toc198483672 \h</w:instrText>
            </w:r>
            <w:r>
              <w:fldChar w:fldCharType="separate"/>
            </w:r>
            <w:r>
              <w:rPr>
                <w:rStyle w:val="11053"/>
                <w:rFonts w:ascii="Times New Roman" w:hAnsi="Times New Roman" w:cs="Times New Roman"/>
                <w:bCs w:val="0"/>
                <w:vanish w:val="0"/>
                <w:sz w:val="22"/>
                <w:szCs w:val="22"/>
              </w:rPr>
              <w:tab/>
              <w:t xml:space="preserve">293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3" w:anchor="_Toc198483673" w:history="1">
            <w:r>
              <w:rPr>
                <w:rStyle w:val="11053"/>
                <w:rFonts w:ascii="Times New Roman" w:hAnsi="Times New Roman" w:cs="Times New Roman"/>
                <w:bCs w:val="0"/>
                <w:sz w:val="22"/>
                <w:szCs w:val="22"/>
              </w:rPr>
              <w:t xml:space="preserve">10.</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Доля отпуска тепловой энергии, осуществляемого потребителям по приборам учета, в общем объеме отпущенной тепловой энергии</w:t>
            </w:r>
            <w:r>
              <w:fldChar w:fldCharType="begin"/>
            </w:r>
            <w:r>
              <w:instrText xml:space="preserve">PAGEREF _Toc198483673 \h</w:instrText>
            </w:r>
            <w:r>
              <w:fldChar w:fldCharType="separate"/>
            </w:r>
            <w:r>
              <w:rPr>
                <w:rStyle w:val="11053"/>
                <w:rFonts w:ascii="Times New Roman" w:hAnsi="Times New Roman" w:cs="Times New Roman"/>
                <w:bCs w:val="0"/>
                <w:vanish w:val="0"/>
                <w:sz w:val="22"/>
                <w:szCs w:val="22"/>
              </w:rPr>
              <w:tab/>
              <w:t xml:space="preserve">293</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4" w:anchor="_Toc198483674" w:history="1">
            <w:r>
              <w:rPr>
                <w:rStyle w:val="11053"/>
                <w:rFonts w:ascii="Times New Roman" w:hAnsi="Times New Roman" w:cs="Times New Roman"/>
                <w:bCs w:val="0"/>
                <w:sz w:val="22"/>
                <w:szCs w:val="22"/>
              </w:rPr>
              <w:t xml:space="preserve">11.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Средневзвешенный (по материальной характеристике) срок эксплуатации тепловых сетей (для каждой системы теплоснабжения)</w:t>
            </w:r>
            <w:r>
              <w:fldChar w:fldCharType="begin"/>
            </w:r>
            <w:r>
              <w:instrText xml:space="preserve">PAGEREF _Toc198483674 \h</w:instrText>
            </w:r>
            <w:r>
              <w:fldChar w:fldCharType="separate"/>
            </w:r>
            <w:r>
              <w:rPr>
                <w:rStyle w:val="11053"/>
                <w:rFonts w:ascii="Times New Roman" w:hAnsi="Times New Roman" w:cs="Times New Roman"/>
                <w:bCs w:val="0"/>
                <w:vanish w:val="0"/>
                <w:sz w:val="22"/>
                <w:szCs w:val="22"/>
              </w:rPr>
              <w:tab/>
              <w:t xml:space="preserve">294</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5" w:anchor="_Toc198483675" w:history="1">
            <w:r>
              <w:rPr>
                <w:rStyle w:val="11053"/>
                <w:rFonts w:ascii="Times New Roman" w:hAnsi="Times New Roman" w:cs="Times New Roman"/>
                <w:bCs w:val="0"/>
                <w:sz w:val="22"/>
                <w:szCs w:val="22"/>
              </w:rPr>
              <w:t xml:space="preserve">12.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w:t>
            </w:r>
            <w:r>
              <w:rPr>
                <w:rStyle w:val="11053"/>
                <w:rFonts w:ascii="Times New Roman" w:hAnsi="Times New Roman" w:cs="Times New Roman"/>
                <w:bCs w:val="0"/>
                <w:sz w:val="22"/>
                <w:szCs w:val="22"/>
              </w:rPr>
              <w:t xml:space="preserve">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образования, муниципального образования федерального значения)</w:t>
            </w:r>
            <w:r>
              <w:fldChar w:fldCharType="begin"/>
            </w:r>
            <w:r>
              <w:instrText xml:space="preserve">PAGEREF _Toc198483675 \h</w:instrText>
            </w:r>
            <w:r>
              <w:fldChar w:fldCharType="separate"/>
            </w:r>
            <w:r>
              <w:rPr>
                <w:rStyle w:val="11053"/>
                <w:rFonts w:ascii="Times New Roman" w:hAnsi="Times New Roman" w:cs="Times New Roman"/>
                <w:bCs w:val="0"/>
                <w:vanish w:val="0"/>
                <w:sz w:val="22"/>
                <w:szCs w:val="22"/>
              </w:rPr>
              <w:tab/>
              <w:t xml:space="preserve">296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6" w:anchor="_Toc198483676" w:history="1">
            <w:r>
              <w:rPr>
                <w:rStyle w:val="11053"/>
                <w:rFonts w:ascii="Times New Roman" w:hAnsi="Times New Roman" w:cs="Times New Roman"/>
                <w:bCs w:val="0"/>
                <w:sz w:val="22"/>
                <w:szCs w:val="22"/>
              </w:rPr>
              <w:t xml:space="preserve">13.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w:t>
            </w:r>
            <w:r>
              <w:rPr>
                <w:rStyle w:val="11053"/>
                <w:rFonts w:ascii="Times New Roman" w:hAnsi="Times New Roman" w:cs="Times New Roman"/>
                <w:bCs w:val="0"/>
                <w:sz w:val="22"/>
                <w:szCs w:val="22"/>
              </w:rPr>
              <w:t xml:space="preserve">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fldChar w:fldCharType="begin"/>
            </w:r>
            <w:r>
              <w:instrText xml:space="preserve">PAGEREF _Toc198483676 \h</w:instrText>
            </w:r>
            <w:r>
              <w:fldChar w:fldCharType="separate"/>
            </w:r>
            <w:r>
              <w:rPr>
                <w:rStyle w:val="11053"/>
                <w:rFonts w:ascii="Times New Roman" w:hAnsi="Times New Roman" w:cs="Times New Roman"/>
                <w:bCs w:val="0"/>
                <w:vanish w:val="0"/>
                <w:sz w:val="22"/>
                <w:szCs w:val="22"/>
              </w:rPr>
              <w:tab/>
              <w:t xml:space="preserve">298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7" w:anchor="_Toc198483677" w:history="1">
            <w:r>
              <w:rPr>
                <w:rStyle w:val="11053"/>
                <w:rFonts w:ascii="Times New Roman" w:hAnsi="Times New Roman" w:cs="Times New Roman"/>
                <w:bCs w:val="0"/>
                <w:sz w:val="22"/>
                <w:szCs w:val="22"/>
              </w:rPr>
              <w:t xml:space="preserve">14.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w:t>
            </w:r>
            <w:r>
              <w:rPr>
                <w:rStyle w:val="11053"/>
                <w:rFonts w:ascii="Times New Roman" w:hAnsi="Times New Roman" w:cs="Times New Roman"/>
                <w:bCs w:val="0"/>
                <w:sz w:val="22"/>
                <w:szCs w:val="22"/>
              </w:rPr>
              <w:t xml:space="preserve">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fldChar w:fldCharType="begin"/>
            </w:r>
            <w:r>
              <w:instrText xml:space="preserve">PAGEREF _Toc198483677 \h</w:instrText>
            </w:r>
            <w:r>
              <w:fldChar w:fldCharType="separate"/>
            </w:r>
            <w:r>
              <w:rPr>
                <w:rStyle w:val="11053"/>
                <w:rFonts w:ascii="Times New Roman" w:hAnsi="Times New Roman" w:cs="Times New Roman"/>
                <w:bCs w:val="0"/>
                <w:vanish w:val="0"/>
                <w:sz w:val="22"/>
                <w:szCs w:val="22"/>
              </w:rPr>
              <w:tab/>
              <w:t xml:space="preserve">298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8" w:anchor="_Toc198483678" w:history="1">
            <w:r>
              <w:rPr>
                <w:rStyle w:val="11053"/>
                <w:rFonts w:ascii="Times New Roman" w:hAnsi="Times New Roman" w:cs="Times New Roman"/>
                <w:bCs w:val="0"/>
                <w:sz w:val="22"/>
                <w:szCs w:val="22"/>
              </w:rPr>
              <w:t xml:space="preserve">ГЛАВА 14. ЦЕНОВЫЕ (ТАРИФНЫЕ) ПОСЛЕДСТВИЯ</w:t>
            </w:r>
            <w:r>
              <w:fldChar w:fldCharType="begin"/>
            </w:r>
            <w:r>
              <w:instrText xml:space="preserve">PAGEREF _Toc198483678 \h</w:instrText>
            </w:r>
            <w:r>
              <w:fldChar w:fldCharType="separate"/>
            </w:r>
            <w:r>
              <w:rPr>
                <w:rStyle w:val="11053"/>
                <w:rFonts w:ascii="Times New Roman" w:hAnsi="Times New Roman" w:cs="Times New Roman"/>
                <w:bCs w:val="0"/>
                <w:vanish w:val="0"/>
                <w:sz w:val="22"/>
                <w:szCs w:val="22"/>
              </w:rPr>
              <w:tab/>
              <w:t xml:space="preserve">299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79" w:anchor="_Toc198483679"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Тарифно-балансовые расчетные модели теплоснабжения потребителей по каждой системе теплоснабжения</w:t>
            </w:r>
            <w:r>
              <w:fldChar w:fldCharType="begin"/>
            </w:r>
            <w:r>
              <w:instrText xml:space="preserve">PAGEREF _Toc198483679 \h</w:instrText>
            </w:r>
            <w:r>
              <w:fldChar w:fldCharType="separate"/>
            </w:r>
            <w:r>
              <w:rPr>
                <w:rStyle w:val="11053"/>
                <w:rFonts w:ascii="Times New Roman" w:hAnsi="Times New Roman" w:cs="Times New Roman"/>
                <w:bCs w:val="0"/>
                <w:vanish w:val="0"/>
                <w:sz w:val="22"/>
                <w:szCs w:val="22"/>
              </w:rPr>
              <w:tab/>
              <w:t xml:space="preserve">299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0" w:anchor="_Toc198483680"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w:t>
            </w:r>
            <w:r>
              <w:fldChar w:fldCharType="begin"/>
            </w:r>
            <w:r>
              <w:instrText xml:space="preserve">PAGEREF _Toc198483680 \h</w:instrText>
            </w:r>
            <w:r>
              <w:fldChar w:fldCharType="separate"/>
            </w:r>
            <w:r>
              <w:rPr>
                <w:rStyle w:val="11053"/>
                <w:rFonts w:ascii="Times New Roman" w:hAnsi="Times New Roman" w:cs="Times New Roman"/>
                <w:bCs w:val="0"/>
                <w:vanish w:val="0"/>
                <w:sz w:val="22"/>
                <w:szCs w:val="22"/>
              </w:rPr>
              <w:tab/>
              <w:t xml:space="preserve">302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1" w:anchor="_Toc198483681" w:history="1">
            <w:r>
              <w:rPr>
                <w:rStyle w:val="11053"/>
                <w:rFonts w:ascii="Times New Roman" w:hAnsi="Times New Roman" w:cs="Times New Roman"/>
                <w:bCs w:val="0"/>
                <w:sz w:val="22"/>
                <w:szCs w:val="22"/>
              </w:rPr>
              <w:t xml:space="preserve">ГЛАВА 15. РЕЕСТР ЕДИНЫХ ТЕПЛОСНАБЖАЮЩИХ ОРГАНИЗАЦИЙ</w:t>
            </w:r>
            <w:r>
              <w:fldChar w:fldCharType="begin"/>
            </w:r>
            <w:r>
              <w:instrText xml:space="preserve">PAGEREF _Toc198483681 \h</w:instrText>
            </w:r>
            <w:r>
              <w:fldChar w:fldCharType="separate"/>
            </w:r>
            <w:r>
              <w:rPr>
                <w:rStyle w:val="11053"/>
                <w:rFonts w:ascii="Times New Roman" w:hAnsi="Times New Roman" w:cs="Times New Roman"/>
                <w:bCs w:val="0"/>
                <w:vanish w:val="0"/>
                <w:sz w:val="22"/>
                <w:szCs w:val="22"/>
              </w:rPr>
              <w:tab/>
              <w:t xml:space="preserve">306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2" w:anchor="_Toc198483682"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fldChar w:fldCharType="begin"/>
            </w:r>
            <w:r>
              <w:instrText xml:space="preserve">PAGEREF _Toc198483682 \h</w:instrText>
            </w:r>
            <w:r>
              <w:fldChar w:fldCharType="separate"/>
            </w:r>
            <w:r>
              <w:rPr>
                <w:rStyle w:val="11053"/>
                <w:rFonts w:ascii="Times New Roman" w:hAnsi="Times New Roman" w:cs="Times New Roman"/>
                <w:bCs w:val="0"/>
                <w:vanish w:val="0"/>
                <w:sz w:val="22"/>
                <w:szCs w:val="22"/>
              </w:rPr>
              <w:tab/>
              <w:t xml:space="preserve">306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3" w:anchor="_Toc198483683"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Реестр единых теплоснабжающих организаций, содержащий перечень систем теплоснабжения, входящих в состав единой теплоснабжающей организации</w:t>
            </w:r>
            <w:r>
              <w:fldChar w:fldCharType="begin"/>
            </w:r>
            <w:r>
              <w:instrText xml:space="preserve">PAGEREF _Toc198483683 \h</w:instrText>
            </w:r>
            <w:r>
              <w:fldChar w:fldCharType="separate"/>
            </w:r>
            <w:r>
              <w:rPr>
                <w:rStyle w:val="11053"/>
                <w:rFonts w:ascii="Times New Roman" w:hAnsi="Times New Roman" w:cs="Times New Roman"/>
                <w:bCs w:val="0"/>
                <w:vanish w:val="0"/>
                <w:sz w:val="22"/>
                <w:szCs w:val="22"/>
              </w:rPr>
              <w:tab/>
              <w:t xml:space="preserve">310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4" w:anchor="_Toc198483684"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Основания, в том числе критерии, в соответствии с которыми теплоснабжающей организации присвоен статус единой теплоснабжающей организации</w:t>
            </w:r>
            <w:r>
              <w:fldChar w:fldCharType="begin"/>
            </w:r>
            <w:r>
              <w:instrText xml:space="preserve">PAGEREF _Toc198483684 \h</w:instrText>
            </w:r>
            <w:r>
              <w:fldChar w:fldCharType="separate"/>
            </w:r>
            <w:r>
              <w:rPr>
                <w:rStyle w:val="11053"/>
                <w:rFonts w:ascii="Times New Roman" w:hAnsi="Times New Roman" w:cs="Times New Roman"/>
                <w:bCs w:val="0"/>
                <w:vanish w:val="0"/>
                <w:sz w:val="22"/>
                <w:szCs w:val="22"/>
              </w:rPr>
              <w:tab/>
              <w:t xml:space="preserve">312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5" w:anchor="_Toc198483685" w:history="1">
            <w:r>
              <w:rPr>
                <w:rStyle w:val="11053"/>
                <w:rFonts w:ascii="Times New Roman" w:hAnsi="Times New Roman" w:cs="Times New Roman"/>
                <w:bCs w:val="0"/>
                <w:sz w:val="22"/>
                <w:szCs w:val="22"/>
              </w:rPr>
              <w:t xml:space="preserve">4.</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fldChar w:fldCharType="begin"/>
            </w:r>
            <w:r>
              <w:instrText xml:space="preserve">PAGEREF _Toc198483685 \h</w:instrText>
            </w:r>
            <w:r>
              <w:fldChar w:fldCharType="separate"/>
            </w:r>
            <w:r>
              <w:rPr>
                <w:rStyle w:val="11053"/>
                <w:rFonts w:ascii="Times New Roman" w:hAnsi="Times New Roman" w:cs="Times New Roman"/>
                <w:bCs w:val="0"/>
                <w:vanish w:val="0"/>
                <w:sz w:val="22"/>
                <w:szCs w:val="22"/>
              </w:rPr>
              <w:tab/>
              <w:tab/>
              <w:tab/>
              <w:tab/>
              <w:t xml:space="preserve">317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6" w:anchor="_Toc198483686" w:history="1">
            <w:r>
              <w:rPr>
                <w:rStyle w:val="11053"/>
                <w:rFonts w:ascii="Times New Roman" w:hAnsi="Times New Roman" w:cs="Times New Roman"/>
                <w:bCs w:val="0"/>
                <w:sz w:val="22"/>
                <w:szCs w:val="22"/>
              </w:rPr>
              <w:t xml:space="preserve">5.</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Описание границ зон деятельности единой теплоснабжающей организации (организаций)</w:t>
            </w:r>
            <w:r>
              <w:fldChar w:fldCharType="begin"/>
            </w:r>
            <w:r>
              <w:instrText xml:space="preserve">PAGEREF _Toc198483686 \h</w:instrText>
            </w:r>
            <w:r>
              <w:fldChar w:fldCharType="separate"/>
            </w:r>
            <w:r>
              <w:rPr>
                <w:rStyle w:val="11053"/>
                <w:rFonts w:ascii="Times New Roman" w:hAnsi="Times New Roman" w:cs="Times New Roman"/>
                <w:bCs w:val="0"/>
                <w:vanish w:val="0"/>
                <w:sz w:val="22"/>
                <w:szCs w:val="22"/>
              </w:rPr>
              <w:tab/>
              <w:t xml:space="preserve">317</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7" w:anchor="_Toc198483687" w:history="1">
            <w:r>
              <w:rPr>
                <w:rStyle w:val="11053"/>
                <w:rFonts w:ascii="Times New Roman" w:hAnsi="Times New Roman" w:cs="Times New Roman"/>
                <w:bCs w:val="0"/>
                <w:sz w:val="22"/>
                <w:szCs w:val="22"/>
              </w:rPr>
              <w:t xml:space="preserve">ГЛАВА 16. РЕЕСТР МЕРОПРИЯТИЙ СХЕМЫ ТЕПЛОСНАБЖЕНИЯ</w:t>
            </w:r>
            <w:r>
              <w:fldChar w:fldCharType="begin"/>
            </w:r>
            <w:r>
              <w:instrText xml:space="preserve">PAGEREF _Toc198483687 \h</w:instrText>
            </w:r>
            <w:r>
              <w:fldChar w:fldCharType="separate"/>
            </w:r>
            <w:r>
              <w:rPr>
                <w:rStyle w:val="11053"/>
                <w:rFonts w:ascii="Times New Roman" w:hAnsi="Times New Roman" w:cs="Times New Roman"/>
                <w:bCs w:val="0"/>
                <w:vanish w:val="0"/>
                <w:sz w:val="22"/>
                <w:szCs w:val="22"/>
              </w:rPr>
              <w:tab/>
              <w:t xml:space="preserve">318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8" w:anchor="_Toc198483688"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Перечень мероприятий по строительству, реконструкции, техническому перевооружению и (или) модернизации источников тепловой энергии</w:t>
            </w:r>
            <w:r>
              <w:fldChar w:fldCharType="begin"/>
            </w:r>
            <w:r>
              <w:instrText xml:space="preserve">PAGEREF _Toc198483688 \h</w:instrText>
            </w:r>
            <w:r>
              <w:fldChar w:fldCharType="separate"/>
            </w:r>
            <w:r>
              <w:rPr>
                <w:rStyle w:val="11053"/>
                <w:rFonts w:ascii="Times New Roman" w:hAnsi="Times New Roman" w:cs="Times New Roman"/>
                <w:bCs w:val="0"/>
                <w:vanish w:val="0"/>
                <w:sz w:val="22"/>
                <w:szCs w:val="22"/>
              </w:rPr>
              <w:tab/>
              <w:t xml:space="preserve">318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89" w:anchor="_Toc198483689"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Перечень мероприятий по строительству, реконструкции, техническому перевооружению и (или) модернизации тепловых сетей и сооружений на них</w:t>
            </w:r>
            <w:r>
              <w:fldChar w:fldCharType="begin"/>
            </w:r>
            <w:r>
              <w:instrText xml:space="preserve">PAGEREF _Toc198483689 \h</w:instrText>
            </w:r>
            <w:r>
              <w:fldChar w:fldCharType="separate"/>
            </w:r>
            <w:r>
              <w:rPr>
                <w:rStyle w:val="11053"/>
                <w:rFonts w:ascii="Times New Roman" w:hAnsi="Times New Roman" w:cs="Times New Roman"/>
                <w:bCs w:val="0"/>
                <w:vanish w:val="0"/>
                <w:sz w:val="22"/>
                <w:szCs w:val="22"/>
              </w:rPr>
              <w:tab/>
              <w:t xml:space="preserve">318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0" w:anchor="_Toc198483690"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fldChar w:fldCharType="begin"/>
            </w:r>
            <w:r>
              <w:instrText xml:space="preserve">PAGEREF _Toc198483690 \h</w:instrText>
            </w:r>
            <w:r>
              <w:fldChar w:fldCharType="separate"/>
            </w:r>
            <w:r>
              <w:rPr>
                <w:rStyle w:val="11053"/>
                <w:rFonts w:ascii="Times New Roman" w:hAnsi="Times New Roman" w:cs="Times New Roman"/>
                <w:bCs w:val="0"/>
                <w:vanish w:val="0"/>
                <w:sz w:val="22"/>
                <w:szCs w:val="22"/>
              </w:rPr>
              <w:tab/>
              <w:t xml:space="preserve">318</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1" w:anchor="_Toc198483691" w:history="1">
            <w:r>
              <w:rPr>
                <w:rStyle w:val="11053"/>
                <w:rFonts w:ascii="Times New Roman" w:hAnsi="Times New Roman" w:cs="Times New Roman"/>
                <w:bCs w:val="0"/>
                <w:sz w:val="22"/>
                <w:szCs w:val="22"/>
              </w:rPr>
              <w:t xml:space="preserve">ГЛАВА 17. ЗАМЕЧАНИЯ И ПРЕДЛОЖЕНИЯ К ПРОЕКТУ СХЕМЫ ТЕПЛОСНАБЖЕНИЯ</w:t>
            </w:r>
            <w:r>
              <w:fldChar w:fldCharType="begin"/>
            </w:r>
            <w:r>
              <w:instrText xml:space="preserve">PAGEREF _Toc198483691 \h</w:instrText>
            </w:r>
            <w:r>
              <w:fldChar w:fldCharType="separate"/>
            </w:r>
            <w:r>
              <w:rPr>
                <w:rStyle w:val="11053"/>
                <w:rFonts w:ascii="Times New Roman" w:hAnsi="Times New Roman" w:cs="Times New Roman"/>
                <w:bCs w:val="0"/>
                <w:vanish w:val="0"/>
                <w:sz w:val="22"/>
                <w:szCs w:val="22"/>
              </w:rPr>
              <w:tab/>
              <w:t xml:space="preserve">319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2" w:anchor="_Toc198483692" w:history="1">
            <w:r>
              <w:rPr>
                <w:rStyle w:val="11053"/>
                <w:rFonts w:ascii="Times New Roman" w:hAnsi="Times New Roman" w:cs="Times New Roman"/>
                <w:bCs w:val="0"/>
                <w:sz w:val="22"/>
                <w:szCs w:val="22"/>
              </w:rPr>
              <w:t xml:space="preserve">1.</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Перечень всех замечаний и предложений, поступивших при разработке, утверждении и актуализации схемы теплоснабжения</w:t>
            </w:r>
            <w:r>
              <w:fldChar w:fldCharType="begin"/>
            </w:r>
            <w:r>
              <w:instrText xml:space="preserve">PAGEREF _Toc198483692 \h</w:instrText>
            </w:r>
            <w:r>
              <w:fldChar w:fldCharType="separate"/>
            </w:r>
            <w:r>
              <w:rPr>
                <w:rStyle w:val="11053"/>
                <w:rFonts w:ascii="Times New Roman" w:hAnsi="Times New Roman" w:cs="Times New Roman"/>
                <w:bCs w:val="0"/>
                <w:vanish w:val="0"/>
                <w:sz w:val="22"/>
                <w:szCs w:val="22"/>
              </w:rPr>
              <w:tab/>
              <w:t xml:space="preserve">319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3" w:anchor="_Toc198483693" w:history="1">
            <w:r>
              <w:rPr>
                <w:rStyle w:val="11053"/>
                <w:rFonts w:ascii="Times New Roman" w:hAnsi="Times New Roman" w:cs="Times New Roman"/>
                <w:bCs w:val="0"/>
                <w:sz w:val="22"/>
                <w:szCs w:val="22"/>
              </w:rPr>
              <w:t xml:space="preserve">2.</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Ответы разработчиков проекта схемы теплоснабжения на замечания и предложения</w:t>
            </w:r>
            <w:r>
              <w:fldChar w:fldCharType="begin"/>
            </w:r>
            <w:r>
              <w:instrText xml:space="preserve">PAGEREF _Toc198483693 \h</w:instrText>
            </w:r>
            <w:r>
              <w:fldChar w:fldCharType="separate"/>
            </w:r>
            <w:r>
              <w:rPr>
                <w:rStyle w:val="11053"/>
                <w:rFonts w:ascii="Times New Roman" w:hAnsi="Times New Roman" w:cs="Times New Roman"/>
                <w:bCs w:val="0"/>
                <w:vanish w:val="0"/>
                <w:sz w:val="22"/>
                <w:szCs w:val="22"/>
              </w:rPr>
              <w:tab/>
              <w:t xml:space="preserve">319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tabs>
              <w:tab w:val="left" w:leader="none" w:pos="440"/>
              <w:tab w:val="left" w:leader="none" w:pos="1320"/>
              <w:tab w:val="right" w:leader="dot" w:pos="9214"/>
            </w:tabs>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4" w:anchor="_Toc198483694" w:history="1">
            <w:r>
              <w:rPr>
                <w:rStyle w:val="11053"/>
                <w:rFonts w:ascii="Times New Roman" w:hAnsi="Times New Roman" w:cs="Times New Roman"/>
                <w:bCs w:val="0"/>
                <w:sz w:val="22"/>
                <w:szCs w:val="22"/>
              </w:rPr>
              <w:t xml:space="preserve">3.</w:t>
            </w:r>
            <w:r>
              <w:rPr>
                <w:rStyle w:val="11053"/>
                <w:rFonts w:ascii="Times New Roman" w:hAnsi="Times New Roman" w:eastAsia="宋体" w:cs="Times New Roman" w:eastAsiaTheme="minorEastAsia"/>
                <w:bCs w:val="0"/>
                <w:iCs w:val="0"/>
                <w:sz w:val="22"/>
                <w:szCs w:val="22"/>
                <w:lang w:val="ru-RU" w:eastAsia="ru-RU" w:bidi="ar-SA"/>
                <w14:ligatures w14:val="standardContextual"/>
              </w:rPr>
              <w:tab/>
            </w:r>
            <w:r>
              <w:rPr>
                <w:rStyle w:val="11053"/>
                <w:rFonts w:ascii="Times New Roman" w:hAnsi="Times New Roman" w:cs="Times New Roman"/>
                <w:bCs w:val="0"/>
                <w:sz w:val="22"/>
                <w:szCs w:val="22"/>
              </w:rPr>
              <w:t xml:space="preserve">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fldChar w:fldCharType="begin"/>
            </w:r>
            <w:r>
              <w:instrText xml:space="preserve">PAGEREF _Toc198483694 \h</w:instrText>
            </w:r>
            <w:r>
              <w:fldChar w:fldCharType="separate"/>
            </w:r>
            <w:r>
              <w:rPr>
                <w:rStyle w:val="11053"/>
                <w:rFonts w:ascii="Times New Roman" w:hAnsi="Times New Roman" w:cs="Times New Roman"/>
                <w:bCs w:val="0"/>
                <w:vanish w:val="0"/>
                <w:sz w:val="22"/>
                <w:szCs w:val="22"/>
              </w:rPr>
              <w:tab/>
              <w:t xml:space="preserve">319</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5" w:anchor="_Toc198483695" w:history="1">
            <w:r>
              <w:rPr>
                <w:rStyle w:val="11053"/>
                <w:rFonts w:ascii="Times New Roman" w:hAnsi="Times New Roman" w:cs="Times New Roman"/>
                <w:bCs w:val="0"/>
                <w:sz w:val="22"/>
                <w:szCs w:val="22"/>
              </w:rPr>
              <w:t xml:space="preserve">ГЛАВА 18. ОЦЕНКА ЭКОЛОГИЧЕСКОЙ БЕЗОПАСНОСТИ ТЕПЛОСНАБЖЕНИЯ</w:t>
            </w:r>
            <w:r>
              <w:fldChar w:fldCharType="begin"/>
            </w:r>
            <w:r>
              <w:instrText xml:space="preserve">PAGEREF _Toc198483695 \h</w:instrText>
            </w:r>
            <w:r>
              <w:fldChar w:fldCharType="separate"/>
            </w:r>
            <w:r>
              <w:rPr>
                <w:rStyle w:val="11053"/>
                <w:rFonts w:ascii="Times New Roman" w:hAnsi="Times New Roman" w:cs="Times New Roman"/>
                <w:bCs w:val="0"/>
                <w:vanish w:val="0"/>
                <w:sz w:val="22"/>
                <w:szCs w:val="22"/>
              </w:rPr>
              <w:tab/>
              <w:t xml:space="preserve">320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6" w:anchor="_Toc198483696" w:history="1">
            <w:r>
              <w:rPr>
                <w:rStyle w:val="11053"/>
                <w:rFonts w:ascii="Times New Roman" w:hAnsi="Times New Roman" w:cs="Times New Roman"/>
                <w:bCs w:val="0"/>
                <w:sz w:val="22"/>
                <w:szCs w:val="22"/>
              </w:rPr>
              <w:t xml:space="preserve">1. Обеспечение экологической безопасности теплоснабжения муниципального образования Астаповское </w:t>
            </w:r>
            <w:r>
              <w:fldChar w:fldCharType="begin"/>
            </w:r>
            <w:r>
              <w:instrText xml:space="preserve">PAGEREF _Toc198483696 \h</w:instrText>
            </w:r>
            <w:r>
              <w:fldChar w:fldCharType="separate"/>
            </w:r>
            <w:r>
              <w:rPr>
                <w:rStyle w:val="11053"/>
                <w:rFonts w:ascii="Times New Roman" w:hAnsi="Times New Roman" w:cs="Times New Roman"/>
                <w:bCs w:val="0"/>
                <w:vanish w:val="0"/>
                <w:sz w:val="22"/>
                <w:szCs w:val="22"/>
              </w:rPr>
              <w:tab/>
              <w:t xml:space="preserve">320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7" w:anchor="_Toc198483697" w:history="1">
            <w:r>
              <w:rPr>
                <w:rStyle w:val="11053"/>
                <w:rFonts w:ascii="Times New Roman" w:hAnsi="Times New Roman" w:cs="Times New Roman"/>
                <w:bCs w:val="0"/>
                <w:sz w:val="22"/>
                <w:szCs w:val="22"/>
              </w:rPr>
              <w:t xml:space="preserve">1.1 Общие положения</w:t>
            </w:r>
            <w:r>
              <w:fldChar w:fldCharType="begin"/>
            </w:r>
            <w:r>
              <w:instrText xml:space="preserve">PAGEREF _Toc198483697 \h</w:instrText>
            </w:r>
            <w:r>
              <w:fldChar w:fldCharType="separate"/>
            </w:r>
            <w:r>
              <w:rPr>
                <w:rStyle w:val="11053"/>
                <w:rFonts w:ascii="Times New Roman" w:hAnsi="Times New Roman" w:cs="Times New Roman"/>
                <w:bCs w:val="0"/>
                <w:vanish w:val="0"/>
                <w:sz w:val="22"/>
                <w:szCs w:val="22"/>
              </w:rPr>
              <w:tab/>
              <w:t xml:space="preserve">320</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8" w:anchor="_Toc198483698" w:history="1">
            <w:r>
              <w:rPr>
                <w:rStyle w:val="11053"/>
                <w:rFonts w:ascii="Times New Roman" w:hAnsi="Times New Roman" w:cs="Times New Roman"/>
                <w:bCs w:val="0"/>
                <w:sz w:val="22"/>
                <w:szCs w:val="22"/>
              </w:rPr>
              <w:t xml:space="preserve">1.2 Описание текущего и п</w:t>
            </w:r>
            <w:r>
              <w:rPr>
                <w:rStyle w:val="11053"/>
                <w:rFonts w:ascii="Times New Roman" w:hAnsi="Times New Roman" w:cs="Times New Roman"/>
                <w:bCs w:val="0"/>
                <w:sz w:val="22"/>
                <w:szCs w:val="22"/>
              </w:rPr>
              <w:t xml:space="preserve">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r>
              <w:fldChar w:fldCharType="begin"/>
            </w:r>
            <w:r>
              <w:instrText xml:space="preserve">PAGEREF _Toc198483698 \h</w:instrText>
            </w:r>
            <w:r>
              <w:fldChar w:fldCharType="separate"/>
            </w:r>
            <w:r>
              <w:rPr>
                <w:rStyle w:val="11053"/>
                <w:rFonts w:ascii="Times New Roman" w:hAnsi="Times New Roman" w:cs="Times New Roman"/>
                <w:bCs w:val="0"/>
                <w:vanish w:val="0"/>
                <w:sz w:val="22"/>
                <w:szCs w:val="22"/>
              </w:rPr>
              <w:tab/>
              <w:t xml:space="preserve">322</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699" w:anchor="_Toc198483699" w:history="1">
            <w:r>
              <w:rPr>
                <w:rStyle w:val="11053"/>
                <w:rFonts w:ascii="Times New Roman" w:hAnsi="Times New Roman" w:cs="Times New Roman"/>
                <w:bCs w:val="0"/>
                <w:sz w:val="22"/>
                <w:szCs w:val="22"/>
              </w:rPr>
              <w:t xml:space="preserve">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fldChar w:fldCharType="begin"/>
            </w:r>
            <w:r>
              <w:instrText xml:space="preserve">PAGEREF _Toc198483699 \h</w:instrText>
            </w:r>
            <w:r>
              <w:fldChar w:fldCharType="separate"/>
            </w:r>
            <w:r>
              <w:rPr>
                <w:rStyle w:val="11053"/>
                <w:rFonts w:ascii="Times New Roman" w:hAnsi="Times New Roman" w:cs="Times New Roman"/>
                <w:bCs w:val="0"/>
                <w:vanish w:val="0"/>
                <w:sz w:val="22"/>
                <w:szCs w:val="22"/>
              </w:rPr>
              <w:tab/>
              <w:t xml:space="preserve">326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700" w:anchor="_Toc198483700" w:history="1">
            <w:r>
              <w:rPr>
                <w:rStyle w:val="11053"/>
                <w:rFonts w:ascii="Times New Roman" w:hAnsi="Times New Roman" w:cs="Times New Roman"/>
                <w:bCs w:val="0"/>
                <w:sz w:val="22"/>
                <w:szCs w:val="22"/>
              </w:rPr>
              <w:t xml:space="preserve">1.4 Предложения по снижению объема (массы) выбросов вредных (загрязняющих) веществ в атмосферный воздух</w:t>
            </w:r>
            <w:r>
              <w:fldChar w:fldCharType="begin"/>
            </w:r>
            <w:r>
              <w:instrText xml:space="preserve">PAGEREF _Toc198483700 \h</w:instrText>
            </w:r>
            <w:r>
              <w:fldChar w:fldCharType="separate"/>
            </w:r>
            <w:r>
              <w:rPr>
                <w:rStyle w:val="11053"/>
                <w:rFonts w:ascii="Times New Roman" w:hAnsi="Times New Roman" w:cs="Times New Roman"/>
                <w:bCs w:val="0"/>
                <w:vanish w:val="0"/>
                <w:sz w:val="22"/>
                <w:szCs w:val="22"/>
              </w:rPr>
              <w:tab/>
              <w:t xml:space="preserve">326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1104"/>
            <w:pBdr/>
            <w:spacing/>
            <w:ind w:firstLine="0"/>
            <w:rPr>
              <w:rFonts w:ascii="Times New Roman" w:hAnsi="Times New Roman" w:eastAsia="宋体" w:cs="Times New Roman" w:eastAsiaTheme="minorEastAsia"/>
              <w:bCs w:val="0"/>
              <w:iCs w:val="0"/>
              <w:sz w:val="22"/>
              <w:szCs w:val="22"/>
              <w:lang w:val="ru-RU" w:eastAsia="ru-RU" w:bidi="ar-SA"/>
              <w14:ligatures w14:val="standardContextual"/>
            </w:rPr>
          </w:pPr>
          <w:r/>
          <w:hyperlink w:tooltip="#_Toc198483701" w:anchor="_Toc198483701" w:history="1">
            <w:r>
              <w:rPr>
                <w:rStyle w:val="11053"/>
                <w:rFonts w:ascii="Times New Roman" w:hAnsi="Times New Roman" w:cs="Times New Roman"/>
                <w:bCs w:val="0"/>
                <w:sz w:val="22"/>
                <w:szCs w:val="22"/>
              </w:rPr>
              <w:t xml:space="preserve">1.5 Предложения по величине необходимых инвестиций для снижения выбросов вредных (загрязняющих) веществ в атмосферный воздух</w:t>
            </w:r>
            <w:r>
              <w:fldChar w:fldCharType="begin"/>
            </w:r>
            <w:r>
              <w:instrText xml:space="preserve">PAGEREF _Toc198483701 \h</w:instrText>
            </w:r>
            <w:r>
              <w:fldChar w:fldCharType="separate"/>
            </w:r>
            <w:r>
              <w:rPr>
                <w:rStyle w:val="11053"/>
                <w:rFonts w:ascii="Times New Roman" w:hAnsi="Times New Roman" w:cs="Times New Roman"/>
                <w:bCs w:val="0"/>
                <w:vanish w:val="0"/>
                <w:sz w:val="22"/>
                <w:szCs w:val="22"/>
              </w:rPr>
              <w:tab/>
              <w:t xml:space="preserve">326</w:t>
            </w:r>
            <w:r>
              <w:fldChar w:fldCharType="end"/>
            </w:r>
          </w:hyperlink>
          <w:r/>
          <w:r>
            <w:rPr>
              <w:rFonts w:ascii="Times New Roman" w:hAnsi="Times New Roman" w:eastAsia="宋体" w:cs="Times New Roman" w:eastAsiaTheme="minorEastAsia"/>
              <w:bCs w:val="0"/>
              <w:iCs w:val="0"/>
              <w:sz w:val="22"/>
              <w:szCs w:val="22"/>
              <w:lang w:val="ru-RU" w:eastAsia="ru-RU" w:bidi="ar-SA"/>
              <w14:ligatures w14:val="standardContextual"/>
            </w:rPr>
          </w:r>
        </w:p>
        <w:p>
          <w:pPr>
            <w:pStyle w:val="10533"/>
            <w:pBdr/>
            <w:spacing/>
            <w:ind/>
            <w:jc w:val="both"/>
            <w:rPr/>
          </w:pPr>
          <w:r/>
          <w:r>
            <w:fldChar w:fldCharType="end"/>
          </w:r>
          <w:r/>
        </w:p>
      </w:sdtContent>
    </w:sdt>
    <w:p>
      <w:pPr>
        <w:pStyle w:val="10533"/>
        <w:pBdr/>
        <w:tabs>
          <w:tab w:val="clear" w:leader="none" w:pos="708"/>
          <w:tab w:val="right" w:leader="dot" w:pos="9637"/>
        </w:tabs>
        <w:spacing/>
        <w:ind/>
        <w:jc w:val="both"/>
        <w:rPr>
          <w:bCs/>
          <w:iCs/>
        </w:rPr>
      </w:pPr>
      <w:r>
        <w:rPr>
          <w:bCs/>
          <w:iCs/>
        </w:rPr>
      </w:r>
      <w:r>
        <w:rPr>
          <w:bCs/>
          <w:iCs/>
        </w:rPr>
      </w:r>
    </w:p>
    <w:p>
      <w:pPr>
        <w:pStyle w:val="10533"/>
        <w:pBdr/>
        <w:tabs>
          <w:tab w:val="clear" w:leader="none" w:pos="708"/>
          <w:tab w:val="right" w:leader="dot" w:pos="9637"/>
        </w:tabs>
        <w:spacing/>
        <w:ind/>
        <w:rPr>
          <w:bCs/>
          <w:iCs/>
        </w:rPr>
      </w:pPr>
      <w:r>
        <w:rPr>
          <w:bCs/>
          <w:iCs/>
        </w:rPr>
      </w:r>
      <w:r>
        <w:rPr>
          <w:bCs/>
          <w:iCs/>
        </w:rPr>
      </w:r>
    </w:p>
    <w:p>
      <w:pPr>
        <w:pStyle w:val="10533"/>
        <w:pBdr/>
        <w:tabs>
          <w:tab w:val="clear" w:leader="none" w:pos="708"/>
          <w:tab w:val="right" w:leader="dot" w:pos="9637"/>
        </w:tabs>
        <w:spacing/>
        <w:ind/>
        <w:rPr>
          <w:bCs/>
          <w:iCs/>
        </w:rPr>
      </w:pPr>
      <w:r>
        <w:rPr>
          <w:bCs/>
          <w:iCs/>
        </w:rPr>
      </w:r>
      <w:r>
        <w:rPr>
          <w:bCs/>
          <w:iCs/>
        </w:rPr>
      </w:r>
    </w:p>
    <w:p>
      <w:pPr>
        <w:pStyle w:val="10533"/>
        <w:pBdr/>
        <w:tabs>
          <w:tab w:val="clear" w:leader="none" w:pos="708"/>
          <w:tab w:val="right" w:leader="dot" w:pos="9637"/>
        </w:tabs>
        <w:spacing/>
        <w:ind/>
        <w:rPr>
          <w:bCs/>
          <w:iCs/>
        </w:rPr>
      </w:pPr>
      <w:r>
        <w:rPr>
          <w:bCs/>
          <w:iCs/>
        </w:rPr>
      </w:r>
      <w:r>
        <w:rPr>
          <w:bCs/>
          <w:iCs/>
        </w:rPr>
      </w:r>
    </w:p>
    <w:p>
      <w:pPr>
        <w:pStyle w:val="10533"/>
        <w:pBdr/>
        <w:tabs>
          <w:tab w:val="clear" w:leader="none" w:pos="708"/>
          <w:tab w:val="right" w:leader="dot" w:pos="9637"/>
        </w:tabs>
        <w:spacing/>
        <w:ind/>
        <w:rPr>
          <w:bCs/>
          <w:iCs/>
        </w:rPr>
      </w:pPr>
      <w:r>
        <w:rPr>
          <w:bCs/>
          <w:iCs/>
        </w:rPr>
      </w:r>
      <w:r>
        <w:rPr>
          <w:bCs/>
          <w:iCs/>
        </w:rPr>
      </w:r>
    </w:p>
    <w:p>
      <w:pPr>
        <w:pStyle w:val="10533"/>
        <w:pBdr/>
        <w:tabs>
          <w:tab w:val="clear" w:leader="none" w:pos="708"/>
          <w:tab w:val="right" w:leader="dot" w:pos="9637"/>
        </w:tabs>
        <w:spacing/>
        <w:ind/>
        <w:rPr>
          <w:bCs/>
          <w:iCs/>
        </w:rPr>
      </w:pPr>
      <w:r>
        <w:rPr>
          <w:bCs/>
          <w:iCs/>
        </w:rPr>
      </w:r>
      <w:r>
        <w:rPr>
          <w:bCs/>
          <w:iCs/>
        </w:rPr>
      </w:r>
    </w:p>
    <w:p>
      <w:pPr>
        <w:pStyle w:val="10533"/>
        <w:pBdr/>
        <w:tabs>
          <w:tab w:val="clear" w:leader="none" w:pos="708"/>
          <w:tab w:val="right" w:leader="dot" w:pos="9637"/>
        </w:tabs>
        <w:spacing/>
        <w:ind/>
        <w:jc w:val="center"/>
        <w:rPr>
          <w:b/>
          <w:sz w:val="28"/>
          <w:szCs w:val="28"/>
        </w:rPr>
      </w:pPr>
      <w:r/>
      <w:bookmarkStart w:id="26" w:name="_Toc341269099"/>
      <w:r/>
      <w:bookmarkStart w:id="27" w:name="_Toc468089655"/>
      <w:r/>
      <w:bookmarkStart w:id="28" w:name="_Toc343701350"/>
      <w:r>
        <w:rPr>
          <w:b/>
          <w:sz w:val="28"/>
          <w:szCs w:val="28"/>
        </w:rPr>
        <w:t xml:space="preserve">ВВЕДЕНИЕ</w:t>
      </w:r>
      <w:bookmarkEnd w:id="26"/>
      <w:r/>
      <w:bookmarkEnd w:id="27"/>
      <w:r/>
      <w:bookmarkEnd w:id="28"/>
      <w:r/>
      <w:r>
        <w:rPr>
          <w:b/>
          <w:sz w:val="28"/>
          <w:szCs w:val="28"/>
        </w:rPr>
      </w:r>
    </w:p>
    <w:p>
      <w:pPr>
        <w:pStyle w:val="12960"/>
        <w:pBdr/>
        <w:spacing/>
        <w:ind/>
        <w:rPr/>
      </w:pPr>
      <w:r>
        <w:t xml:space="preserve">Схема теплоснабжения разрабатывается в целях удовлетворения спроса на тепловую энерги</w:t>
      </w:r>
      <w:r>
        <w:t xml:space="preserve">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r/>
    </w:p>
    <w:p>
      <w:pPr>
        <w:pStyle w:val="12960"/>
        <w:pBdr/>
        <w:spacing/>
        <w:ind/>
        <w:rPr/>
      </w:pPr>
      <w:r>
        <w:t xml:space="preserve">Схема теплоснабжения разработана на основе следующих принципов:</w:t>
      </w:r>
      <w:r/>
    </w:p>
    <w:p>
      <w:pPr>
        <w:pStyle w:val="13832"/>
        <w:numPr>
          <w:ilvl w:val="0"/>
          <w:numId w:val="61"/>
        </w:numPr>
        <w:pBdr/>
        <w:spacing/>
        <w:ind w:hanging="284" w:left="0"/>
        <w:rPr/>
      </w:pPr>
      <w:r>
        <w:t xml:space="preserve"> </w:t>
      </w:r>
      <w:r>
        <w:t xml:space="preserve">обеспечение безопасности и надежности теплоснабжения потребителей в соответствии с требованиями технических регламентов;</w:t>
      </w:r>
      <w:r/>
    </w:p>
    <w:p>
      <w:pPr>
        <w:pStyle w:val="13832"/>
        <w:numPr>
          <w:ilvl w:val="0"/>
          <w:numId w:val="61"/>
        </w:numPr>
        <w:pBdr/>
        <w:spacing/>
        <w:ind w:hanging="284" w:left="0"/>
        <w:rPr/>
      </w:pPr>
      <w:r>
        <w:t xml:space="preserve"> </w:t>
      </w:r>
      <w:r>
        <w:t xml:space="preserve">обеспечение энергетической эффективности теплоснабжения и потребления тепловой энергии с учетом требований, установленных действующими законами;</w:t>
      </w:r>
      <w:r/>
    </w:p>
    <w:p>
      <w:pPr>
        <w:pStyle w:val="13832"/>
        <w:numPr>
          <w:ilvl w:val="0"/>
          <w:numId w:val="61"/>
        </w:numPr>
        <w:pBdr/>
        <w:spacing/>
        <w:ind w:hanging="284" w:left="0"/>
        <w:rPr/>
      </w:pPr>
      <w:r>
        <w:t xml:space="preserve"> </w:t>
      </w:r>
      <w: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r/>
    </w:p>
    <w:p>
      <w:pPr>
        <w:pStyle w:val="13832"/>
        <w:numPr>
          <w:ilvl w:val="0"/>
          <w:numId w:val="61"/>
        </w:numPr>
        <w:pBdr/>
        <w:spacing/>
        <w:ind w:hanging="284" w:left="0"/>
        <w:rPr/>
      </w:pPr>
      <w:r>
        <w:t xml:space="preserve"> </w:t>
      </w:r>
      <w:r>
        <w:t xml:space="preserve">соблюдение баланса экономических интересов теплоснабжающих организаций и потребителей;</w:t>
      </w:r>
      <w:r/>
    </w:p>
    <w:p>
      <w:pPr>
        <w:pStyle w:val="13832"/>
        <w:numPr>
          <w:ilvl w:val="0"/>
          <w:numId w:val="61"/>
        </w:numPr>
        <w:pBdr/>
        <w:spacing/>
        <w:ind w:hanging="284" w:left="0"/>
        <w:rPr/>
      </w:pPr>
      <w:r>
        <w:t xml:space="preserve"> </w:t>
      </w:r>
      <w:r>
        <w:t xml:space="preserve">минимизации затрат на теплоснабжение в расчете на каждого потребителя в долгосрочной перспективе;</w:t>
      </w:r>
      <w:r/>
    </w:p>
    <w:p>
      <w:pPr>
        <w:pStyle w:val="13832"/>
        <w:numPr>
          <w:ilvl w:val="0"/>
          <w:numId w:val="61"/>
        </w:numPr>
        <w:pBdr/>
        <w:spacing/>
        <w:ind w:hanging="284" w:left="0"/>
        <w:rPr/>
      </w:pPr>
      <w:r>
        <w:t xml:space="preserve"> </w:t>
      </w:r>
      <w:r>
        <w:t xml:space="preserve">минимизации вредного воздействия на окружающую среду;</w:t>
      </w:r>
      <w:r/>
    </w:p>
    <w:p>
      <w:pPr>
        <w:pStyle w:val="13832"/>
        <w:numPr>
          <w:ilvl w:val="0"/>
          <w:numId w:val="61"/>
        </w:numPr>
        <w:pBdr/>
        <w:spacing/>
        <w:ind w:hanging="284" w:left="0"/>
        <w:rPr/>
      </w:pPr>
      <w:r>
        <w:t xml:space="preserve"> </w:t>
      </w:r>
      <w:r>
        <w:t xml:space="preserve">обеспечение не дискриминационных и стабильных условий осуществления предпринимательской деятельности в сфере теплоснабжения;</w:t>
      </w:r>
      <w:r/>
    </w:p>
    <w:p>
      <w:pPr>
        <w:pStyle w:val="13832"/>
        <w:numPr>
          <w:ilvl w:val="0"/>
          <w:numId w:val="61"/>
        </w:numPr>
        <w:pBdr/>
        <w:spacing/>
        <w:ind w:hanging="284" w:left="0"/>
        <w:rPr/>
      </w:pPr>
      <w:r>
        <w:t xml:space="preserve"> </w:t>
      </w:r>
      <w:r>
        <w:t xml:space="preserve">согласованности схемы теплоснабжения с иными программами развития сетей инженерно-технического обеспечения, а также с программой газификации;</w:t>
      </w:r>
      <w:r/>
    </w:p>
    <w:p>
      <w:pPr>
        <w:pStyle w:val="13832"/>
        <w:numPr>
          <w:ilvl w:val="0"/>
          <w:numId w:val="61"/>
        </w:numPr>
        <w:pBdr/>
        <w:spacing/>
        <w:ind w:hanging="284" w:left="0"/>
        <w:rPr/>
      </w:pPr>
      <w:r>
        <w:t xml:space="preserve"> </w:t>
      </w:r>
      <w:r>
        <w:t xml:space="preserve">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r/>
    </w:p>
    <w:p>
      <w:pPr>
        <w:pStyle w:val="12960"/>
        <w:pBdr/>
        <w:spacing/>
        <w:ind/>
        <w:rPr/>
      </w:pPr>
      <w:r>
        <w:t xml:space="preserve">Техническая база для разработки схем теплоснабжения</w:t>
      </w:r>
      <w:r/>
    </w:p>
    <w:p>
      <w:pPr>
        <w:pStyle w:val="13832"/>
        <w:numPr>
          <w:ilvl w:val="0"/>
          <w:numId w:val="61"/>
        </w:numPr>
        <w:pBdr/>
        <w:spacing/>
        <w:ind w:hanging="284" w:left="0"/>
        <w:rPr/>
      </w:pPr>
      <w:r>
        <w:t xml:space="preserve"> </w:t>
      </w:r>
      <w:r>
        <w:t xml:space="preserve">генеральный план поселения и района;</w:t>
      </w:r>
      <w:r/>
    </w:p>
    <w:p>
      <w:pPr>
        <w:pStyle w:val="13832"/>
        <w:numPr>
          <w:ilvl w:val="0"/>
          <w:numId w:val="61"/>
        </w:numPr>
        <w:pBdr/>
        <w:spacing/>
        <w:ind w:hanging="284" w:left="0"/>
        <w:rPr/>
      </w:pPr>
      <w:r>
        <w:t xml:space="preserve"> </w:t>
      </w:r>
      <w:r>
        <w:t xml:space="preserve">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r/>
    </w:p>
    <w:p>
      <w:pPr>
        <w:pStyle w:val="13832"/>
        <w:numPr>
          <w:ilvl w:val="0"/>
          <w:numId w:val="61"/>
        </w:numPr>
        <w:pBdr/>
        <w:spacing/>
        <w:ind w:hanging="284" w:left="0"/>
        <w:rPr/>
      </w:pPr>
      <w:r>
        <w:t xml:space="preserve"> </w:t>
      </w:r>
      <w:r>
        <w:t xml:space="preserve">конструктивные данные по видам прокладки и типам применяемых теплоизоляционных конструкций, сроки эксплуатации тепловых сетей, конфигурация;</w:t>
      </w:r>
      <w:r/>
    </w:p>
    <w:p>
      <w:pPr>
        <w:pStyle w:val="13832"/>
        <w:numPr>
          <w:ilvl w:val="0"/>
          <w:numId w:val="61"/>
        </w:numPr>
        <w:pBdr/>
        <w:spacing/>
        <w:ind w:hanging="284" w:left="0"/>
        <w:rPr/>
      </w:pPr>
      <w:r>
        <w:t xml:space="preserve"> </w:t>
      </w:r>
      <w:r>
        <w:t xml:space="preserve">данные технологического и коммерческого учета потребления топлива, отпуска и потребления тепловой энергии, теплоносителя;</w:t>
      </w:r>
      <w:r/>
    </w:p>
    <w:p>
      <w:pPr>
        <w:pStyle w:val="13832"/>
        <w:numPr>
          <w:ilvl w:val="0"/>
          <w:numId w:val="61"/>
        </w:numPr>
        <w:pBdr/>
        <w:spacing/>
        <w:ind w:hanging="284" w:left="0"/>
        <w:rPr/>
      </w:pPr>
      <w:r>
        <w:t xml:space="preserve"> </w:t>
      </w:r>
      <w:r>
        <w:t xml:space="preserve">документы по хозяйс</w:t>
      </w:r>
      <w:r>
        <w:t xml:space="preserve">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r/>
    </w:p>
    <w:p>
      <w:pPr>
        <w:pStyle w:val="13832"/>
        <w:numPr>
          <w:ilvl w:val="0"/>
          <w:numId w:val="61"/>
        </w:numPr>
        <w:pBdr/>
        <w:spacing/>
        <w:ind w:hanging="284" w:left="0"/>
        <w:rPr>
          <w:szCs w:val="24"/>
        </w:rPr>
      </w:pPr>
      <w:r>
        <w:rPr>
          <w:szCs w:val="24"/>
        </w:rPr>
        <w:t xml:space="preserve"> </w:t>
      </w:r>
      <w:r>
        <w:rPr>
          <w:szCs w:val="24"/>
        </w:rPr>
        <w:t xml:space="preserve">статистическая отчетность организации о выработке и отпуске тепловой энергии и использовании ТЭР в натуральном и стоимостном выражении.</w:t>
      </w:r>
      <w:r>
        <w:rPr>
          <w:szCs w:val="24"/>
        </w:rPr>
      </w:r>
    </w:p>
    <w:p>
      <w:pPr>
        <w:pStyle w:val="12282"/>
        <w:pBdr/>
        <w:spacing w:line="276" w:lineRule="auto"/>
        <w:ind/>
        <w:rPr>
          <w:sz w:val="24"/>
          <w:szCs w:val="24"/>
        </w:rPr>
      </w:pPr>
      <w:r>
        <w:rPr>
          <w:sz w:val="24"/>
          <w:szCs w:val="24"/>
        </w:rPr>
      </w:r>
      <w:r>
        <w:rPr>
          <w:sz w:val="24"/>
          <w:szCs w:val="24"/>
        </w:rPr>
      </w:r>
    </w:p>
    <w:p>
      <w:pPr>
        <w:pStyle w:val="12282"/>
        <w:pBdr/>
        <w:spacing w:line="276" w:lineRule="auto"/>
        <w:ind/>
        <w:rPr>
          <w:b/>
          <w:sz w:val="24"/>
          <w:szCs w:val="24"/>
        </w:rPr>
      </w:pPr>
      <w:r>
        <w:rPr>
          <w:b/>
          <w:sz w:val="24"/>
          <w:szCs w:val="24"/>
        </w:rPr>
        <w:t xml:space="preserve">Термины и определения</w:t>
      </w:r>
      <w:r>
        <w:rPr>
          <w:b/>
          <w:sz w:val="24"/>
          <w:szCs w:val="24"/>
        </w:rPr>
      </w:r>
    </w:p>
    <w:p>
      <w:pPr>
        <w:pStyle w:val="12282"/>
        <w:pBdr/>
        <w:spacing w:line="276" w:lineRule="auto"/>
        <w:ind/>
        <w:rPr>
          <w:sz w:val="24"/>
          <w:szCs w:val="24"/>
        </w:rPr>
      </w:pPr>
      <w:r>
        <w:rPr>
          <w:sz w:val="24"/>
          <w:szCs w:val="24"/>
        </w:rPr>
      </w:r>
      <w:r>
        <w:rPr>
          <w:sz w:val="24"/>
          <w:szCs w:val="24"/>
        </w:rPr>
      </w:r>
    </w:p>
    <w:p>
      <w:pPr>
        <w:pStyle w:val="13832"/>
        <w:numPr>
          <w:ilvl w:val="0"/>
          <w:numId w:val="61"/>
        </w:numPr>
        <w:pBdr/>
        <w:spacing/>
        <w:ind w:hanging="284" w:left="0"/>
        <w:rPr/>
      </w:pPr>
      <w:r>
        <w:t xml:space="preserve"> </w:t>
      </w:r>
      <w:r>
        <w:t xml:space="preserve">тепловая энергия - энергетический ресурс, при потреблении которого изменяются термодинамические параметры теплоносителей (температура, давление);</w:t>
      </w:r>
      <w:r/>
    </w:p>
    <w:p>
      <w:pPr>
        <w:pStyle w:val="13832"/>
        <w:numPr>
          <w:ilvl w:val="0"/>
          <w:numId w:val="61"/>
        </w:numPr>
        <w:pBdr/>
        <w:spacing/>
        <w:ind w:hanging="284" w:left="0"/>
        <w:rPr/>
      </w:pPr>
      <w:r>
        <w:t xml:space="preserve"> </w:t>
      </w:r>
      <w:r>
        <w:t xml:space="preserve">зона действия системы теплоснабжения - территория поселения,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p>
    <w:p>
      <w:pPr>
        <w:pStyle w:val="13832"/>
        <w:numPr>
          <w:ilvl w:val="0"/>
          <w:numId w:val="61"/>
        </w:numPr>
        <w:pBdr/>
        <w:spacing/>
        <w:ind w:hanging="284" w:left="0"/>
        <w:rPr/>
      </w:pPr>
      <w:r>
        <w:t xml:space="preserve"> </w:t>
      </w:r>
      <w:r>
        <w:t xml:space="preserve">источник тепловой энергии - устройство, предназначенное для производства тепловой энергии;</w:t>
      </w:r>
      <w:r/>
    </w:p>
    <w:p>
      <w:pPr>
        <w:pStyle w:val="13832"/>
        <w:numPr>
          <w:ilvl w:val="0"/>
          <w:numId w:val="61"/>
        </w:numPr>
        <w:pBdr/>
        <w:spacing/>
        <w:ind w:hanging="284" w:left="0"/>
        <w:rPr/>
      </w:pPr>
      <w:r>
        <w:t xml:space="preserve"> </w:t>
      </w:r>
      <w:r>
        <w:t xml:space="preserve">зона действия источника тепловой энергии - территория поселения,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w:t>
      </w:r>
      <w:r/>
    </w:p>
    <w:p>
      <w:pPr>
        <w:pStyle w:val="13832"/>
        <w:numPr>
          <w:ilvl w:val="0"/>
          <w:numId w:val="61"/>
        </w:numPr>
        <w:pBdr/>
        <w:spacing/>
        <w:ind w:hanging="284" w:left="0"/>
        <w:rPr/>
      </w:pPr>
      <w:r>
        <w:t xml:space="preserve"> </w:t>
      </w:r>
      <w:r>
        <w:t xml:space="preserve">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r/>
    </w:p>
    <w:p>
      <w:pPr>
        <w:pStyle w:val="13832"/>
        <w:numPr>
          <w:ilvl w:val="0"/>
          <w:numId w:val="61"/>
        </w:numPr>
        <w:pBdr/>
        <w:spacing/>
        <w:ind w:hanging="284" w:left="0"/>
        <w:rPr/>
      </w:pPr>
      <w:r>
        <w:t xml:space="preserve"> </w:t>
      </w:r>
      <w: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w:t>
      </w:r>
      <w:r>
        <w:t xml:space="preserve">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p>
    <w:p>
      <w:pPr>
        <w:pStyle w:val="13832"/>
        <w:numPr>
          <w:ilvl w:val="0"/>
          <w:numId w:val="61"/>
        </w:numPr>
        <w:pBdr/>
        <w:spacing/>
        <w:ind w:hanging="284" w:left="0"/>
        <w:rPr/>
      </w:pPr>
      <w:r>
        <w:t xml:space="preserve"> </w:t>
      </w:r>
      <w:r>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r/>
    </w:p>
    <w:p>
      <w:pPr>
        <w:pStyle w:val="13832"/>
        <w:numPr>
          <w:ilvl w:val="0"/>
          <w:numId w:val="61"/>
        </w:numPr>
        <w:pBdr/>
        <w:spacing/>
        <w:ind w:hanging="284" w:left="0"/>
        <w:rPr/>
      </w:pPr>
      <w:r>
        <w:t xml:space="preserve"> </w:t>
      </w:r>
      <w:r>
        <w:t xml:space="preserve">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r/>
    </w:p>
    <w:p>
      <w:pPr>
        <w:pStyle w:val="13832"/>
        <w:numPr>
          <w:ilvl w:val="0"/>
          <w:numId w:val="61"/>
        </w:numPr>
        <w:pBdr/>
        <w:spacing/>
        <w:ind w:hanging="284" w:left="0"/>
        <w:rPr/>
      </w:pPr>
      <w:r>
        <w:t xml:space="preserve"> </w:t>
      </w:r>
      <w:r>
        <w:t xml:space="preserve">теплопотребляющая установка - устройство, предназначенное для использования тепловой энергии, теплоносителя для нужд потребителя тепловой энергии;</w:t>
      </w:r>
      <w:r/>
    </w:p>
    <w:p>
      <w:pPr>
        <w:pStyle w:val="13832"/>
        <w:numPr>
          <w:ilvl w:val="0"/>
          <w:numId w:val="61"/>
        </w:numPr>
        <w:pBdr/>
        <w:spacing/>
        <w:ind w:hanging="284" w:left="0"/>
        <w:rPr/>
      </w:pPr>
      <w:r>
        <w:t xml:space="preserve"> </w:t>
      </w:r>
      <w:r>
        <w:t xml:space="preserve">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r/>
    </w:p>
    <w:p>
      <w:pPr>
        <w:pStyle w:val="13832"/>
        <w:numPr>
          <w:ilvl w:val="0"/>
          <w:numId w:val="61"/>
        </w:numPr>
        <w:pBdr/>
        <w:spacing/>
        <w:ind w:hanging="284" w:left="0"/>
        <w:rPr/>
      </w:pPr>
      <w:r>
        <w:t xml:space="preserve"> </w:t>
      </w:r>
      <w:r>
        <w:t xml:space="preserve">тепловая мощность (далее - мощность) - количество тепловой энергии, которое может быть произведено и (или) передано по тепловым сетям за единицу времени;</w:t>
      </w:r>
      <w:r/>
    </w:p>
    <w:p>
      <w:pPr>
        <w:pStyle w:val="13832"/>
        <w:numPr>
          <w:ilvl w:val="0"/>
          <w:numId w:val="61"/>
        </w:numPr>
        <w:pBdr/>
        <w:spacing/>
        <w:ind w:hanging="284" w:left="0"/>
        <w:rPr/>
      </w:pPr>
      <w:r>
        <w:t xml:space="preserve"> </w:t>
      </w:r>
      <w:r>
        <w:t xml:space="preserve">тепловая нагрузка - количество тепловой энергии, которое может быть принято потребителем тепловой энергии за единицу времени;</w:t>
      </w:r>
      <w:r/>
    </w:p>
    <w:p>
      <w:pPr>
        <w:pStyle w:val="13832"/>
        <w:numPr>
          <w:ilvl w:val="0"/>
          <w:numId w:val="61"/>
        </w:numPr>
        <w:pBdr/>
        <w:spacing/>
        <w:ind w:hanging="284" w:left="0"/>
        <w:rPr/>
      </w:pPr>
      <w:r>
        <w:t xml:space="preserve"> </w:t>
      </w:r>
      <w:r>
        <w:t xml:space="preserve">теплоснабжение - обеспечение потребителей тепловой энергии тепловой энергией, теплоносителем, в том числе поддержание мощности;</w:t>
      </w:r>
      <w:r/>
    </w:p>
    <w:p>
      <w:pPr>
        <w:pStyle w:val="13832"/>
        <w:numPr>
          <w:ilvl w:val="0"/>
          <w:numId w:val="61"/>
        </w:numPr>
        <w:pBdr/>
        <w:spacing/>
        <w:ind w:firstLine="0" w:left="0"/>
        <w:rPr/>
      </w:pPr>
      <w:r>
        <w:t xml:space="preserve"> </w:t>
      </w:r>
      <w:r>
        <w:t xml:space="preserve">потребитель тепловой энергии (далее также - потребитель) - лицо, </w:t>
      </w:r>
      <w:r>
        <w:t xml:space="preserve">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r/>
    </w:p>
    <w:p>
      <w:pPr>
        <w:pStyle w:val="13832"/>
        <w:numPr>
          <w:ilvl w:val="0"/>
          <w:numId w:val="61"/>
        </w:numPr>
        <w:pBdr/>
        <w:spacing/>
        <w:ind w:firstLine="0" w:left="0"/>
        <w:rPr/>
      </w:pPr>
      <w:r>
        <w:t xml:space="preserve"> </w:t>
      </w:r>
      <w:r>
        <w:t xml:space="preserve">инвестиционная программа организа</w:t>
      </w:r>
      <w:r>
        <w:t xml:space="preserve">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w:t>
      </w:r>
      <w:r>
        <w:t xml:space="preserve">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r/>
    </w:p>
    <w:p>
      <w:pPr>
        <w:pStyle w:val="13832"/>
        <w:numPr>
          <w:ilvl w:val="0"/>
          <w:numId w:val="61"/>
        </w:numPr>
        <w:pBdr/>
        <w:spacing/>
        <w:ind w:hanging="284" w:left="0"/>
        <w:rPr/>
      </w:pPr>
      <w:r>
        <w:t xml:space="preserve"> </w:t>
      </w:r>
      <w:r>
        <w:t xml:space="preserve">теплоснабж</w:t>
      </w:r>
      <w:r>
        <w:t xml:space="preserve">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w:t>
      </w:r>
      <w:r>
        <w:t xml:space="preserve">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r/>
    </w:p>
    <w:p>
      <w:pPr>
        <w:pStyle w:val="13832"/>
        <w:numPr>
          <w:ilvl w:val="0"/>
          <w:numId w:val="61"/>
        </w:numPr>
        <w:pBdr/>
        <w:spacing/>
        <w:ind w:hanging="284" w:left="0"/>
        <w:rPr/>
      </w:pPr>
      <w:r>
        <w:t xml:space="preserve"> </w:t>
      </w:r>
      <w:r>
        <w:t xml:space="preserve">передача тепловой энергии, теплоносителя </w:t>
      </w:r>
      <w:r>
        <w:t xml:space="preserve">-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r/>
    </w:p>
    <w:p>
      <w:pPr>
        <w:pStyle w:val="13832"/>
        <w:numPr>
          <w:ilvl w:val="0"/>
          <w:numId w:val="61"/>
        </w:numPr>
        <w:pBdr/>
        <w:spacing/>
        <w:ind w:hanging="284" w:left="0"/>
        <w:rPr/>
      </w:pPr>
      <w:r>
        <w:t xml:space="preserve"> </w:t>
      </w:r>
      <w:r>
        <w:t xml:space="preserve">коммерческий учет тепловой энергии, теплоносителя (далее также - коммерческий учет) - установление количества и качества тепловой энергии, т</w:t>
      </w:r>
      <w:r>
        <w:t xml:space="preserve">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r/>
    </w:p>
    <w:p>
      <w:pPr>
        <w:pStyle w:val="13832"/>
        <w:numPr>
          <w:ilvl w:val="0"/>
          <w:numId w:val="61"/>
        </w:numPr>
        <w:pBdr/>
        <w:spacing/>
        <w:ind w:hanging="284" w:left="0"/>
        <w:rPr/>
      </w:pPr>
      <w:r>
        <w:t xml:space="preserve"> </w:t>
      </w:r>
      <w:r>
        <w:t xml:space="preserve">система теплоснабжения - совокупность источников тепловой энергии и теплопотребляющих установок, технологически соединенных тепловыми сетями;</w:t>
      </w:r>
      <w:r/>
    </w:p>
    <w:p>
      <w:pPr>
        <w:pStyle w:val="13832"/>
        <w:numPr>
          <w:ilvl w:val="0"/>
          <w:numId w:val="61"/>
        </w:numPr>
        <w:pBdr/>
        <w:spacing/>
        <w:ind w:hanging="284" w:left="0"/>
        <w:rPr/>
      </w:pPr>
      <w:r>
        <w:t xml:space="preserve"> </w:t>
      </w:r>
      <w:r>
        <w:t xml:space="preserve">режим потребления тепловой энергии - проце</w:t>
      </w:r>
      <w:r>
        <w:t xml:space="preserve">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r/>
    </w:p>
    <w:p>
      <w:pPr>
        <w:pStyle w:val="13832"/>
        <w:numPr>
          <w:ilvl w:val="0"/>
          <w:numId w:val="61"/>
        </w:numPr>
        <w:pBdr/>
        <w:spacing/>
        <w:ind w:hanging="284" w:left="0"/>
        <w:rPr/>
      </w:pPr>
      <w:r>
        <w:t xml:space="preserve"> </w:t>
      </w:r>
      <w:r>
        <w:t xml:space="preserve">надежность теплоснабжения - характеристика состояния системы теплоснабжения, при котором обеспечиваются качество и безопасность теплоснабжения;</w:t>
      </w:r>
      <w:r/>
    </w:p>
    <w:p>
      <w:pPr>
        <w:pStyle w:val="13832"/>
        <w:numPr>
          <w:ilvl w:val="0"/>
          <w:numId w:val="61"/>
        </w:numPr>
        <w:pBdr/>
        <w:spacing/>
        <w:ind w:hanging="284" w:left="0"/>
        <w:rPr/>
      </w:pPr>
      <w:r>
        <w:t xml:space="preserve"> </w:t>
      </w:r>
      <w:r>
        <w:t xml:space="preserve">регулируемый вид деятельности в сфере теплоснабжен</w:t>
      </w:r>
      <w:r>
        <w:t xml:space="preserve">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r/>
    </w:p>
    <w:p>
      <w:pPr>
        <w:pStyle w:val="12960"/>
        <w:pBdr/>
        <w:spacing/>
        <w:ind/>
        <w:rPr/>
      </w:pPr>
      <w:r>
        <w:t xml:space="preserve">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r/>
    </w:p>
    <w:p>
      <w:pPr>
        <w:pStyle w:val="12960"/>
        <w:pBdr/>
        <w:spacing/>
        <w:ind/>
        <w:rPr/>
      </w:pPr>
      <w:r>
        <w:t xml:space="preserve">б) оказание услуг по передаче тепловой энергии, теплоносителя;</w:t>
      </w:r>
      <w:r/>
    </w:p>
    <w:p>
      <w:pPr>
        <w:pStyle w:val="12960"/>
        <w:pBdr/>
        <w:spacing/>
        <w:ind/>
        <w:rPr/>
      </w:pPr>
      <w:r>
        <w:t xml:space="preserve">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r/>
    </w:p>
    <w:p>
      <w:pPr>
        <w:pStyle w:val="13832"/>
        <w:numPr>
          <w:ilvl w:val="0"/>
          <w:numId w:val="61"/>
        </w:numPr>
        <w:pBdr/>
        <w:spacing/>
        <w:ind w:hanging="284" w:left="0"/>
        <w:rPr/>
      </w:pPr>
      <w:r>
        <w:t xml:space="preserve"> </w:t>
      </w:r>
      <w:r>
        <w:t xml:space="preserve">орган регулирования тарифов в сфере теплоснабжения (далее также - орган регулирования) </w:t>
      </w:r>
      <w:r>
        <w:t xml:space="preserve">-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w:t>
      </w:r>
      <w:r>
        <w:t xml:space="preserve">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w:t>
      </w:r>
      <w:r>
        <w:t xml:space="preserve">гулирования цен (тарифов) либо орган местного самоуправления поселения или муниципального образования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r/>
    </w:p>
    <w:p>
      <w:pPr>
        <w:pStyle w:val="13832"/>
        <w:numPr>
          <w:ilvl w:val="0"/>
          <w:numId w:val="61"/>
        </w:numPr>
        <w:pBdr/>
        <w:spacing/>
        <w:ind w:hanging="284" w:left="0"/>
        <w:rPr/>
      </w:pPr>
      <w:r>
        <w:t xml:space="preserve"> </w:t>
      </w:r>
      <w:r>
        <w:t xml:space="preserve">схема те</w:t>
      </w:r>
      <w:r>
        <w:t xml:space="preserve">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r/>
    </w:p>
    <w:p>
      <w:pPr>
        <w:pStyle w:val="13832"/>
        <w:numPr>
          <w:ilvl w:val="0"/>
          <w:numId w:val="61"/>
        </w:numPr>
        <w:pBdr/>
        <w:spacing/>
        <w:ind w:hanging="284" w:left="0"/>
        <w:rPr/>
      </w:pPr>
      <w:r>
        <w:t xml:space="preserve"> </w:t>
      </w:r>
      <w: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r/>
    </w:p>
    <w:p>
      <w:pPr>
        <w:pStyle w:val="13832"/>
        <w:numPr>
          <w:ilvl w:val="0"/>
          <w:numId w:val="61"/>
        </w:numPr>
        <w:pBdr/>
        <w:spacing/>
        <w:ind w:hanging="284" w:left="0"/>
        <w:rPr/>
      </w:pPr>
      <w:r>
        <w:t xml:space="preserve"> </w:t>
      </w:r>
      <w:r>
        <w:t xml:space="preserve">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w:t>
      </w:r>
      <w:r>
        <w:t xml:space="preserve">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r/>
    </w:p>
    <w:p>
      <w:pPr>
        <w:pStyle w:val="13832"/>
        <w:numPr>
          <w:ilvl w:val="0"/>
          <w:numId w:val="61"/>
        </w:numPr>
        <w:pBdr/>
        <w:spacing/>
        <w:ind w:hanging="284" w:left="0"/>
        <w:rPr/>
      </w:pPr>
      <w:r>
        <w:t xml:space="preserve"> </w:t>
      </w:r>
      <w:r>
        <w:t xml:space="preserve">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r/>
    </w:p>
    <w:p>
      <w:pPr>
        <w:pStyle w:val="13832"/>
        <w:numPr>
          <w:ilvl w:val="0"/>
          <w:numId w:val="61"/>
        </w:numPr>
        <w:pBdr/>
        <w:spacing/>
        <w:ind w:hanging="284" w:left="0"/>
        <w:rPr/>
      </w:pPr>
      <w:r>
        <w:t xml:space="preserve"> </w:t>
      </w:r>
      <w:r>
        <w:t xml:space="preserve">точка учета тепловой энергии, теплоносителя (дале</w:t>
      </w:r>
      <w:r>
        <w:t xml:space="preserve">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r/>
    </w:p>
    <w:p>
      <w:pPr>
        <w:pStyle w:val="13832"/>
        <w:numPr>
          <w:ilvl w:val="0"/>
          <w:numId w:val="61"/>
        </w:numPr>
        <w:pBdr/>
        <w:spacing/>
        <w:ind w:hanging="284" w:left="0"/>
        <w:rPr/>
      </w:pPr>
      <w:r>
        <w:t xml:space="preserve"> </w:t>
      </w:r>
      <w:r>
        <w:t xml:space="preserve">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r/>
    </w:p>
    <w:p>
      <w:pPr>
        <w:pStyle w:val="13832"/>
        <w:numPr>
          <w:ilvl w:val="0"/>
          <w:numId w:val="61"/>
        </w:numPr>
        <w:pBdr/>
        <w:spacing/>
        <w:ind w:hanging="284" w:left="0"/>
        <w:rPr/>
      </w:pPr>
      <w:r>
        <w:t xml:space="preserve"> </w:t>
      </w:r>
      <w:r>
        <w:t xml:space="preserve">единая теплоснабжающая организация в системе теплоснабжения (далее - единая теплоснабжающая организация) - теплоснабжающая организаци</w:t>
      </w:r>
      <w:r>
        <w:t xml:space="preserve">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w:t>
      </w:r>
      <w:r>
        <w:t xml:space="preserve">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r/>
    </w:p>
    <w:p>
      <w:pPr>
        <w:pStyle w:val="13832"/>
        <w:numPr>
          <w:ilvl w:val="0"/>
          <w:numId w:val="61"/>
        </w:numPr>
        <w:pBdr/>
        <w:spacing/>
        <w:ind w:hanging="284" w:left="0"/>
        <w:rPr/>
      </w:pPr>
      <w:r>
        <w:t xml:space="preserve"> </w:t>
      </w:r>
      <w:r>
        <w:t xml:space="preserve">бездоговорное потребление тепловой энерги</w:t>
      </w:r>
      <w:r>
        <w:t xml:space="preserve">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w:t>
      </w:r>
      <w:r>
        <w:t xml:space="preserve">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w:t>
      </w:r>
      <w:r>
        <w:t xml:space="preserve">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r/>
    </w:p>
    <w:p>
      <w:pPr>
        <w:pStyle w:val="13832"/>
        <w:numPr>
          <w:ilvl w:val="0"/>
          <w:numId w:val="61"/>
        </w:numPr>
        <w:pBdr/>
        <w:spacing/>
        <w:ind w:hanging="284" w:left="0"/>
        <w:rPr/>
      </w:pPr>
      <w:r>
        <w:t xml:space="preserve"> </w:t>
      </w:r>
      <w:r>
        <w:t xml:space="preserve">радиус эффективного теплоснабжения - максимальное расстояние от теплопотребляющей </w:t>
      </w:r>
      <w:r>
        <w:t xml:space="preserve">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r/>
    </w:p>
    <w:p>
      <w:pPr>
        <w:pStyle w:val="13832"/>
        <w:numPr>
          <w:ilvl w:val="0"/>
          <w:numId w:val="61"/>
        </w:numPr>
        <w:pBdr/>
        <w:spacing/>
        <w:ind w:hanging="284" w:left="0"/>
        <w:rPr/>
      </w:pPr>
      <w:r>
        <w:t xml:space="preserve"> </w:t>
      </w:r>
      <w: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w:t>
      </w:r>
      <w:r>
        <w:t xml:space="preserve">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r/>
    </w:p>
    <w:p>
      <w:pPr>
        <w:pStyle w:val="13832"/>
        <w:numPr>
          <w:ilvl w:val="0"/>
          <w:numId w:val="61"/>
        </w:numPr>
        <w:pBdr/>
        <w:spacing/>
        <w:ind w:hanging="284" w:left="0"/>
        <w:rPr/>
      </w:pPr>
      <w:r>
        <w:t xml:space="preserve"> </w:t>
      </w:r>
      <w:r>
        <w:t xml:space="preserve">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r/>
    </w:p>
    <w:p>
      <w:pPr>
        <w:pStyle w:val="13832"/>
        <w:numPr>
          <w:ilvl w:val="0"/>
          <w:numId w:val="61"/>
        </w:numPr>
        <w:pBdr/>
        <w:spacing/>
        <w:ind w:hanging="284" w:left="0"/>
        <w:rPr/>
      </w:pPr>
      <w:r>
        <w:t xml:space="preserve"> </w:t>
      </w:r>
      <w:r>
        <w:t xml:space="preserve">элемент территориального деления - территория поселения, муниципального образования или ее часть, установленная по границам административно- территориальных единиц;</w:t>
      </w:r>
      <w:r/>
    </w:p>
    <w:p>
      <w:pPr>
        <w:pStyle w:val="13832"/>
        <w:numPr>
          <w:ilvl w:val="0"/>
          <w:numId w:val="61"/>
        </w:numPr>
        <w:pBdr/>
        <w:spacing/>
        <w:ind w:hanging="284" w:left="0"/>
        <w:rPr/>
      </w:pPr>
      <w:r>
        <w:t xml:space="preserve"> </w:t>
      </w:r>
      <w:r>
        <w:t xml:space="preserve">расчетный элемент территориального деления - территория поселения, муниципального образования или ее часть, принятая для целей разработки схемы теплоснабжения в неизменяемых границах на весь срок действия схемы теплоснабжения.</w:t>
      </w:r>
      <w:r/>
    </w:p>
    <w:p>
      <w:pPr>
        <w:pStyle w:val="13832"/>
        <w:numPr>
          <w:ilvl w:val="0"/>
          <w:numId w:val="61"/>
        </w:numPr>
        <w:pBdr/>
        <w:spacing/>
        <w:ind w:hanging="284" w:left="0"/>
        <w:rPr/>
      </w:pPr>
      <w:r>
        <w:t xml:space="preserve"> </w:t>
      </w:r>
      <w:r>
        <w:t xml:space="preserve">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4"/>
        <w:numPr>
          <w:ilvl w:val="0"/>
          <w:numId w:val="0"/>
        </w:numPr>
        <w:pBdr/>
        <w:spacing/>
        <w:ind w:firstLine="0" w:left="1070"/>
        <w:rPr>
          <w:spacing w:val="0"/>
        </w:rPr>
      </w:pPr>
      <w:r/>
      <w:bookmarkStart w:id="29" w:name="_Toc166767133"/>
      <w:r/>
      <w:bookmarkStart w:id="30" w:name="_Toc198483472"/>
      <w:r>
        <w:rPr>
          <w:spacing w:val="0"/>
        </w:rPr>
        <w:t xml:space="preserve">ГЛАВА 1. "СУЩЕСТВУЮЩЕЕ ПОЛОЖЕНИЕ В СФЕРЕ ПРОИЗВОДСТВА, ПЕРЕДАЧИ И ПОТРЕБЛЕНИЯ ТЕПЛОВОЙ ЭНЕРГИИ ДЛЯ ЦЕЛЕЙ ТЕПЛОСНАБЖЕНИЯ"</w:t>
      </w:r>
      <w:bookmarkEnd w:id="29"/>
      <w:r/>
      <w:bookmarkEnd w:id="30"/>
      <w:r/>
      <w:r>
        <w:rPr>
          <w:spacing w:val="0"/>
        </w:rPr>
      </w:r>
    </w:p>
    <w:p>
      <w:pPr>
        <w:pStyle w:val="10534"/>
        <w:numPr>
          <w:ilvl w:val="0"/>
          <w:numId w:val="13"/>
        </w:numPr>
        <w:pBdr/>
        <w:spacing/>
        <w:ind/>
        <w:rPr>
          <w:spacing w:val="0"/>
        </w:rPr>
      </w:pPr>
      <w:r/>
      <w:bookmarkStart w:id="31" w:name="_Toc166767134"/>
      <w:r/>
      <w:bookmarkStart w:id="32" w:name="_Toc198483473"/>
      <w:r>
        <w:rPr>
          <w:spacing w:val="0"/>
        </w:rPr>
        <w:t xml:space="preserve">Функциональная структура теплоснабжения</w:t>
      </w:r>
      <w:bookmarkEnd w:id="31"/>
      <w:r/>
      <w:bookmarkEnd w:id="32"/>
      <w:r/>
      <w:r>
        <w:rPr>
          <w:spacing w:val="0"/>
        </w:rPr>
      </w:r>
    </w:p>
    <w:p>
      <w:pPr>
        <w:pStyle w:val="12960"/>
        <w:pBdr/>
        <w:spacing/>
        <w:ind/>
        <w:rPr/>
      </w:pPr>
      <w:r>
        <w:t xml:space="preserve">Функциональная структура теплоснабжения муниципального образования Астаповское представляет собой централизованное производство и передачу по тепловым сетям тепловой энергии до потребителей.</w:t>
      </w:r>
      <w:r/>
    </w:p>
    <w:p>
      <w:pPr>
        <w:pStyle w:val="12960"/>
        <w:pBdr/>
        <w:spacing/>
        <w:ind/>
        <w:rPr/>
      </w:pPr>
      <w:r>
        <w:t xml:space="preserve">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w:t>
      </w:r>
      <w:r>
        <w:t xml:space="preserve">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r/>
    </w:p>
    <w:p>
      <w:pPr>
        <w:pStyle w:val="12960"/>
        <w:pBdr/>
        <w:spacing/>
        <w:ind/>
        <w:rPr/>
      </w:pPr>
      <w:r>
        <w:t xml:space="preserve">Функциональная структура теплоснабжения муниципального образования Астаповское представляет собой централизованное производство и передачу по тепловым сетям тепловой энергии до потребителя. </w:t>
      </w:r>
      <w:r/>
    </w:p>
    <w:p>
      <w:pPr>
        <w:pStyle w:val="10535"/>
        <w:keepNext w:val="true"/>
        <w:widowControl w:val="true"/>
        <w:numPr>
          <w:ilvl w:val="1"/>
          <w:numId w:val="13"/>
        </w:numPr>
        <w:pBdr/>
        <w:bidi w:val="false"/>
        <w:spacing w:after="240" w:before="360" w:line="360" w:lineRule="auto"/>
        <w:ind w:right="0" w:hanging="624" w:left="567"/>
        <w:jc w:val="center"/>
        <w:rPr>
          <w:rFonts w:cs="Times New Roman"/>
        </w:rPr>
      </w:pPr>
      <w:r>
        <w:rPr>
          <w:rFonts w:cs="Times New Roman"/>
        </w:rPr>
        <w:t xml:space="preserve">Описание зон деятельности (эксплуатационной ответственности) теплоснабжающих и теплосетевых организаций</w:t>
      </w:r>
      <w:r>
        <w:rPr>
          <w:rFonts w:cs="Times New Roman"/>
        </w:rPr>
      </w:r>
    </w:p>
    <w:p>
      <w:pPr>
        <w:pStyle w:val="12960"/>
        <w:pBdr/>
        <w:spacing/>
        <w:ind/>
        <w:rPr/>
      </w:pPr>
      <w:r>
        <w:t xml:space="preserve">Теплоснабжение потребителей муниципального образования Астаповское осущест</w:t>
      </w:r>
      <w:r>
        <w:t xml:space="preserve">вляется как централизованными источниками тепловой энергии, так и индивидуальными. К централизованным источникам относятся котельные, находящиеся в собственности Администрации муниципального образования Астаповское, переданные теплоснабжающим организациям.</w:t>
      </w:r>
      <w:r/>
    </w:p>
    <w:p>
      <w:pPr>
        <w:pStyle w:val="12960"/>
        <w:pBdr/>
        <w:spacing/>
        <w:ind/>
        <w:rPr/>
      </w:pPr>
      <w:r>
        <w:t xml:space="preserve">На момент р</w:t>
      </w:r>
      <w:r>
        <w:t xml:space="preserve">азработки схемы теплоснабжения муниципального образования Астаповское функциональная структура теплоснабжения представляет собой централизованное, децентрализованное и индивидуальное производство, передачу по тепловым сетям тепловой энергии до потребителя.</w:t>
      </w:r>
      <w:r/>
    </w:p>
    <w:p>
      <w:pPr>
        <w:pStyle w:val="12960"/>
        <w:pBdr/>
        <w:spacing/>
        <w:ind/>
        <w:rPr/>
      </w:pPr>
      <w:r>
        <w:t xml:space="preserve">Система теплоснабжения муниципального образования Астаповское сложилась на базе 5 отопительных котельных централизованного теплоснабж</w:t>
      </w:r>
      <w:r>
        <w:t xml:space="preserve">ения и источников индивидуального теплоснабжения. В Муниципальном образовании Астаповское теплоснабжение жилищного фонда и объектов инфраструктуры осуществляется как централизованно, так и с помощью индивидуальных источников тепла. Основным видом топлива и</w:t>
      </w:r>
      <w:r>
        <w:t xml:space="preserve">ндивидуальных источников являются дрова и природный газ. В настоящее время электрогенерирующее оборудование, обеспечивающее комбинированную выработку тепловой и электрической энергии в Муниципальном образовании Астаповское на источниках тепла -отсутствует.</w:t>
      </w:r>
      <w:r/>
    </w:p>
    <w:p>
      <w:pPr>
        <w:pStyle w:val="12960"/>
        <w:pBdr/>
        <w:spacing/>
        <w:ind/>
        <w:rPr/>
      </w:pPr>
      <w:r>
        <w:t xml:space="preserve">Наименование энергоснабжающих организаций - ООО «АГК».</w:t>
      </w:r>
      <w:r/>
    </w:p>
    <w:p>
      <w:pPr>
        <w:pStyle w:val="12960"/>
        <w:pBdr/>
        <w:spacing/>
        <w:ind/>
        <w:rPr/>
      </w:pPr>
      <w:r>
        <w:t xml:space="preserve">Муниципальное образование Астаповское входит в состав Арсеньевского муниципального района Тульской области. </w:t>
      </w:r>
      <w:r/>
    </w:p>
    <w:p>
      <w:pPr>
        <w:pStyle w:val="12960"/>
        <w:pBdr/>
        <w:spacing/>
        <w:ind/>
        <w:rPr/>
      </w:pPr>
      <w:r>
        <w:t xml:space="preserve">В основном выработка тепловой энергии осуществляется на покрытие нужд бюджетных организаций и обеспечение теплоснабжения жилых зданий. Охват централизов</w:t>
      </w:r>
      <w:r>
        <w:t xml:space="preserve">анным теплоснабжением жилой застройки низкий. Теплоснабжением не охвачены районы частной усадебной застройки, их теплоснабжение осуществляется при помощи индивидуальных отопительных печей и индивидуальных отопительных котлов, работающих на твердом топливе.</w:t>
      </w:r>
      <w:r/>
    </w:p>
    <w:p>
      <w:pPr>
        <w:pStyle w:val="12960"/>
        <w:pBdr/>
        <w:spacing/>
        <w:ind/>
        <w:rPr/>
      </w:pPr>
      <w:r/>
      <w:r>
        <w:t xml:space="preserve">На территории муниципального образования Астаповское по состоянию на 01.01.2026г. одна теплоснабжающая организация, производящие и транспортирующие тепловую энергию потребителям: </w:t>
      </w:r>
      <w:r/>
    </w:p>
    <w:p>
      <w:pPr>
        <w:pStyle w:val="13832"/>
        <w:numPr>
          <w:ilvl w:val="0"/>
          <w:numId w:val="61"/>
        </w:numPr>
        <w:pBdr/>
        <w:spacing/>
        <w:ind w:hanging="284" w:left="1135"/>
        <w:rPr/>
      </w:pPr>
      <w:r/>
      <w:bookmarkStart w:id="34" w:name="_Hlk212629830"/>
      <w:r/>
      <w:bookmarkEnd w:id="34"/>
      <w:r>
        <w:t xml:space="preserve">ООО «АГК». </w:t>
      </w:r>
      <w:r/>
    </w:p>
    <w:p>
      <w:pPr>
        <w:pStyle w:val="12960"/>
        <w:pBdr/>
        <w:spacing/>
        <w:ind/>
        <w:rPr>
          <w:color w:val="auto"/>
        </w:rPr>
      </w:pPr>
      <w:r/>
      <w:bookmarkStart w:id="35" w:name="_Toc84970921"/>
      <w:r/>
      <w:bookmarkStart w:id="36" w:name="_Hlk212629830"/>
      <w:r/>
      <w:bookmarkStart w:id="37" w:name="_Toc78674684"/>
      <w:r/>
      <w:r/>
      <w:bookmarkEnd w:id="35"/>
      <w:r/>
      <w:bookmarkEnd w:id="36"/>
      <w:r/>
      <w:bookmarkEnd w:id="37"/>
      <w:r>
        <w:rPr>
          <w:color w:val="auto"/>
        </w:rPr>
        <w:t xml:space="preserve">Система централизованного теплоснабжения (СЦТ) муниципального образования состоит из 1 секционированной зоны действия (эксплуатационной ответственности) теплоснабжающих и теплосетевых организаций, представляет собой:</w:t>
      </w:r>
      <w:r>
        <w:rPr>
          <w:color w:val="auto"/>
        </w:rPr>
      </w:r>
    </w:p>
    <w:p>
      <w:pPr>
        <w:pStyle w:val="13832"/>
        <w:numPr>
          <w:ilvl w:val="0"/>
          <w:numId w:val="61"/>
        </w:numPr>
        <w:pBdr/>
        <w:spacing/>
        <w:ind w:hanging="284" w:left="1135"/>
        <w:rPr>
          <w:rFonts w:eastAsia="Calibri"/>
        </w:rPr>
      </w:pPr>
      <w:r>
        <w:rPr>
          <w:rFonts w:eastAsia="Calibri"/>
        </w:rPr>
        <w:t xml:space="preserve">СЦТ 1 - зона действия ООО «АГК». </w:t>
      </w:r>
      <w:r>
        <w:rPr>
          <w:rFonts w:eastAsia="Calibri"/>
        </w:rPr>
      </w:r>
    </w:p>
    <w:p>
      <w:pPr>
        <w:pStyle w:val="12960"/>
        <w:pBdr/>
        <w:spacing/>
        <w:ind/>
        <w:rPr/>
      </w:pPr>
      <w:r>
        <w:t xml:space="preserve">Поставку (транспортировку) тепловой энергии от котельной до потребителей обеспечивают ООО «АГК»</w:t>
      </w:r>
      <w:r/>
    </w:p>
    <w:p>
      <w:pPr>
        <w:pStyle w:val="12960"/>
        <w:pBdr/>
        <w:spacing/>
        <w:ind/>
        <w:rPr/>
      </w:pPr>
      <w:r/>
      <w:bookmarkStart w:id="39" w:name="_Hlk194293175"/>
      <w:r/>
      <w:bookmarkStart w:id="40" w:name="_Hlk193206763"/>
      <w:r>
        <w:t xml:space="preserve">Система централизованного теплоснабжения (СЦТ) муниципального образования состоит из 3 технологических зон:</w:t>
      </w:r>
      <w:bookmarkEnd w:id="39"/>
      <w:r/>
      <w:bookmarkEnd w:id="40"/>
      <w:r/>
      <w:r/>
    </w:p>
    <w:p>
      <w:pPr>
        <w:pStyle w:val="13832"/>
        <w:numPr>
          <w:ilvl w:val="0"/>
          <w:numId w:val="61"/>
        </w:numPr>
        <w:pBdr/>
        <w:spacing/>
        <w:ind w:hanging="284" w:left="1135"/>
        <w:rPr/>
      </w:pPr>
      <w:r>
        <w:t xml:space="preserve">СЦТ 1 - Зона действия источника тепловой энергии Котельная №5 д. Ясенки;</w:t>
      </w:r>
      <w:r/>
    </w:p>
    <w:p>
      <w:pPr>
        <w:pStyle w:val="13832"/>
        <w:numPr>
          <w:ilvl w:val="0"/>
          <w:numId w:val="61"/>
        </w:numPr>
        <w:pBdr/>
        <w:spacing/>
        <w:ind w:hanging="284" w:left="1135"/>
        <w:rPr/>
      </w:pPr>
      <w:r>
        <w:t xml:space="preserve">СЦТ 2 - Зона действия источника тепловой энергии Котельная №6 п. Первомайский;</w:t>
      </w:r>
      <w:r/>
    </w:p>
    <w:p>
      <w:pPr>
        <w:pStyle w:val="13832"/>
        <w:numPr>
          <w:ilvl w:val="0"/>
          <w:numId w:val="61"/>
        </w:numPr>
        <w:pBdr/>
        <w:spacing/>
        <w:ind w:hanging="284" w:left="1135"/>
        <w:rPr/>
      </w:pPr>
      <w:r>
        <w:t xml:space="preserve">СЦТ 3 - Зона действия источника тепловой энергии Котельная №7 с. Белый Колодезь.</w:t>
      </w:r>
      <w:r/>
    </w:p>
    <w:p>
      <w:pPr>
        <w:pStyle w:val="12960"/>
        <w:pBdr/>
        <w:spacing/>
        <w:ind w:firstLine="0"/>
        <w:jc w:val="center"/>
        <w:rPr/>
        <w:sectPr>
          <w:headerReference w:type="default" r:id="rId12"/>
          <w:headerReference w:type="first" r:id="rId13"/>
          <w:footerReference w:type="default" r:id="rId277"/>
          <w:footerReference w:type="first" r:id="rId278"/>
          <w:footnotePr/>
          <w:endnotePr/>
          <w:type w:val="nextPage"/>
          <w:pgSz w:h="16838" w:orient="portrait" w:w="11906"/>
          <w:pgMar w:top="1134" w:right="850" w:bottom="1134" w:left="1701" w:header="567" w:footer="454" w:gutter="0"/>
          <w:cols w:num="1" w:sep="0" w:space="1701" w:equalWidth="1"/>
        </w:sectPr>
      </w:pPr>
      <w:r/>
      <w:r/>
    </w:p>
    <w:p>
      <w:pPr>
        <w:pStyle w:val="12960"/>
        <w:pBdr/>
        <w:spacing/>
        <w:ind/>
        <w:jc w:val="center"/>
        <w:rPr/>
      </w:pPr>
      <w:r>
        <mc:AlternateContent>
          <mc:Choice Requires="wpg">
            <w:drawing>
              <wp:inline xmlns:wp="http://schemas.openxmlformats.org/drawingml/2006/wordprocessingDrawing" distT="0" distB="0" distL="0" distR="0">
                <wp:extent cx="8682990" cy="5057775"/>
                <wp:effectExtent l="0" t="0" r="0" b="0"/>
                <wp:docPr id="2"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
                        <pic:cNvPicPr>
                          <a:picLocks noChangeAspect="1"/>
                        </pic:cNvPicPr>
                        <pic:nvPr/>
                      </pic:nvPicPr>
                      <pic:blipFill rotWithShape="1">
                        <a:blip r:embed="rId551"/>
                      </pic:blipFill>
                      <pic:spPr bwMode="auto">
                        <a:xfrm>
                          <a:off x="0" y="0"/>
                          <a:ext cx="8682990" cy="505777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683.70pt;height:398.25pt;mso-wrap-distance-left:0.00pt;mso-wrap-distance-top:0.00pt;mso-wrap-distance-right:0.00pt;mso-wrap-distance-bottom:0.00pt;z-index:1;" stroked="false">
                <v:imagedata r:id="rId551" o:title=""/>
                <o:lock v:ext="edit" rotation="t"/>
              </v:shape>
            </w:pict>
          </mc:Fallback>
        </mc:AlternateContent>
      </w:r>
      <w:r>
        <w:t xml:space="preserve">Рисунок 1.1.1. – Зона действия (эксплуатационной ответственности) теплоснабжающей организации ООО «АГК»</w:t>
      </w:r>
      <w:r/>
    </w:p>
    <w:p>
      <w:pPr>
        <w:pStyle w:val="12960"/>
        <w:pBdr/>
        <w:spacing/>
        <w:ind/>
        <w:jc w:val="center"/>
        <w:rPr/>
      </w:pPr>
      <w:r/>
      <w:r/>
      <w:r/>
      <w:r/>
      <w:r/>
      <w:r>
        <mc:AlternateContent>
          <mc:Choice Requires="wpg">
            <w:drawing>
              <wp:inline xmlns:wp="http://schemas.openxmlformats.org/drawingml/2006/wordprocessingDrawing" distT="0" distB="0" distL="0" distR="0">
                <wp:extent cx="8543925" cy="5343525"/>
                <wp:effectExtent l="0" t="0" r="0" b="0"/>
                <wp:docPr id="3"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2" descr=""/>
                        <pic:cNvPicPr>
                          <a:picLocks noChangeAspect="1"/>
                        </pic:cNvPicPr>
                        <pic:nvPr/>
                      </pic:nvPicPr>
                      <pic:blipFill rotWithShape="1">
                        <a:blip r:embed="rId552"/>
                      </pic:blipFill>
                      <pic:spPr bwMode="auto">
                        <a:xfrm>
                          <a:off x="0" y="0"/>
                          <a:ext cx="8543925" cy="534352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672.75pt;height:420.75pt;mso-wrap-distance-left:0.00pt;mso-wrap-distance-top:0.00pt;mso-wrap-distance-right:0.00pt;mso-wrap-distance-bottom:0.00pt;z-index:1;" stroked="false">
                <v:imagedata r:id="rId552" o:title=""/>
                <o:lock v:ext="edit" rotation="t"/>
              </v:shape>
            </w:pict>
          </mc:Fallback>
        </mc:AlternateContent>
      </w:r>
      <w:r>
        <w:t xml:space="preserve">Рисунок 1.1.2. – Зона действия (эксплуатационной ответственности) теплоснабжающей организации ООО «АГК»</w:t>
      </w:r>
      <w:r/>
    </w:p>
    <w:p>
      <w:pPr>
        <w:pStyle w:val="10533"/>
        <w:pBdr/>
        <w:spacing/>
        <w:ind/>
        <w:rPr>
          <w:lang w:eastAsia="en-US" w:bidi="en-US"/>
        </w:rPr>
      </w:pPr>
      <w:r>
        <w:rPr>
          <w:lang w:eastAsia="en-US" w:bidi="en-US"/>
        </w:rPr>
      </w:r>
      <w:r>
        <w:rPr>
          <w:lang w:eastAsia="en-US" w:bidi="en-US"/>
        </w:rPr>
      </w:r>
    </w:p>
    <w:p>
      <w:pPr>
        <w:pStyle w:val="10533"/>
        <w:pBdr/>
        <w:spacing/>
        <w:ind/>
        <w:rPr>
          <w:lang w:eastAsia="en-US" w:bidi="en-US"/>
        </w:rPr>
      </w:pPr>
      <w:r>
        <mc:AlternateContent>
          <mc:Choice Requires="wpg">
            <w:drawing>
              <wp:inline xmlns:wp="http://schemas.openxmlformats.org/drawingml/2006/wordprocessingDrawing" distT="0" distB="0" distL="0" distR="0">
                <wp:extent cx="8934450" cy="5275580"/>
                <wp:effectExtent l="0" t="0" r="0" b="0"/>
                <wp:docPr id="4"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3" descr=""/>
                        <pic:cNvPicPr>
                          <a:picLocks noChangeAspect="1"/>
                        </pic:cNvPicPr>
                        <pic:nvPr/>
                      </pic:nvPicPr>
                      <pic:blipFill rotWithShape="1">
                        <a:blip r:embed="rId553"/>
                        <a:srcRect l="15135" t="12132" r="13212" b="9988"/>
                        <a:stretch/>
                      </pic:blipFill>
                      <pic:spPr bwMode="auto">
                        <a:xfrm>
                          <a:off x="0" y="0"/>
                          <a:ext cx="8934450" cy="527558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703.50pt;height:415.40pt;mso-wrap-distance-left:0.00pt;mso-wrap-distance-top:0.00pt;mso-wrap-distance-right:0.00pt;mso-wrap-distance-bottom:0.00pt;z-index:1;" stroked="false">
                <v:imagedata r:id="rId553" o:title="" croptop="7951f" cropleft="9919f" cropbottom="6546f" cropright="8659f"/>
                <o:lock v:ext="edit" rotation="t"/>
              </v:shape>
            </w:pict>
          </mc:Fallback>
        </mc:AlternateContent>
      </w:r>
      <w:r>
        <w:rPr>
          <w:lang w:eastAsia="en-US" w:bidi="en-US"/>
        </w:rPr>
      </w:r>
    </w:p>
    <w:p>
      <w:pPr>
        <w:pStyle w:val="10533"/>
        <w:pBdr/>
        <w:spacing/>
        <w:ind/>
        <w:jc w:val="center"/>
        <w:rPr>
          <w:lang w:eastAsia="en-US" w:bidi="en-US"/>
        </w:rPr>
        <w:sectPr>
          <w:headerReference w:type="default" r:id="rId14"/>
          <w:headerReference w:type="first" r:id="rId15"/>
          <w:footerReference w:type="default" r:id="rId279"/>
          <w:footerReference w:type="first" r:id="rId280"/>
          <w:footnotePr/>
          <w:endnotePr/>
          <w:type w:val="nextPage"/>
          <w:pgSz w:h="11906" w:orient="landscape" w:w="16838"/>
          <w:pgMar w:top="1701" w:right="1134" w:bottom="851" w:left="1134" w:header="680" w:footer="340" w:gutter="0"/>
          <w:cols w:num="1" w:sep="0" w:space="1701" w:equalWidth="1"/>
          <w:titlePg/>
        </w:sectPr>
      </w:pPr>
      <w:r>
        <w:t xml:space="preserve">Рисунок 1.1.3. – Зона действия (эксплуатационной ответственности) теплоснабжающей организации ООО «АГК»</w:t>
      </w:r>
      <w:r>
        <w:rPr>
          <w:lang w:eastAsia="en-US" w:bidi="en-US"/>
        </w:rPr>
      </w:r>
    </w:p>
    <w:p>
      <w:pPr>
        <w:pStyle w:val="10535"/>
        <w:numPr>
          <w:ilvl w:val="1"/>
          <w:numId w:val="13"/>
        </w:numPr>
        <w:pBdr/>
        <w:spacing w:after="0" w:before="0"/>
        <w:ind/>
        <w:rPr>
          <w:rFonts w:cs="Times New Roman"/>
        </w:rPr>
      </w:pPr>
      <w:r/>
      <w:bookmarkStart w:id="51" w:name="_Toc78674685"/>
      <w:r/>
      <w:bookmarkStart w:id="52" w:name="_Toc84970922"/>
      <w:r/>
      <w:bookmarkStart w:id="53" w:name="_Toc198483474"/>
      <w:r/>
      <w:bookmarkStart w:id="54" w:name="_Toc475879417"/>
      <w:r/>
      <w:bookmarkStart w:id="55" w:name="_Toc166767136"/>
      <w:r>
        <w:rPr>
          <w:rFonts w:cs="Times New Roman"/>
        </w:rPr>
        <w:t xml:space="preserve">Описание структуры договорных отношений между теплоснабжающими и теплосетевыми организациями</w:t>
      </w:r>
      <w:bookmarkEnd w:id="51"/>
      <w:r/>
      <w:bookmarkEnd w:id="52"/>
      <w:r/>
      <w:bookmarkEnd w:id="53"/>
      <w:r/>
      <w:bookmarkEnd w:id="54"/>
      <w:r/>
      <w:bookmarkEnd w:id="55"/>
      <w:r/>
      <w:r>
        <w:rPr>
          <w:rFonts w:cs="Times New Roman"/>
        </w:rPr>
      </w:r>
    </w:p>
    <w:p>
      <w:pPr>
        <w:pStyle w:val="12960"/>
        <w:pBdr/>
        <w:spacing/>
        <w:ind/>
        <w:rPr/>
      </w:pPr>
      <w:r>
        <w:t xml:space="preserve">Особенностью функциональной структуры </w:t>
      </w:r>
      <w:r>
        <w:t xml:space="preserve">централизованного теплоснабжения, является то, что передача тепловой энергии от источника до потребителя полностью выполняется ресурсоснабжающими организациями ООО «АГК». Другие теплосетевые организации на территории муниципального образования отсутствуют.</w:t>
      </w:r>
      <w:r/>
    </w:p>
    <w:p>
      <w:pPr>
        <w:pStyle w:val="10535"/>
        <w:numPr>
          <w:ilvl w:val="1"/>
          <w:numId w:val="13"/>
        </w:numPr>
        <w:pBdr/>
        <w:spacing w:after="0" w:before="0"/>
        <w:ind/>
        <w:rPr>
          <w:rFonts w:cs="Times New Roman"/>
        </w:rPr>
      </w:pPr>
      <w:r/>
      <w:bookmarkStart w:id="56" w:name="_Toc78674686"/>
      <w:r/>
      <w:bookmarkStart w:id="57" w:name="_Toc475879418"/>
      <w:r/>
      <w:bookmarkStart w:id="58" w:name="_Toc84970923"/>
      <w:r/>
      <w:bookmarkStart w:id="59" w:name="_Toc198483475"/>
      <w:r/>
      <w:bookmarkStart w:id="60" w:name="_Toc166767137"/>
      <w:r>
        <w:rPr>
          <w:rFonts w:cs="Times New Roman"/>
        </w:rPr>
        <w:t xml:space="preserve">Зоны действия производственных котельных</w:t>
      </w:r>
      <w:bookmarkEnd w:id="56"/>
      <w:r/>
      <w:bookmarkEnd w:id="57"/>
      <w:r/>
      <w:bookmarkEnd w:id="58"/>
      <w:r/>
      <w:bookmarkEnd w:id="59"/>
      <w:r/>
      <w:bookmarkEnd w:id="60"/>
      <w:r/>
      <w:r>
        <w:rPr>
          <w:rFonts w:cs="Times New Roman"/>
        </w:rPr>
      </w:r>
    </w:p>
    <w:p>
      <w:pPr>
        <w:pStyle w:val="12960"/>
        <w:pBdr/>
        <w:spacing/>
        <w:ind/>
        <w:rPr/>
      </w:pPr>
      <w:r>
        <w:t xml:space="preserve">Производственные котельные в схеме теплоснабжения предназначены для технологического теплоснабжения промышленных объектов. </w:t>
      </w:r>
      <w:r/>
    </w:p>
    <w:p>
      <w:pPr>
        <w:pStyle w:val="12960"/>
        <w:pBdr/>
        <w:spacing/>
        <w:ind/>
        <w:rPr/>
      </w:pPr>
      <w:r>
        <w:t xml:space="preserve">Они обеспечивают подачу тепла как для технологических процессов, так и для отопительно-вентиляционных нужд и горячего водоснабжения производственных, административных, жилых и общественных зданий.</w:t>
      </w:r>
      <w:r/>
    </w:p>
    <w:p>
      <w:pPr>
        <w:pStyle w:val="12960"/>
        <w:pBdr/>
        <w:spacing/>
        <w:ind/>
        <w:rPr/>
      </w:pPr>
      <w:r>
        <w:t xml:space="preserve">Помимо регулируемых теплоснабжающих и теплосетевых организаций на территории поселений имеются организации, имеющие в собственности или на ином законном основании котельные производственно-отопительного назначения.</w:t>
      </w:r>
      <w:r/>
    </w:p>
    <w:p>
      <w:pPr>
        <w:pStyle w:val="12960"/>
        <w:pBdr/>
        <w:spacing/>
        <w:ind/>
        <w:rPr/>
      </w:pPr>
      <w:r>
        <w:t xml:space="preserve"> </w:t>
      </w:r>
      <w:r>
        <w:t xml:space="preserve">Котельные обеспечивают производство тепловой энергии с целью: отопления и вентиляции административных и производственных корпусов, вспомогательных помещений, ГВС и технологических нужд в паре и горячей воде организаций, на балансе которых они находятся. </w:t>
      </w:r>
      <w:r/>
    </w:p>
    <w:p>
      <w:pPr>
        <w:pStyle w:val="12960"/>
        <w:pBdr/>
        <w:spacing/>
        <w:ind/>
        <w:rPr/>
      </w:pPr>
      <w:r>
        <w:t xml:space="preserve">Таким образом, отпуск тепловой энергии сторонним потребителям (товарный отпуск) не производится, обеспечивается покрытие исключительно собственных нужд предприятия. Регулируемая деятельность в сфере теплоснабжения не осуществляется. </w:t>
      </w:r>
      <w:r/>
    </w:p>
    <w:p>
      <w:pPr>
        <w:pStyle w:val="12960"/>
        <w:pBdr/>
        <w:spacing/>
        <w:ind/>
        <w:rPr/>
      </w:pPr>
      <w:r>
        <w:t xml:space="preserve">Производственные котельные расположены, в основном, в производственных зонах. Зоны действия производственных котельных в перспективе н</w:t>
      </w:r>
      <w:r>
        <w:t xml:space="preserve">е будут изменяться, как в сторону расширения, так и выделения объектов, входящих в зону эксплуатационной ответственности, определяемой границами не тарифицируемых поставок (собственные нужды), поэтому в схеме теплоснабжения в дальнейшем не рассматриваются.</w:t>
      </w:r>
      <w:r/>
    </w:p>
    <w:p>
      <w:pPr>
        <w:pStyle w:val="12960"/>
        <w:pBdr/>
        <w:spacing/>
        <w:ind/>
        <w:jc w:val="center"/>
        <w:rPr/>
      </w:pPr>
      <w:r/>
      <w:r/>
    </w:p>
    <w:p>
      <w:pPr>
        <w:pStyle w:val="10535"/>
        <w:numPr>
          <w:ilvl w:val="1"/>
          <w:numId w:val="13"/>
        </w:numPr>
        <w:pBdr/>
        <w:spacing w:after="0" w:before="0"/>
        <w:ind/>
        <w:rPr>
          <w:rFonts w:cs="Times New Roman"/>
        </w:rPr>
      </w:pPr>
      <w:r/>
      <w:bookmarkStart w:id="61" w:name="_Toc166767138"/>
      <w:r/>
      <w:bookmarkStart w:id="62" w:name="_Toc475879419"/>
      <w:r/>
      <w:bookmarkStart w:id="63" w:name="_Toc78674687"/>
      <w:r/>
      <w:bookmarkStart w:id="64" w:name="_Toc198483476"/>
      <w:r/>
      <w:bookmarkStart w:id="65" w:name="_Toc84970924"/>
      <w:r>
        <w:rPr>
          <w:rFonts w:cs="Times New Roman"/>
        </w:rPr>
        <w:t xml:space="preserve">Зоны действия индивидуального теплоснабжения</w:t>
      </w:r>
      <w:bookmarkEnd w:id="61"/>
      <w:r/>
      <w:bookmarkEnd w:id="62"/>
      <w:r/>
      <w:bookmarkEnd w:id="63"/>
      <w:r/>
      <w:bookmarkEnd w:id="64"/>
      <w:r/>
      <w:bookmarkEnd w:id="65"/>
      <w:r/>
      <w:r>
        <w:rPr>
          <w:rFonts w:cs="Times New Roman"/>
        </w:rPr>
      </w:r>
    </w:p>
    <w:p>
      <w:pPr>
        <w:pStyle w:val="12960"/>
        <w:pBdr/>
        <w:spacing/>
        <w:ind/>
        <w:rPr/>
      </w:pPr>
      <w:r/>
      <w:r/>
      <w:r>
        <w:t xml:space="preserve">Часть жилых домов подключены к источникам централизованного теплоснабжения. Отопление остального жилого фонда осуществляется от индивидуальных источников.</w:t>
      </w:r>
      <w:r/>
    </w:p>
    <w:p>
      <w:pPr>
        <w:pStyle w:val="12960"/>
        <w:pBdr/>
        <w:spacing/>
        <w:ind/>
        <w:rPr/>
      </w:pPr>
      <w:r>
        <w:t xml:space="preserve">Обслуживание и эксплуатация источников индивидуального теплоснабжения осуществляется собственниками.</w:t>
      </w:r>
      <w:r/>
    </w:p>
    <w:p>
      <w:pPr>
        <w:pStyle w:val="12960"/>
        <w:pBdr/>
        <w:spacing/>
        <w:ind/>
        <w:rPr/>
      </w:pPr>
      <w:r>
        <w:t xml:space="preserve">В муниципальном образовании теплоснабжение индивидуальных жилых застроек, а также отдельных зданий коммунально-бытовых потребителей, не подключенных к центральному теплоснабжению, осуществляется от индиви</w:t>
      </w:r>
      <w:r>
        <w:t xml:space="preserve">дуальных источников тепловой энергии. Индивидуальные жилые дома расположены практически по всей территории поселения. Такие здания, как правило, одно-, двухэтажные, в большей части – деревянные, и не присоединены к системе централизованного теплоснабжения.</w:t>
      </w:r>
      <w:r/>
    </w:p>
    <w:p>
      <w:pPr>
        <w:pStyle w:val="12960"/>
        <w:pBdr/>
        <w:spacing/>
        <w:ind/>
        <w:rPr/>
      </w:pPr>
      <w:r>
        <w:t xml:space="preserve">Теплоснабжение жителей осуществляется либо от индивидуальных котлов, либо используется печное отопление.</w:t>
      </w:r>
      <w:r/>
    </w:p>
    <w:p>
      <w:pPr>
        <w:pStyle w:val="12960"/>
        <w:pBdr/>
        <w:spacing/>
        <w:ind/>
        <w:rPr/>
      </w:pPr>
      <w:r>
        <w:t xml:space="preserve">Поскольку данные об установленной тепловой мощности этих т</w:t>
      </w:r>
      <w:r>
        <w:t xml:space="preserve">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p>
    <w:p>
      <w:pPr>
        <w:pStyle w:val="12960"/>
        <w:pBdr/>
        <w:spacing/>
        <w:ind/>
        <w:rPr/>
        <w:sectPr>
          <w:headerReference w:type="default" r:id="rId16"/>
          <w:headerReference w:type="first" r:id="rId17"/>
          <w:footerReference w:type="default" r:id="rId281"/>
          <w:footerReference w:type="first" r:id="rId282"/>
          <w:footnotePr/>
          <w:endnotePr/>
          <w:type w:val="nextPage"/>
          <w:pgSz w:h="16838" w:orient="portrait" w:w="11906"/>
          <w:pgMar w:top="1134" w:right="850" w:bottom="1134" w:left="1701" w:header="680" w:footer="340" w:gutter="0"/>
          <w:cols w:num="1" w:sep="0" w:space="1701" w:equalWidth="1"/>
          <w:titlePg/>
        </w:sectPr>
      </w:pPr>
      <w:r/>
      <w:r/>
    </w:p>
    <w:p>
      <w:pPr>
        <w:pStyle w:val="10534"/>
        <w:numPr>
          <w:ilvl w:val="0"/>
          <w:numId w:val="13"/>
        </w:numPr>
        <w:pBdr/>
        <w:spacing/>
        <w:ind/>
        <w:rPr>
          <w:spacing w:val="0"/>
        </w:rPr>
      </w:pPr>
      <w:r/>
      <w:bookmarkStart w:id="73" w:name="_Toc84970925"/>
      <w:r/>
      <w:bookmarkStart w:id="74" w:name="_Toc78674688"/>
      <w:r/>
      <w:bookmarkStart w:id="75" w:name="_Toc198483477"/>
      <w:r/>
      <w:bookmarkStart w:id="76" w:name="_Toc166767139"/>
      <w:r>
        <w:rPr>
          <w:spacing w:val="0"/>
          <w:lang w:val="en-US"/>
        </w:rPr>
        <w:t xml:space="preserve">Источники тепловой энергии</w:t>
      </w:r>
      <w:bookmarkEnd w:id="73"/>
      <w:r/>
      <w:bookmarkEnd w:id="74"/>
      <w:r/>
      <w:bookmarkEnd w:id="75"/>
      <w:r/>
      <w:bookmarkEnd w:id="76"/>
      <w:r/>
      <w:r>
        <w:rPr>
          <w:spacing w:val="0"/>
        </w:rPr>
      </w:r>
    </w:p>
    <w:p>
      <w:pPr>
        <w:pStyle w:val="10535"/>
        <w:numPr>
          <w:ilvl w:val="1"/>
          <w:numId w:val="101"/>
        </w:numPr>
        <w:pBdr/>
        <w:spacing/>
        <w:ind/>
        <w:rPr>
          <w:rFonts w:cs="Times New Roman"/>
        </w:rPr>
      </w:pPr>
      <w:r/>
      <w:bookmarkStart w:id="77" w:name="_Toc356981643"/>
      <w:r/>
      <w:bookmarkStart w:id="78" w:name="_Toc465965204"/>
      <w:r/>
      <w:bookmarkStart w:id="79" w:name="_Toc198483478"/>
      <w:r/>
      <w:bookmarkStart w:id="80" w:name="_Toc84970926"/>
      <w:r/>
      <w:bookmarkStart w:id="81" w:name="_Toc357159183"/>
      <w:r/>
      <w:bookmarkStart w:id="82" w:name="_Toc353999718"/>
      <w:r/>
      <w:bookmarkStart w:id="83" w:name="_Toc78674689"/>
      <w:r/>
      <w:bookmarkStart w:id="84" w:name="_Toc166767140"/>
      <w:r/>
      <w:bookmarkStart w:id="85" w:name="_Toc353999525"/>
      <w:r>
        <w:rPr>
          <w:rFonts w:cs="Times New Roman"/>
        </w:rPr>
        <w:t xml:space="preserve">Структура и технические характеристики основного оборудования</w:t>
      </w:r>
      <w:bookmarkEnd w:id="77"/>
      <w:r/>
      <w:bookmarkEnd w:id="81"/>
      <w:r/>
      <w:bookmarkEnd w:id="82"/>
      <w:r/>
      <w:bookmarkEnd w:id="85"/>
      <w:r>
        <w:rPr>
          <w:rFonts w:cs="Times New Roman"/>
        </w:rPr>
        <w:t xml:space="preserve"> источников тепловой энергии</w:t>
      </w:r>
      <w:bookmarkEnd w:id="78"/>
      <w:r/>
      <w:bookmarkEnd w:id="79"/>
      <w:r/>
      <w:bookmarkEnd w:id="80"/>
      <w:r/>
      <w:bookmarkEnd w:id="83"/>
      <w:r/>
      <w:bookmarkEnd w:id="84"/>
      <w:r/>
      <w:r>
        <w:rPr>
          <w:rFonts w:cs="Times New Roman"/>
        </w:rPr>
      </w:r>
    </w:p>
    <w:p>
      <w:pPr>
        <w:pStyle w:val="12960"/>
        <w:pBdr/>
        <w:spacing/>
        <w:ind/>
        <w:rPr/>
      </w:pPr>
      <w:r/>
      <w:bookmarkStart w:id="86" w:name="_Toc527706854"/>
      <w:r/>
      <w:bookmarkEnd w:id="86"/>
      <w:r>
        <w:t xml:space="preserve">Основными источниками централизованного</w:t>
      </w:r>
      <w:r>
        <w:t xml:space="preserve"> теплоснабжения жилых домов, многоквартирных домов, общественных объектов являются четыре водогрейных котельных, находящиеся в эксплуатации ООО «АГК». Эксплуатирующие организации оказывают услуги по производству, передаче и распределению тепловой энергии. </w:t>
      </w:r>
      <w:r/>
    </w:p>
    <w:p>
      <w:pPr>
        <w:pStyle w:val="12960"/>
        <w:pBdr/>
        <w:spacing/>
        <w:ind/>
        <w:rPr/>
      </w:pPr>
      <w:r>
        <w:t xml:space="preserve">Топливом для котельных служит природный газ. Котельные отпускают тепловую энергию на отопление жилых и общественных зданий. </w:t>
      </w:r>
      <w:r/>
    </w:p>
    <w:p>
      <w:pPr>
        <w:pStyle w:val="12960"/>
        <w:pBdr/>
        <w:spacing/>
        <w:ind/>
        <w:rPr/>
      </w:pPr>
      <w:r>
        <w:t xml:space="preserve">Сетевая вода для систем отопления потребителей подается от котельной по 2-х трубной системе трубопроводов.</w:t>
      </w:r>
      <w:r/>
    </w:p>
    <w:p>
      <w:pPr>
        <w:pStyle w:val="12960"/>
        <w:pBdr/>
        <w:spacing/>
        <w:ind/>
        <w:rPr/>
      </w:pPr>
      <w:r>
        <w:t xml:space="preserve">Регулирование температуры сетевой воды, поступающей в теплосеть, в зависимости от температуры наружного воздуха, происходит изменением расхода топлива.</w:t>
      </w:r>
      <w:r/>
    </w:p>
    <w:p>
      <w:pPr>
        <w:pStyle w:val="12960"/>
        <w:pBdr/>
        <w:spacing/>
        <w:ind/>
        <w:rPr/>
      </w:pPr>
      <w:r>
        <w:t xml:space="preserve">Ремонт и наладка оборудования осуществляются собственным ремон</w:t>
      </w:r>
      <w:r>
        <w:t xml:space="preserve">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капитального ремонта оборудования) привлекаются специализированные подрядные организации.</w:t>
      </w:r>
      <w:r/>
    </w:p>
    <w:p>
      <w:pPr>
        <w:pStyle w:val="12960"/>
        <w:pBdr/>
        <w:spacing/>
        <w:ind/>
        <w:rPr/>
        <w:sectPr>
          <w:headerReference w:type="default" r:id="rId18"/>
          <w:headerReference w:type="first" r:id="rId19"/>
          <w:footerReference w:type="default" r:id="rId283"/>
          <w:footerReference w:type="first" r:id="rId284"/>
          <w:footnotePr/>
          <w:endnotePr/>
          <w:type w:val="nextPage"/>
          <w:pgSz w:h="16838" w:orient="portrait" w:w="11906"/>
          <w:pgMar w:top="1134" w:right="850" w:bottom="1134" w:left="1701" w:header="567" w:footer="454" w:gutter="0"/>
          <w:cols w:num="1" w:sep="0" w:space="1701" w:equalWidth="1"/>
        </w:sectPr>
      </w:pPr>
      <w:r/>
      <w:r/>
    </w:p>
    <w:p>
      <w:pPr>
        <w:pStyle w:val="12960"/>
        <w:pBdr/>
        <w:spacing/>
        <w:ind/>
        <w:rPr>
          <w:b/>
          <w:bCs w:val="0"/>
        </w:rPr>
      </w:pPr>
      <w:r>
        <w:rPr>
          <w:b/>
          <w:bCs w:val="0"/>
        </w:rPr>
        <w:t xml:space="preserve">Таблица 1.2.1.1 –Список источников теплоснабжения</w:t>
      </w:r>
      <w:r>
        <w:rPr>
          <w:b/>
          <w:bCs w:val="0"/>
        </w:rPr>
      </w:r>
    </w:p>
    <w:tbl>
      <w:tblPr>
        <w:tblInd w:w="0" w:type="dxa"/>
        <w:tblW w:w="5000" w:type="pct"/>
        <w:tblCellMar>
          <w:left w:w="11" w:type="dxa"/>
          <w:top w:w="0" w:type="dxa"/>
          <w:right w:w="11" w:type="dxa"/>
          <w:bottom w:w="0" w:type="dxa"/>
        </w:tblCellMar>
        <w:tblBorders/>
        <w:tblLayout w:type="fixed"/>
        <w:tblLook w:val="0000" w:firstRow="0" w:lastRow="0" w:firstColumn="0" w:lastColumn="0" w:noHBand="0" w:noVBand="0"/>
      </w:tblPr>
      <w:tblGrid>
        <w:gridCol w:w="399"/>
        <w:gridCol w:w="2552"/>
        <w:gridCol w:w="2011"/>
        <w:gridCol w:w="4170"/>
        <w:gridCol w:w="3811"/>
        <w:gridCol w:w="1626"/>
      </w:tblGrid>
      <w:tr>
        <w:trPr>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99" w:type="dxa"/>
            <w:vAlign w:val="center"/>
          </w:tcPr>
          <w:p>
            <w:pPr>
              <w:pStyle w:val="12385"/>
              <w:pBdr/>
              <w:spacing/>
              <w:ind/>
              <w:rPr/>
            </w:pPr>
            <w:r>
              <w:t xml:space="preserve">№ </w:t>
            </w:r>
            <w:r>
              <w:t xml:space="preserve">п/п</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552" w:type="dxa"/>
            <w:vAlign w:val="center"/>
          </w:tcPr>
          <w:p>
            <w:pPr>
              <w:pStyle w:val="12385"/>
              <w:pBdr/>
              <w:spacing/>
              <w:ind/>
              <w:rPr/>
            </w:pPr>
            <w:r>
              <w:t xml:space="preserve">Наименования источников тепловой энергии</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11" w:type="dxa"/>
            <w:vAlign w:val="center"/>
          </w:tcPr>
          <w:p>
            <w:pPr>
              <w:pStyle w:val="12385"/>
              <w:pBdr/>
              <w:spacing/>
              <w:ind/>
              <w:rPr/>
            </w:pPr>
            <w:r>
              <w:t xml:space="preserve">Адрес источника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170" w:type="dxa"/>
            <w:vAlign w:val="center"/>
          </w:tcPr>
          <w:p>
            <w:pPr>
              <w:pStyle w:val="12385"/>
              <w:pBdr/>
              <w:spacing/>
              <w:ind/>
              <w:rPr/>
            </w:pPr>
            <w:r>
              <w:t xml:space="preserve">Теплоснабжающая (теплосетевая) организация в границах системы теплоснабжения</w:t>
            </w:r>
            <w:r/>
          </w:p>
        </w:tc>
        <w:tc>
          <w:tcPr>
            <w:shd w:val="clear" w:color="auto" w:fill="d9d9d9" w:themeFill="background1" w:themeFillShade="D9"/>
            <w:tcBorders>
              <w:top w:val="single" w:color="000000" w:sz="4" w:space="0"/>
              <w:left w:val="single" w:color="000000" w:sz="4" w:space="0"/>
              <w:bottom w:val="single" w:color="000000" w:sz="4" w:space="0"/>
            </w:tcBorders>
            <w:tcW w:w="3811" w:type="dxa"/>
            <w:vAlign w:val="center"/>
          </w:tcPr>
          <w:p>
            <w:pPr>
              <w:pStyle w:val="12385"/>
              <w:pBdr/>
              <w:spacing/>
              <w:ind/>
              <w:rPr/>
            </w:pPr>
            <w:r>
              <w:t xml:space="preserve">Наименование утвержденной ЕТО (единой теплоснабжающей организации)</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626" w:type="dxa"/>
            <w:vAlign w:val="center"/>
          </w:tcPr>
          <w:p>
            <w:pPr>
              <w:pStyle w:val="12385"/>
              <w:pBdr/>
              <w:spacing/>
              <w:ind/>
              <w:rPr/>
            </w:pPr>
            <w:r>
              <w:t xml:space="preserve">Система теплоснабжения (Закрытая \открытая)</w:t>
            </w:r>
            <w:r/>
          </w:p>
        </w:tc>
      </w:tr>
      <w:tr>
        <w:trPr/>
        <w:tc>
          <w:tcPr>
            <w:tcBorders>
              <w:top w:val="single" w:color="000000" w:sz="4" w:space="0"/>
              <w:left w:val="single" w:color="000000" w:sz="4" w:space="0"/>
              <w:bottom w:val="single" w:color="000000" w:sz="4" w:space="0"/>
              <w:right w:val="single" w:color="000000" w:sz="4" w:space="0"/>
            </w:tcBorders>
            <w:tcW w:w="399"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2552" w:type="dxa"/>
            <w:vAlign w:val="center"/>
          </w:tcPr>
          <w:p>
            <w:pPr>
              <w:pStyle w:val="12385"/>
              <w:pBdr/>
              <w:spacing/>
              <w:ind/>
              <w:rPr/>
            </w:pPr>
            <w:r>
              <w:rPr>
                <w:rFonts w:ascii="Times New Roman CYR" w:hAnsi="Times New Roman CYR" w:cs="Times New Roman CYR"/>
              </w:rPr>
              <w:t xml:space="preserve">п. Первомайский – школьная</w:t>
            </w:r>
            <w:r/>
          </w:p>
        </w:tc>
        <w:tc>
          <w:tcPr>
            <w:tcBorders>
              <w:top w:val="single" w:color="000000" w:sz="4" w:space="0"/>
              <w:left w:val="single" w:color="000000" w:sz="4" w:space="0"/>
              <w:bottom w:val="single" w:color="000000" w:sz="4" w:space="0"/>
              <w:right w:val="single" w:color="000000" w:sz="4" w:space="0"/>
            </w:tcBorders>
            <w:tcW w:w="2011" w:type="dxa"/>
            <w:vAlign w:val="center"/>
          </w:tcPr>
          <w:p>
            <w:pPr>
              <w:pStyle w:val="12385"/>
              <w:pBdr/>
              <w:spacing/>
              <w:ind/>
              <w:rPr/>
            </w:pPr>
            <w:r>
              <w:t xml:space="preserve">п. Первомайский, ул. Школьная, д.3</w:t>
            </w:r>
            <w:r/>
          </w:p>
        </w:tc>
        <w:tc>
          <w:tcPr>
            <w:tcBorders>
              <w:top w:val="single" w:color="000000" w:sz="4" w:space="0"/>
              <w:left w:val="single" w:color="000000" w:sz="4" w:space="0"/>
              <w:bottom w:val="single" w:color="000000" w:sz="4" w:space="0"/>
              <w:right w:val="single" w:color="000000" w:sz="4" w:space="0"/>
            </w:tcBorders>
            <w:tcW w:w="4170" w:type="dxa"/>
            <w:vAlign w:val="center"/>
          </w:tcPr>
          <w:p>
            <w:pPr>
              <w:pStyle w:val="12385"/>
              <w:pBdr/>
              <w:spacing/>
              <w:ind/>
              <w:rPr/>
            </w:pPr>
            <w:r>
              <w:rPr>
                <w:rFonts w:ascii="Times New Roman CYR" w:hAnsi="Times New Roman CYR" w:cs="Times New Roman CYR"/>
              </w:rPr>
              <w:t xml:space="preserve">ООО «АГК»</w:t>
            </w:r>
            <w:r/>
          </w:p>
        </w:tc>
        <w:tc>
          <w:tcPr>
            <w:tcBorders>
              <w:top w:val="single" w:color="000000" w:sz="4" w:space="0"/>
              <w:left w:val="single" w:color="000000" w:sz="4" w:space="0"/>
              <w:bottom w:val="single" w:color="000000" w:sz="4" w:space="0"/>
            </w:tcBorders>
            <w:tcW w:w="3811" w:type="dxa"/>
            <w:vAlign w:val="center"/>
          </w:tcPr>
          <w:p>
            <w:pPr>
              <w:pStyle w:val="12385"/>
              <w:pBdr/>
              <w:spacing/>
              <w:ind/>
              <w:rPr/>
            </w:pPr>
            <w:r>
              <w:rPr>
                <w:rFonts w:ascii="Times New Roman CYR" w:hAnsi="Times New Roman CYR" w:cs="Times New Roman CYR"/>
              </w:rPr>
              <w:t xml:space="preserve">ООО «АГК»</w:t>
            </w: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626" w:type="dxa"/>
            <w:vAlign w:val="center"/>
          </w:tcPr>
          <w:p>
            <w:pPr>
              <w:pStyle w:val="12385"/>
              <w:pBdr/>
              <w:spacing/>
              <w:ind/>
              <w:rPr/>
            </w:pPr>
            <w:r/>
            <w:r/>
          </w:p>
        </w:tc>
      </w:tr>
      <w:tr>
        <w:trPr/>
        <w:tc>
          <w:tcPr>
            <w:tcBorders>
              <w:top w:val="single" w:color="000000" w:sz="4" w:space="0"/>
              <w:left w:val="single" w:color="000000" w:sz="4" w:space="0"/>
              <w:bottom w:val="single" w:color="000000" w:sz="4" w:space="0"/>
              <w:right w:val="single" w:color="000000" w:sz="4" w:space="0"/>
            </w:tcBorders>
            <w:tcW w:w="399"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2552" w:type="dxa"/>
            <w:vAlign w:val="center"/>
          </w:tcPr>
          <w:p>
            <w:pPr>
              <w:pStyle w:val="12385"/>
              <w:pBdr/>
              <w:spacing/>
              <w:ind/>
              <w:rPr/>
            </w:pPr>
            <w:r>
              <w:rPr>
                <w:rFonts w:ascii="Times New Roman CYR" w:hAnsi="Times New Roman CYR" w:cs="Times New Roman CYR"/>
              </w:rPr>
              <w:t xml:space="preserve">с. Б. Колодезь – школьная</w:t>
            </w:r>
            <w:r/>
          </w:p>
        </w:tc>
        <w:tc>
          <w:tcPr>
            <w:tcBorders>
              <w:top w:val="single" w:color="000000" w:sz="4" w:space="0"/>
              <w:left w:val="single" w:color="000000" w:sz="4" w:space="0"/>
              <w:bottom w:val="single" w:color="000000" w:sz="4" w:space="0"/>
              <w:right w:val="single" w:color="000000" w:sz="4" w:space="0"/>
            </w:tcBorders>
            <w:tcW w:w="2011" w:type="dxa"/>
            <w:vAlign w:val="center"/>
          </w:tcPr>
          <w:p>
            <w:pPr>
              <w:pStyle w:val="12385"/>
              <w:pBdr/>
              <w:spacing/>
              <w:ind/>
              <w:rPr/>
            </w:pPr>
            <w:r>
              <w:t xml:space="preserve">с. Б. Колодезь, ул. Школьная</w:t>
            </w:r>
            <w:r/>
          </w:p>
        </w:tc>
        <w:tc>
          <w:tcPr>
            <w:tcBorders>
              <w:top w:val="single" w:color="000000" w:sz="4" w:space="0"/>
              <w:left w:val="single" w:color="000000" w:sz="4" w:space="0"/>
              <w:bottom w:val="single" w:color="000000" w:sz="4" w:space="0"/>
              <w:right w:val="single" w:color="000000" w:sz="4" w:space="0"/>
            </w:tcBorders>
            <w:tcW w:w="4170" w:type="dxa"/>
            <w:vAlign w:val="center"/>
          </w:tcPr>
          <w:p>
            <w:pPr>
              <w:pStyle w:val="12385"/>
              <w:pBdr/>
              <w:spacing/>
              <w:ind/>
              <w:rPr/>
            </w:pPr>
            <w:r>
              <w:rPr>
                <w:rFonts w:ascii="Times New Roman CYR" w:hAnsi="Times New Roman CYR" w:cs="Times New Roman CYR"/>
              </w:rPr>
              <w:t xml:space="preserve">ООО «АГК»</w:t>
            </w:r>
            <w:r/>
          </w:p>
        </w:tc>
        <w:tc>
          <w:tcPr>
            <w:tcBorders>
              <w:top w:val="single" w:color="000000" w:sz="4" w:space="0"/>
              <w:left w:val="single" w:color="000000" w:sz="4" w:space="0"/>
              <w:bottom w:val="single" w:color="000000" w:sz="4" w:space="0"/>
            </w:tcBorders>
            <w:tcW w:w="3811" w:type="dxa"/>
            <w:vAlign w:val="center"/>
          </w:tcPr>
          <w:p>
            <w:pPr>
              <w:pStyle w:val="12385"/>
              <w:pBdr/>
              <w:spacing/>
              <w:ind/>
              <w:rPr/>
            </w:pPr>
            <w:r>
              <w:rPr>
                <w:rFonts w:ascii="Times New Roman CYR" w:hAnsi="Times New Roman CYR" w:cs="Times New Roman CYR"/>
              </w:rPr>
              <w:t xml:space="preserve">ООО «АГК»</w:t>
            </w: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626" w:type="dxa"/>
            <w:vAlign w:val="center"/>
          </w:tcPr>
          <w:p>
            <w:pPr>
              <w:pStyle w:val="12385"/>
              <w:pBdr/>
              <w:spacing/>
              <w:ind/>
              <w:rPr/>
            </w:pPr>
            <w:r/>
            <w:r/>
          </w:p>
        </w:tc>
      </w:tr>
      <w:tr>
        <w:trPr/>
        <w:tc>
          <w:tcPr>
            <w:tcBorders>
              <w:top w:val="single" w:color="000000" w:sz="4" w:space="0"/>
              <w:left w:val="single" w:color="000000" w:sz="4" w:space="0"/>
              <w:bottom w:val="single" w:color="000000" w:sz="4" w:space="0"/>
              <w:right w:val="single" w:color="000000" w:sz="4" w:space="0"/>
            </w:tcBorders>
            <w:tcW w:w="399"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2552" w:type="dxa"/>
            <w:vAlign w:val="center"/>
          </w:tcPr>
          <w:p>
            <w:pPr>
              <w:pStyle w:val="12385"/>
              <w:pBdr/>
              <w:spacing/>
              <w:ind/>
              <w:rPr/>
            </w:pPr>
            <w:r>
              <w:rPr>
                <w:rFonts w:ascii="Times New Roman CYR" w:hAnsi="Times New Roman CYR" w:cs="Times New Roman CYR"/>
              </w:rPr>
              <w:t xml:space="preserve">д. Ясенки – школьная</w:t>
            </w:r>
            <w:r/>
          </w:p>
        </w:tc>
        <w:tc>
          <w:tcPr>
            <w:tcBorders>
              <w:top w:val="single" w:color="000000" w:sz="4" w:space="0"/>
              <w:left w:val="single" w:color="000000" w:sz="4" w:space="0"/>
              <w:bottom w:val="single" w:color="000000" w:sz="4" w:space="0"/>
              <w:right w:val="single" w:color="000000" w:sz="4" w:space="0"/>
            </w:tcBorders>
            <w:tcW w:w="2011" w:type="dxa"/>
            <w:vAlign w:val="center"/>
          </w:tcPr>
          <w:p>
            <w:pPr>
              <w:pStyle w:val="12385"/>
              <w:pBdr/>
              <w:spacing/>
              <w:ind/>
              <w:rPr/>
            </w:pPr>
            <w:r>
              <w:t xml:space="preserve">д. Ясенки, ул. Центральная, д. 24</w:t>
            </w:r>
            <w:r/>
          </w:p>
        </w:tc>
        <w:tc>
          <w:tcPr>
            <w:tcBorders>
              <w:top w:val="single" w:color="000000" w:sz="4" w:space="0"/>
              <w:left w:val="single" w:color="000000" w:sz="4" w:space="0"/>
              <w:bottom w:val="single" w:color="000000" w:sz="4" w:space="0"/>
              <w:right w:val="single" w:color="000000" w:sz="4" w:space="0"/>
            </w:tcBorders>
            <w:tcW w:w="4170" w:type="dxa"/>
            <w:vAlign w:val="center"/>
          </w:tcPr>
          <w:p>
            <w:pPr>
              <w:pStyle w:val="12385"/>
              <w:pBdr/>
              <w:spacing/>
              <w:ind/>
              <w:rPr/>
            </w:pPr>
            <w:r>
              <w:rPr>
                <w:rFonts w:ascii="Times New Roman CYR" w:hAnsi="Times New Roman CYR" w:cs="Times New Roman CYR"/>
              </w:rPr>
              <w:t xml:space="preserve">ООО «АГК»</w:t>
            </w:r>
            <w:r/>
          </w:p>
        </w:tc>
        <w:tc>
          <w:tcPr>
            <w:tcBorders>
              <w:top w:val="single" w:color="000000" w:sz="4" w:space="0"/>
              <w:left w:val="single" w:color="000000" w:sz="4" w:space="0"/>
              <w:bottom w:val="single" w:color="000000" w:sz="4" w:space="0"/>
            </w:tcBorders>
            <w:tcW w:w="3811" w:type="dxa"/>
            <w:vAlign w:val="center"/>
          </w:tcPr>
          <w:p>
            <w:pPr>
              <w:pStyle w:val="12385"/>
              <w:pBdr/>
              <w:spacing/>
              <w:ind/>
              <w:rPr/>
            </w:pPr>
            <w:r>
              <w:rPr>
                <w:rFonts w:ascii="Times New Roman CYR" w:hAnsi="Times New Roman CYR" w:cs="Times New Roman CYR"/>
              </w:rPr>
              <w:t xml:space="preserve">ООО «АГК»</w:t>
            </w: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626" w:type="dxa"/>
            <w:vAlign w:val="center"/>
          </w:tcPr>
          <w:p>
            <w:pPr>
              <w:pStyle w:val="12385"/>
              <w:pBdr/>
              <w:spacing/>
              <w:ind/>
              <w:rPr/>
            </w:pPr>
            <w:r/>
            <w:r/>
          </w:p>
        </w:tc>
      </w:tr>
    </w:tbl>
    <w:p>
      <w:pPr>
        <w:pStyle w:val="10533"/>
        <w:widowControl w:val="false"/>
        <w:pBdr/>
        <w:tabs>
          <w:tab w:val="left" w:leader="none" w:pos="441"/>
          <w:tab w:val="clear" w:leader="none" w:pos="708"/>
          <w:tab w:val="left" w:leader="none" w:pos="3102"/>
          <w:tab w:val="left" w:leader="none" w:pos="4942"/>
          <w:tab w:val="left" w:leader="none" w:pos="9457"/>
          <w:tab w:val="left" w:leader="none" w:pos="13577"/>
        </w:tabs>
        <w:spacing/>
        <w:ind w:left="16"/>
        <w:rPr>
          <w:rFonts w:eastAsia="SimSun"/>
          <w:sz w:val="20"/>
          <w:szCs w:val="20"/>
          <w:lang w:eastAsia="ru-RU"/>
        </w:rPr>
      </w:pPr>
      <w:r>
        <w:rPr>
          <w:rFonts w:eastAsia="SimSun"/>
          <w:sz w:val="20"/>
          <w:szCs w:val="20"/>
          <w:lang w:eastAsia="ru-RU"/>
        </w:rPr>
        <w:tab/>
        <w:tab/>
        <w:tab/>
        <w:tab/>
        <w:tab/>
      </w:r>
      <w:r>
        <w:rPr>
          <w:rFonts w:eastAsia="SimSun"/>
          <w:sz w:val="20"/>
          <w:szCs w:val="20"/>
          <w:lang w:eastAsia="ru-RU"/>
        </w:rPr>
      </w:r>
    </w:p>
    <w:p>
      <w:pPr>
        <w:pStyle w:val="12960"/>
        <w:pBdr/>
        <w:spacing/>
        <w:ind/>
        <w:rPr>
          <w:b/>
          <w:bCs w:val="0"/>
        </w:rPr>
      </w:pPr>
      <w:r>
        <w:rPr>
          <w:b/>
          <w:bCs w:val="0"/>
        </w:rPr>
      </w:r>
      <w:r>
        <w:rPr>
          <w:b/>
          <w:bCs w:val="0"/>
        </w:rPr>
      </w:r>
    </w:p>
    <w:p>
      <w:pPr>
        <w:pStyle w:val="12960"/>
        <w:pBdr/>
        <w:spacing/>
        <w:ind/>
        <w:rPr>
          <w:b/>
          <w:bCs w:val="0"/>
        </w:rPr>
      </w:pPr>
      <w:r>
        <w:rPr>
          <w:b/>
          <w:bCs w:val="0"/>
        </w:rPr>
        <w:t xml:space="preserve">Таблица 1.2.1.2 – Состав и технические характеристики основного оборудования котельных 2025 году</w:t>
      </w:r>
      <w:r>
        <w:rPr>
          <w:b/>
          <w:bCs w:val="0"/>
        </w:rPr>
      </w:r>
    </w:p>
    <w:tbl>
      <w:tblPr>
        <w:jc w:val="center"/>
        <w:tblInd w:w="0" w:type="dxa"/>
        <w:tblW w:w="5000" w:type="pct"/>
        <w:tblCellMar>
          <w:left w:w="28" w:type="dxa"/>
          <w:top w:w="0" w:type="dxa"/>
          <w:right w:w="28" w:type="dxa"/>
          <w:bottom w:w="0" w:type="dxa"/>
        </w:tblCellMar>
        <w:tblBorders/>
        <w:tblLayout w:type="fixed"/>
        <w:tblpPr w:horzAnchor="page" w:tblpXSpec="center" w:vertAnchor="text" w:tblpY="-50" w:leftFromText="180" w:topFromText="0" w:rightFromText="180" w:bottomFromText="0"/>
        <w:tblLook w:val="0000" w:firstRow="0" w:lastRow="0" w:firstColumn="0" w:lastColumn="0" w:noHBand="0" w:noVBand="0"/>
      </w:tblPr>
      <w:tblGrid>
        <w:gridCol w:w="720"/>
        <w:gridCol w:w="1469"/>
        <w:gridCol w:w="1358"/>
        <w:gridCol w:w="1208"/>
        <w:gridCol w:w="1276"/>
        <w:gridCol w:w="1309"/>
        <w:gridCol w:w="1349"/>
        <w:gridCol w:w="1606"/>
        <w:gridCol w:w="1253"/>
        <w:gridCol w:w="1398"/>
        <w:gridCol w:w="1622"/>
      </w:tblGrid>
      <w:tr>
        <w:trPr>
          <w:trHeight w:val="132"/>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 </w:t>
            </w:r>
            <w:r>
              <w:t xml:space="preserve">п/п</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w:t>
            </w:r>
            <w:r>
              <w:t xml:space="preserve">, адрес котельной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Тип котла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Кол-во котлов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Год установки котла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Мощность котла, Гкал/ч</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Мощность котельной, Гкал/ч</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Удельный расход топлива по котлам, кг у.т./ Гкал</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КПД котлов, %</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Удельный расход топлива по котельной, кг у.т./Гкал</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Дата обследования котлов</w:t>
            </w:r>
            <w:r/>
          </w:p>
        </w:tc>
      </w:tr>
      <w:tr>
        <w:trPr/>
        <w:tc>
          <w:tcPr>
            <w:gridSpan w:val="11"/>
            <w:tcBorders>
              <w:top w:val="single" w:color="000000" w:sz="4" w:space="0"/>
              <w:left w:val="single" w:color="000000" w:sz="4" w:space="0"/>
              <w:bottom w:val="single" w:color="000000" w:sz="4" w:space="0"/>
              <w:right w:val="single" w:color="000000" w:sz="4" w:space="0"/>
            </w:tcBorders>
            <w:tcW w:w="14568" w:type="dxa"/>
            <w:vAlign w:val="center"/>
          </w:tcPr>
          <w:p>
            <w:pPr>
              <w:pStyle w:val="12385"/>
              <w:pBdr/>
              <w:spacing/>
              <w:ind/>
              <w:rPr/>
            </w:pPr>
            <w:r>
              <w:t xml:space="preserve">Основное топливо - природный газ</w:t>
            </w:r>
            <w:r/>
          </w:p>
        </w:tc>
      </w:tr>
      <w:tr>
        <w:trPr/>
        <w:tc>
          <w:tcPr>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Котельная №5</w:t>
            </w:r>
            <w:r/>
          </w:p>
          <w:p>
            <w:pPr>
              <w:pStyle w:val="12385"/>
              <w:pBdr/>
              <w:spacing/>
              <w:ind/>
              <w:rPr/>
            </w:pPr>
            <w:r>
              <w:t xml:space="preserve">Арсеньевский р-н, н.п. Ясенки, ул. Центральная 24</w:t>
            </w:r>
            <w:r/>
          </w:p>
        </w:tc>
        <w:tc>
          <w:tcPr>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Prothermgrizzly 100 klor</w:t>
            </w:r>
            <w:r/>
          </w:p>
        </w:tc>
        <w:tc>
          <w:tcPr>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2007</w:t>
            </w:r>
            <w:r/>
          </w:p>
        </w:tc>
        <w:tc>
          <w:tcPr>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0,085</w:t>
            </w:r>
            <w:r/>
          </w:p>
        </w:tc>
        <w:tc>
          <w:tcPr>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0,172</w:t>
            </w:r>
            <w:r/>
          </w:p>
        </w:tc>
        <w:tc>
          <w:tcPr>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157,2</w:t>
            </w:r>
            <w:r/>
          </w:p>
        </w:tc>
        <w:tc>
          <w:tcPr>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89,26</w:t>
            </w:r>
            <w:r/>
          </w:p>
        </w:tc>
        <w:tc>
          <w:tcPr>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160,05</w:t>
            </w:r>
            <w:r/>
          </w:p>
        </w:tc>
        <w:tc>
          <w:tcPr>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08.2025</w:t>
            </w:r>
            <w:r/>
          </w:p>
        </w:tc>
      </w:tr>
      <w:tr>
        <w:trPr/>
        <w:tc>
          <w:tcPr>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Котельная №6</w:t>
            </w:r>
            <w:r/>
          </w:p>
          <w:p>
            <w:pPr>
              <w:pStyle w:val="12385"/>
              <w:pBdr/>
              <w:spacing/>
              <w:ind/>
              <w:rPr/>
            </w:pPr>
            <w:r>
              <w:t xml:space="preserve">Арсеньевский р-н, н.п. Первомайский, Школьная 3а</w:t>
            </w:r>
            <w:r/>
          </w:p>
        </w:tc>
        <w:tc>
          <w:tcPr>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ПВ-100</w:t>
            </w:r>
            <w:r/>
          </w:p>
        </w:tc>
        <w:tc>
          <w:tcPr>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4</w:t>
            </w:r>
            <w:r/>
          </w:p>
        </w:tc>
        <w:tc>
          <w:tcPr>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2022,2007</w:t>
            </w:r>
            <w:r/>
          </w:p>
        </w:tc>
        <w:tc>
          <w:tcPr>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0,085</w:t>
            </w:r>
            <w:r/>
          </w:p>
        </w:tc>
        <w:tc>
          <w:tcPr>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0,344</w:t>
            </w:r>
            <w:r/>
          </w:p>
        </w:tc>
        <w:tc>
          <w:tcPr>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155,4</w:t>
            </w:r>
            <w:r/>
          </w:p>
        </w:tc>
        <w:tc>
          <w:tcPr>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92,02</w:t>
            </w:r>
            <w:r/>
          </w:p>
        </w:tc>
        <w:tc>
          <w:tcPr>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155,25</w:t>
            </w:r>
            <w:r/>
          </w:p>
        </w:tc>
        <w:tc>
          <w:tcPr>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08.2025</w:t>
            </w:r>
            <w:r/>
          </w:p>
        </w:tc>
      </w:tr>
      <w:tr>
        <w:trPr/>
        <w:tc>
          <w:tcPr>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Котельная №7</w:t>
            </w:r>
            <w:r/>
          </w:p>
          <w:p>
            <w:pPr>
              <w:pStyle w:val="12385"/>
              <w:pBdr/>
              <w:spacing/>
              <w:ind/>
              <w:rPr/>
            </w:pPr>
            <w:r>
              <w:t xml:space="preserve">Арсеньевский р-н, н.с. Белый Колодезь, ул. Школьная 24</w:t>
            </w:r>
            <w:r/>
          </w:p>
        </w:tc>
        <w:tc>
          <w:tcPr>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Хопер-100</w:t>
            </w:r>
            <w:r/>
          </w:p>
        </w:tc>
        <w:tc>
          <w:tcPr>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2014, 2015</w:t>
            </w:r>
            <w:r/>
          </w:p>
        </w:tc>
        <w:tc>
          <w:tcPr>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0,085</w:t>
            </w:r>
            <w:r/>
          </w:p>
        </w:tc>
        <w:tc>
          <w:tcPr>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0,172</w:t>
            </w:r>
            <w:r/>
          </w:p>
        </w:tc>
        <w:tc>
          <w:tcPr>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165,9</w:t>
            </w:r>
            <w:r/>
          </w:p>
        </w:tc>
        <w:tc>
          <w:tcPr>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84,45</w:t>
            </w:r>
            <w:r/>
          </w:p>
        </w:tc>
        <w:tc>
          <w:tcPr>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169,17</w:t>
            </w:r>
            <w:r/>
          </w:p>
        </w:tc>
        <w:tc>
          <w:tcPr>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08.2025</w:t>
            </w:r>
            <w:r/>
          </w:p>
        </w:tc>
      </w:tr>
    </w:tbl>
    <w:p>
      <w:pPr>
        <w:pStyle w:val="12960"/>
        <w:pBdr/>
        <w:spacing/>
        <w:ind/>
        <w:rPr>
          <w:b/>
          <w:bCs w:val="0"/>
        </w:rPr>
      </w:pPr>
      <w:r>
        <w:rPr>
          <w:b/>
          <w:bCs w:val="0"/>
        </w:rPr>
      </w:r>
      <w:r>
        <w:rPr>
          <w:b/>
          <w:bCs w:val="0"/>
        </w:rPr>
      </w:r>
    </w:p>
    <w:p>
      <w:pPr>
        <w:pStyle w:val="12960"/>
        <w:pBdr/>
        <w:spacing/>
        <w:ind/>
        <w:rPr>
          <w:b/>
          <w:bCs w:val="0"/>
        </w:rPr>
      </w:pPr>
      <w:r>
        <w:rPr>
          <w:b/>
          <w:bCs w:val="0"/>
        </w:rPr>
      </w:r>
      <w:r>
        <w:rPr>
          <w:b/>
          <w:bCs w:val="0"/>
        </w:rPr>
      </w:r>
    </w:p>
    <w:p>
      <w:pPr>
        <w:pStyle w:val="12960"/>
        <w:pBdr/>
        <w:spacing/>
        <w:ind/>
        <w:rPr>
          <w:color w:val="000000"/>
        </w:rPr>
      </w:pPr>
      <w:r>
        <w:rPr>
          <w:b/>
          <w:bCs w:val="0"/>
          <w:color w:val="000000"/>
        </w:rPr>
        <w:t xml:space="preserve">Таблица 1.2.1.3 – Информация по дополнительным источникам электроснабжения на котельных, отапливающих жилье и объекты соцсферы</w:t>
      </w:r>
      <w:r>
        <w:rPr>
          <w:color w:val="000000"/>
        </w:rPr>
      </w:r>
    </w:p>
    <w:tbl>
      <w:tblPr>
        <w:jc w:val="center"/>
        <w:tblInd w:w="0" w:type="dxa"/>
        <w:tblW w:w="5000" w:type="pct"/>
        <w:tblCellMar>
          <w:left w:w="108" w:type="dxa"/>
          <w:top w:w="0" w:type="dxa"/>
          <w:right w:w="108" w:type="dxa"/>
          <w:bottom w:w="0" w:type="dxa"/>
        </w:tblCellMar>
        <w:tblBorders/>
        <w:tblLayout w:type="fixed"/>
        <w:tblpPr w:horzAnchor="margin" w:tblpXSpec="center" w:vertAnchor="text" w:tblpY="122" w:leftFromText="180" w:topFromText="0" w:rightFromText="180" w:bottomFromText="0"/>
        <w:tblLook w:val="00A0" w:firstRow="1" w:lastRow="0" w:firstColumn="1" w:lastColumn="0" w:noHBand="0" w:noVBand="0"/>
      </w:tblPr>
      <w:tblGrid>
        <w:gridCol w:w="598"/>
        <w:gridCol w:w="1830"/>
        <w:gridCol w:w="1468"/>
        <w:gridCol w:w="1684"/>
        <w:gridCol w:w="1535"/>
        <w:gridCol w:w="1382"/>
        <w:gridCol w:w="1307"/>
        <w:gridCol w:w="1526"/>
        <w:gridCol w:w="1082"/>
        <w:gridCol w:w="1079"/>
        <w:gridCol w:w="107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98" w:type="dxa"/>
            <w:vAlign w:val="center"/>
          </w:tcPr>
          <w:p>
            <w:pPr>
              <w:pStyle w:val="12385"/>
              <w:pBdr/>
              <w:spacing/>
              <w:ind/>
              <w:rPr>
                <w:color w:val="000000"/>
              </w:rPr>
            </w:pPr>
            <w:r>
              <w:rPr>
                <w:color w:val="000000"/>
              </w:rPr>
              <w:t xml:space="preserve">№ </w:t>
            </w:r>
            <w:r>
              <w:rPr>
                <w:color w:val="000000"/>
              </w:rPr>
              <w:t xml:space="preserve">п/п</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30" w:type="dxa"/>
            <w:vAlign w:val="center"/>
          </w:tcPr>
          <w:p>
            <w:pPr>
              <w:pStyle w:val="12385"/>
              <w:pBdr/>
              <w:spacing/>
              <w:ind/>
              <w:rPr>
                <w:color w:val="000000"/>
              </w:rPr>
            </w:pPr>
            <w:r>
              <w:rPr>
                <w:color w:val="000000"/>
              </w:rPr>
              <w:t xml:space="preserve">Собственник РИСЭЭ (наименование учреждения,</w:t>
            </w:r>
            <w:r>
              <w:rPr>
                <w:color w:val="000000"/>
              </w:rPr>
            </w:r>
          </w:p>
          <w:p>
            <w:pPr>
              <w:pStyle w:val="12385"/>
              <w:pBdr/>
              <w:spacing/>
              <w:ind/>
              <w:rPr>
                <w:color w:val="000000"/>
              </w:rPr>
            </w:pPr>
            <w:r>
              <w:rPr>
                <w:color w:val="000000"/>
              </w:rPr>
              <w:t xml:space="preserve">организации, где хранится РИСЭЭ)*</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68" w:type="dxa"/>
            <w:vAlign w:val="center"/>
          </w:tcPr>
          <w:p>
            <w:pPr>
              <w:pStyle w:val="12385"/>
              <w:pBdr/>
              <w:spacing/>
              <w:ind/>
              <w:rPr>
                <w:color w:val="000000"/>
              </w:rPr>
            </w:pPr>
            <w:r>
              <w:rPr>
                <w:color w:val="000000"/>
              </w:rPr>
              <w:t xml:space="preserve">Место нахождения</w:t>
            </w:r>
            <w:r>
              <w:rPr>
                <w:color w:val="000000"/>
              </w:rPr>
            </w:r>
          </w:p>
          <w:p>
            <w:pPr>
              <w:pStyle w:val="12385"/>
              <w:pBdr/>
              <w:spacing/>
              <w:ind/>
              <w:rPr>
                <w:color w:val="000000"/>
              </w:rPr>
            </w:pPr>
            <w:r>
              <w:rPr>
                <w:color w:val="000000"/>
              </w:rPr>
              <w:t xml:space="preserve">РИСЭЭ (адрес, телефон)</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84" w:type="dxa"/>
            <w:vAlign w:val="center"/>
          </w:tcPr>
          <w:p>
            <w:pPr>
              <w:pStyle w:val="12385"/>
              <w:pBdr/>
              <w:spacing/>
              <w:ind/>
              <w:rPr>
                <w:color w:val="000000"/>
              </w:rPr>
            </w:pPr>
            <w:r>
              <w:rPr>
                <w:color w:val="000000"/>
              </w:rPr>
              <w:t xml:space="preserve">Лицо, ответственное за эксплуатацию РИСЭЭ (контактные данные)</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35" w:type="dxa"/>
            <w:vAlign w:val="center"/>
          </w:tcPr>
          <w:p>
            <w:pPr>
              <w:pStyle w:val="12385"/>
              <w:pBdr/>
              <w:spacing/>
              <w:ind/>
              <w:rPr>
                <w:color w:val="000000"/>
              </w:rPr>
            </w:pPr>
            <w:r>
              <w:rPr>
                <w:color w:val="000000"/>
              </w:rPr>
              <w:t xml:space="preserve">Модель (марка) РИСЭЭ</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82" w:type="dxa"/>
            <w:vAlign w:val="center"/>
          </w:tcPr>
          <w:p>
            <w:pPr>
              <w:pStyle w:val="12385"/>
              <w:pBdr/>
              <w:spacing/>
              <w:ind/>
              <w:rPr>
                <w:color w:val="000000"/>
              </w:rPr>
            </w:pPr>
            <w:r>
              <w:rPr>
                <w:color w:val="000000"/>
              </w:rPr>
              <w:t xml:space="preserve">Мощность</w:t>
            </w:r>
            <w:r>
              <w:rPr>
                <w:color w:val="000000"/>
              </w:rPr>
            </w:r>
          </w:p>
          <w:p>
            <w:pPr>
              <w:pStyle w:val="12385"/>
              <w:pBdr/>
              <w:spacing/>
              <w:ind/>
              <w:rPr>
                <w:color w:val="000000"/>
              </w:rPr>
            </w:pPr>
            <w:r>
              <w:rPr>
                <w:color w:val="000000"/>
              </w:rPr>
              <w:t xml:space="preserve">РИСЭЭ, кВт</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07" w:type="dxa"/>
            <w:vAlign w:val="center"/>
          </w:tcPr>
          <w:p>
            <w:pPr>
              <w:pStyle w:val="12385"/>
              <w:pBdr/>
              <w:spacing/>
              <w:ind/>
              <w:rPr>
                <w:color w:val="000000"/>
              </w:rPr>
            </w:pPr>
            <w:r>
              <w:rPr>
                <w:color w:val="000000"/>
              </w:rPr>
              <w:t xml:space="preserve">Техническое</w:t>
            </w:r>
            <w:r>
              <w:rPr>
                <w:color w:val="000000"/>
                <w:lang w:val="en-US"/>
              </w:rPr>
              <w:t xml:space="preserve"> </w:t>
            </w:r>
            <w:r>
              <w:rPr>
                <w:color w:val="000000"/>
              </w:rPr>
              <w:t xml:space="preserve">состояние</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26" w:type="dxa"/>
            <w:vAlign w:val="center"/>
          </w:tcPr>
          <w:p>
            <w:pPr>
              <w:pStyle w:val="12385"/>
              <w:pBdr/>
              <w:spacing/>
              <w:ind/>
              <w:rPr>
                <w:color w:val="000000"/>
              </w:rPr>
            </w:pPr>
            <w:r>
              <w:rPr>
                <w:color w:val="000000"/>
              </w:rPr>
              <w:t xml:space="preserve">Тип (передвижной/</w:t>
            </w:r>
            <w:r>
              <w:rPr>
                <w:color w:val="000000"/>
              </w:rPr>
            </w:r>
          </w:p>
          <w:p>
            <w:pPr>
              <w:pStyle w:val="12385"/>
              <w:pBdr/>
              <w:spacing/>
              <w:ind/>
              <w:rPr>
                <w:color w:val="000000"/>
              </w:rPr>
            </w:pPr>
            <w:r>
              <w:rPr>
                <w:color w:val="000000"/>
              </w:rPr>
              <w:t xml:space="preserve">стационарный)</w:t>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82" w:type="dxa"/>
            <w:vAlign w:val="center"/>
          </w:tcPr>
          <w:p>
            <w:pPr>
              <w:pStyle w:val="12385"/>
              <w:pBdr/>
              <w:spacing/>
              <w:ind/>
              <w:rPr>
                <w:color w:val="000000"/>
              </w:rPr>
            </w:pPr>
            <w:r>
              <w:rPr>
                <w:color w:val="000000"/>
              </w:rPr>
              <w:t xml:space="preserve">Год выпуска</w:t>
            </w:r>
            <w:r>
              <w:rPr>
                <w:color w:val="000000"/>
              </w:rPr>
            </w:r>
          </w:p>
          <w:p>
            <w:pPr>
              <w:pStyle w:val="12385"/>
              <w:pBdr/>
              <w:spacing/>
              <w:ind/>
              <w:rPr>
                <w:color w:val="000000"/>
              </w:rPr>
            </w:pPr>
            <w:r>
              <w:rPr>
                <w:color w:val="000000"/>
              </w:rPr>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79" w:type="dxa"/>
            <w:vAlign w:val="center"/>
          </w:tcPr>
          <w:p>
            <w:pPr>
              <w:pStyle w:val="12385"/>
              <w:pBdr/>
              <w:spacing/>
              <w:ind/>
              <w:rPr>
                <w:color w:val="000000"/>
              </w:rPr>
            </w:pPr>
            <w:r>
              <w:rPr>
                <w:color w:val="000000"/>
              </w:rPr>
              <w:t xml:space="preserve">Марка топлива</w:t>
            </w:r>
            <w:r>
              <w:rPr>
                <w:color w:val="000000"/>
              </w:rPr>
            </w:r>
          </w:p>
          <w:p>
            <w:pPr>
              <w:pStyle w:val="12385"/>
              <w:pBdr/>
              <w:spacing/>
              <w:ind/>
              <w:rPr>
                <w:color w:val="000000"/>
              </w:rPr>
            </w:pPr>
            <w:r>
              <w:rPr>
                <w:color w:val="000000"/>
              </w:rPr>
            </w:r>
            <w:r>
              <w:rPr>
                <w:color w:val="00000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77" w:type="dxa"/>
            <w:vAlign w:val="center"/>
          </w:tcPr>
          <w:p>
            <w:pPr>
              <w:pStyle w:val="12385"/>
              <w:pBdr/>
              <w:spacing/>
              <w:ind/>
              <w:rPr>
                <w:color w:val="000000"/>
              </w:rPr>
            </w:pPr>
            <w:r>
              <w:rPr>
                <w:color w:val="000000"/>
              </w:rPr>
              <w:t xml:space="preserve">Наличие топлива</w:t>
            </w:r>
            <w:r>
              <w:rPr>
                <w:color w:val="000000"/>
              </w:rPr>
            </w:r>
          </w:p>
        </w:tc>
      </w:tr>
      <w:tr>
        <w:trPr>
          <w:trHeight w:val="20"/>
        </w:trPr>
        <w:tc>
          <w:tcPr>
            <w:tcBorders>
              <w:top w:val="single" w:color="000000" w:sz="4" w:space="0"/>
              <w:left w:val="single" w:color="000000" w:sz="4" w:space="0"/>
              <w:bottom w:val="single" w:color="000000" w:sz="4" w:space="0"/>
              <w:right w:val="single" w:color="000000" w:sz="4" w:space="0"/>
            </w:tcBorders>
            <w:tcW w:w="598" w:type="dxa"/>
            <w:vAlign w:val="center"/>
          </w:tcPr>
          <w:p>
            <w:pPr>
              <w:pStyle w:val="12385"/>
              <w:pBdr/>
              <w:spacing/>
              <w:ind/>
              <w:rPr>
                <w:color w:val="000000"/>
              </w:rPr>
            </w:pPr>
            <w:r>
              <w:rPr>
                <w:color w:val="000000"/>
              </w:rPr>
              <w:t xml:space="preserve">1</w:t>
            </w:r>
            <w:r>
              <w:rPr>
                <w:color w:val="000000"/>
              </w:rPr>
            </w:r>
          </w:p>
        </w:tc>
        <w:tc>
          <w:tcPr>
            <w:tcBorders>
              <w:top w:val="single" w:color="000000" w:sz="4" w:space="0"/>
              <w:left w:val="single" w:color="000000" w:sz="4" w:space="0"/>
              <w:bottom w:val="single" w:color="000000" w:sz="4" w:space="0"/>
              <w:right w:val="single" w:color="000000" w:sz="4" w:space="0"/>
            </w:tcBorders>
            <w:tcW w:w="1830" w:type="dxa"/>
            <w:vAlign w:val="center"/>
          </w:tcPr>
          <w:p>
            <w:pPr>
              <w:pStyle w:val="12385"/>
              <w:pBdr/>
              <w:spacing/>
              <w:ind/>
              <w:rPr>
                <w:color w:val="000000"/>
              </w:rPr>
            </w:pPr>
            <w:r>
              <w:rPr>
                <w:color w:val="000000"/>
              </w:rPr>
              <w:t xml:space="preserve">2</w:t>
            </w:r>
            <w:r>
              <w:rPr>
                <w:color w:val="000000"/>
              </w:rPr>
            </w:r>
          </w:p>
        </w:tc>
        <w:tc>
          <w:tcPr>
            <w:tcBorders>
              <w:top w:val="single" w:color="000000" w:sz="4" w:space="0"/>
              <w:left w:val="single" w:color="000000" w:sz="4" w:space="0"/>
              <w:bottom w:val="single" w:color="000000" w:sz="4" w:space="0"/>
              <w:right w:val="single" w:color="000000" w:sz="4" w:space="0"/>
            </w:tcBorders>
            <w:tcW w:w="1468" w:type="dxa"/>
            <w:vAlign w:val="center"/>
          </w:tcPr>
          <w:p>
            <w:pPr>
              <w:pStyle w:val="12385"/>
              <w:pBdr/>
              <w:spacing/>
              <w:ind/>
              <w:rPr>
                <w:color w:val="000000"/>
              </w:rPr>
            </w:pPr>
            <w:r>
              <w:rPr>
                <w:color w:val="000000"/>
              </w:rPr>
              <w:t xml:space="preserve">3</w:t>
            </w:r>
            <w:r>
              <w:rPr>
                <w:color w:val="000000"/>
              </w:rPr>
            </w:r>
          </w:p>
        </w:tc>
        <w:tc>
          <w:tcPr>
            <w:tcBorders>
              <w:top w:val="single" w:color="000000" w:sz="4" w:space="0"/>
              <w:left w:val="single" w:color="000000" w:sz="4" w:space="0"/>
              <w:bottom w:val="single" w:color="000000" w:sz="4" w:space="0"/>
              <w:right w:val="single" w:color="000000" w:sz="4" w:space="0"/>
            </w:tcBorders>
            <w:tcW w:w="1684" w:type="dxa"/>
            <w:vAlign w:val="center"/>
          </w:tcPr>
          <w:p>
            <w:pPr>
              <w:pStyle w:val="12385"/>
              <w:pBdr/>
              <w:spacing/>
              <w:ind/>
              <w:rPr>
                <w:color w:val="000000"/>
              </w:rPr>
            </w:pPr>
            <w:r>
              <w:rPr>
                <w:color w:val="000000"/>
              </w:rPr>
              <w:t xml:space="preserve">4</w:t>
            </w:r>
            <w:r>
              <w:rPr>
                <w:color w:val="000000"/>
              </w:rPr>
            </w:r>
          </w:p>
        </w:tc>
        <w:tc>
          <w:tcPr>
            <w:tcBorders>
              <w:top w:val="single" w:color="000000" w:sz="4" w:space="0"/>
              <w:left w:val="single" w:color="000000" w:sz="4" w:space="0"/>
              <w:bottom w:val="single" w:color="000000" w:sz="4" w:space="0"/>
              <w:right w:val="single" w:color="000000" w:sz="4" w:space="0"/>
            </w:tcBorders>
            <w:tcW w:w="1535" w:type="dxa"/>
            <w:vAlign w:val="center"/>
          </w:tcPr>
          <w:p>
            <w:pPr>
              <w:pStyle w:val="12385"/>
              <w:pBdr/>
              <w:spacing/>
              <w:ind/>
              <w:rPr>
                <w:color w:val="000000"/>
              </w:rPr>
            </w:pPr>
            <w:r>
              <w:rPr>
                <w:color w:val="000000"/>
              </w:rPr>
              <w:t xml:space="preserve">5</w:t>
            </w:r>
            <w:r>
              <w:rPr>
                <w:color w:val="000000"/>
              </w:rPr>
            </w:r>
          </w:p>
        </w:tc>
        <w:tc>
          <w:tcPr>
            <w:tcBorders>
              <w:top w:val="single" w:color="000000" w:sz="4" w:space="0"/>
              <w:left w:val="single" w:color="000000" w:sz="4" w:space="0"/>
              <w:bottom w:val="single" w:color="000000" w:sz="4" w:space="0"/>
              <w:right w:val="single" w:color="000000" w:sz="4" w:space="0"/>
            </w:tcBorders>
            <w:tcW w:w="1382" w:type="dxa"/>
            <w:vAlign w:val="center"/>
          </w:tcPr>
          <w:p>
            <w:pPr>
              <w:pStyle w:val="12385"/>
              <w:pBdr/>
              <w:spacing/>
              <w:ind/>
              <w:rPr>
                <w:color w:val="000000"/>
              </w:rPr>
            </w:pPr>
            <w:r>
              <w:rPr>
                <w:color w:val="000000"/>
              </w:rPr>
              <w:t xml:space="preserve">6</w:t>
            </w:r>
            <w:r>
              <w:rPr>
                <w:color w:val="000000"/>
              </w:rPr>
            </w:r>
          </w:p>
        </w:tc>
        <w:tc>
          <w:tcPr>
            <w:tcBorders>
              <w:top w:val="single" w:color="000000" w:sz="4" w:space="0"/>
              <w:left w:val="single" w:color="000000" w:sz="4" w:space="0"/>
              <w:bottom w:val="single" w:color="000000" w:sz="4" w:space="0"/>
              <w:right w:val="single" w:color="000000" w:sz="4" w:space="0"/>
            </w:tcBorders>
            <w:tcW w:w="1307" w:type="dxa"/>
            <w:vAlign w:val="center"/>
          </w:tcPr>
          <w:p>
            <w:pPr>
              <w:pStyle w:val="12385"/>
              <w:pBdr/>
              <w:spacing/>
              <w:ind/>
              <w:rPr>
                <w:color w:val="000000"/>
              </w:rPr>
            </w:pPr>
            <w:r>
              <w:rPr>
                <w:color w:val="000000"/>
              </w:rPr>
              <w:t xml:space="preserve">7</w:t>
            </w:r>
            <w:r>
              <w:rPr>
                <w:color w:val="000000"/>
              </w:rPr>
            </w:r>
          </w:p>
        </w:tc>
        <w:tc>
          <w:tcPr>
            <w:tcBorders>
              <w:top w:val="single" w:color="000000" w:sz="4" w:space="0"/>
              <w:left w:val="single" w:color="000000" w:sz="4" w:space="0"/>
              <w:bottom w:val="single" w:color="000000" w:sz="4" w:space="0"/>
              <w:right w:val="single" w:color="000000" w:sz="4" w:space="0"/>
            </w:tcBorders>
            <w:tcW w:w="1526" w:type="dxa"/>
            <w:vAlign w:val="center"/>
          </w:tcPr>
          <w:p>
            <w:pPr>
              <w:pStyle w:val="12385"/>
              <w:pBdr/>
              <w:spacing/>
              <w:ind/>
              <w:rPr>
                <w:color w:val="000000"/>
              </w:rPr>
            </w:pPr>
            <w:r>
              <w:rPr>
                <w:color w:val="000000"/>
              </w:rPr>
              <w:t xml:space="preserve">8</w:t>
            </w:r>
            <w:r>
              <w:rPr>
                <w:color w:val="000000"/>
              </w:rPr>
            </w:r>
          </w:p>
        </w:tc>
        <w:tc>
          <w:tcPr>
            <w:tcBorders>
              <w:top w:val="single" w:color="000000" w:sz="4" w:space="0"/>
              <w:left w:val="single" w:color="000000" w:sz="4" w:space="0"/>
              <w:bottom w:val="single" w:color="000000" w:sz="4" w:space="0"/>
              <w:right w:val="single" w:color="000000" w:sz="4" w:space="0"/>
            </w:tcBorders>
            <w:tcW w:w="1082" w:type="dxa"/>
            <w:vAlign w:val="center"/>
          </w:tcPr>
          <w:p>
            <w:pPr>
              <w:pStyle w:val="12385"/>
              <w:pBdr/>
              <w:spacing/>
              <w:ind/>
              <w:rPr>
                <w:color w:val="000000"/>
              </w:rPr>
            </w:pPr>
            <w:r>
              <w:rPr>
                <w:color w:val="000000"/>
              </w:rPr>
              <w:t xml:space="preserve">9</w:t>
            </w:r>
            <w:r>
              <w:rPr>
                <w:color w:val="000000"/>
              </w:rPr>
            </w:r>
          </w:p>
        </w:tc>
        <w:tc>
          <w:tcPr>
            <w:tcBorders>
              <w:top w:val="single" w:color="000000" w:sz="4" w:space="0"/>
              <w:left w:val="single" w:color="000000" w:sz="4" w:space="0"/>
              <w:bottom w:val="single" w:color="000000" w:sz="4" w:space="0"/>
              <w:right w:val="single" w:color="000000" w:sz="4" w:space="0"/>
            </w:tcBorders>
            <w:tcW w:w="1079" w:type="dxa"/>
            <w:vAlign w:val="center"/>
          </w:tcPr>
          <w:p>
            <w:pPr>
              <w:pStyle w:val="12385"/>
              <w:pBdr/>
              <w:spacing/>
              <w:ind/>
              <w:rPr>
                <w:color w:val="000000"/>
              </w:rPr>
            </w:pPr>
            <w:r>
              <w:rPr>
                <w:color w:val="000000"/>
              </w:rPr>
              <w:t xml:space="preserve">10</w:t>
            </w:r>
            <w:r>
              <w:rPr>
                <w:color w:val="000000"/>
              </w:rPr>
            </w:r>
          </w:p>
        </w:tc>
        <w:tc>
          <w:tcPr>
            <w:tcBorders>
              <w:top w:val="single" w:color="000000" w:sz="4" w:space="0"/>
              <w:left w:val="single" w:color="000000" w:sz="4" w:space="0"/>
              <w:bottom w:val="single" w:color="000000" w:sz="4" w:space="0"/>
              <w:right w:val="single" w:color="000000" w:sz="4" w:space="0"/>
            </w:tcBorders>
            <w:tcW w:w="1077" w:type="dxa"/>
            <w:vAlign w:val="center"/>
          </w:tcPr>
          <w:p>
            <w:pPr>
              <w:pStyle w:val="12385"/>
              <w:pBdr/>
              <w:spacing/>
              <w:ind/>
              <w:rPr>
                <w:color w:val="000000"/>
              </w:rPr>
            </w:pPr>
            <w:r>
              <w:rPr>
                <w:color w:val="000000"/>
              </w:rPr>
              <w:t xml:space="preserve">11</w:t>
            </w:r>
            <w:r>
              <w:rPr>
                <w:color w:val="000000"/>
              </w:rPr>
            </w:r>
          </w:p>
        </w:tc>
      </w:tr>
      <w:tr>
        <w:trPr>
          <w:trHeight w:val="20"/>
        </w:trPr>
        <w:tc>
          <w:tcPr>
            <w:tcBorders>
              <w:top w:val="single" w:color="000000" w:sz="4" w:space="0"/>
              <w:left w:val="single" w:color="000000" w:sz="4" w:space="0"/>
              <w:bottom w:val="single" w:color="000000" w:sz="4" w:space="0"/>
              <w:right w:val="single" w:color="000000" w:sz="4" w:space="0"/>
            </w:tcBorders>
            <w:tcW w:w="598" w:type="dxa"/>
            <w:vAlign w:val="center"/>
          </w:tcPr>
          <w:p>
            <w:pPr>
              <w:pStyle w:val="12385"/>
              <w:pBdr/>
              <w:spacing/>
              <w:ind/>
              <w:rPr>
                <w:color w:val="000000"/>
              </w:rPr>
            </w:pPr>
            <w:r>
              <w:rPr>
                <w:color w:val="000000"/>
              </w:rPr>
              <w:t xml:space="preserve">2</w:t>
            </w:r>
            <w:r>
              <w:rPr>
                <w:color w:val="000000"/>
              </w:rPr>
            </w:r>
          </w:p>
        </w:tc>
        <w:tc>
          <w:tcPr>
            <w:tcBorders>
              <w:top w:val="single" w:color="000000" w:sz="4" w:space="0"/>
              <w:left w:val="single" w:color="000000" w:sz="4" w:space="0"/>
              <w:bottom w:val="single" w:color="000000" w:sz="4" w:space="0"/>
              <w:right w:val="single" w:color="000000" w:sz="4" w:space="0"/>
            </w:tcBorders>
            <w:tcW w:w="1830" w:type="dxa"/>
            <w:vAlign w:val="center"/>
          </w:tcPr>
          <w:p>
            <w:pPr>
              <w:pStyle w:val="12385"/>
              <w:pBdr/>
              <w:spacing/>
              <w:ind/>
              <w:rPr>
                <w:color w:val="000000"/>
              </w:rPr>
            </w:pPr>
            <w:r>
              <w:rPr>
                <w:color w:val="000000"/>
              </w:rPr>
              <w:t xml:space="preserve">Администрация МО Арсеньевский район</w:t>
            </w:r>
            <w:r>
              <w:rPr>
                <w:color w:val="000000"/>
              </w:rPr>
            </w:r>
          </w:p>
          <w:p>
            <w:pPr>
              <w:pStyle w:val="12385"/>
              <w:pBdr/>
              <w:spacing/>
              <w:ind/>
              <w:rPr>
                <w:color w:val="000000"/>
              </w:rPr>
            </w:pPr>
            <w:r>
              <w:rPr>
                <w:color w:val="000000"/>
              </w:rPr>
              <w:t xml:space="preserve">(ООО «АГК»)</w:t>
            </w:r>
            <w:r>
              <w:rPr>
                <w:color w:val="000000"/>
              </w:rPr>
            </w:r>
          </w:p>
        </w:tc>
        <w:tc>
          <w:tcPr>
            <w:tcBorders>
              <w:top w:val="single" w:color="000000" w:sz="4" w:space="0"/>
              <w:left w:val="single" w:color="000000" w:sz="4" w:space="0"/>
              <w:bottom w:val="single" w:color="000000" w:sz="4" w:space="0"/>
              <w:right w:val="single" w:color="000000" w:sz="4" w:space="0"/>
            </w:tcBorders>
            <w:tcW w:w="1468" w:type="dxa"/>
            <w:vAlign w:val="center"/>
          </w:tcPr>
          <w:p>
            <w:pPr>
              <w:pStyle w:val="12385"/>
              <w:pBdr/>
              <w:spacing/>
              <w:ind/>
              <w:rPr>
                <w:color w:val="000000"/>
              </w:rPr>
            </w:pPr>
            <w:r>
              <w:rPr>
                <w:color w:val="000000"/>
              </w:rPr>
              <w:t xml:space="preserve">Арсеньевский район, н.п. Ясенки</w:t>
            </w:r>
            <w:r>
              <w:rPr>
                <w:color w:val="000000"/>
              </w:rPr>
            </w:r>
          </w:p>
        </w:tc>
        <w:tc>
          <w:tcPr>
            <w:tcBorders>
              <w:top w:val="single" w:color="000000" w:sz="4" w:space="0"/>
              <w:left w:val="single" w:color="000000" w:sz="4" w:space="0"/>
              <w:bottom w:val="single" w:color="000000" w:sz="4" w:space="0"/>
              <w:right w:val="single" w:color="000000" w:sz="4" w:space="0"/>
            </w:tcBorders>
            <w:tcW w:w="1684" w:type="dxa"/>
            <w:vAlign w:val="center"/>
          </w:tcPr>
          <w:p>
            <w:pPr>
              <w:pStyle w:val="12385"/>
              <w:pBdr/>
              <w:spacing/>
              <w:ind/>
              <w:rPr>
                <w:color w:val="000000"/>
              </w:rPr>
            </w:pPr>
            <w:r>
              <w:rPr>
                <w:color w:val="000000"/>
              </w:rPr>
              <w:t xml:space="preserve">Литвяк И. В.</w:t>
            </w:r>
            <w:r>
              <w:rPr>
                <w:color w:val="000000"/>
              </w:rPr>
            </w:r>
          </w:p>
          <w:p>
            <w:pPr>
              <w:pStyle w:val="12385"/>
              <w:pBdr/>
              <w:spacing/>
              <w:ind/>
              <w:rPr>
                <w:color w:val="000000"/>
              </w:rPr>
            </w:pPr>
            <w:r>
              <w:rPr>
                <w:color w:val="000000"/>
              </w:rPr>
              <w:t xml:space="preserve">(48733) 21800</w:t>
            </w:r>
            <w:r>
              <w:rPr>
                <w:color w:val="000000"/>
              </w:rPr>
            </w:r>
          </w:p>
        </w:tc>
        <w:tc>
          <w:tcPr>
            <w:tcBorders>
              <w:top w:val="single" w:color="000000" w:sz="4" w:space="0"/>
              <w:left w:val="single" w:color="000000" w:sz="4" w:space="0"/>
              <w:bottom w:val="single" w:color="000000" w:sz="4" w:space="0"/>
              <w:right w:val="single" w:color="000000" w:sz="4" w:space="0"/>
            </w:tcBorders>
            <w:tcW w:w="1535" w:type="dxa"/>
            <w:vAlign w:val="center"/>
          </w:tcPr>
          <w:p>
            <w:pPr>
              <w:pStyle w:val="12385"/>
              <w:pBdr/>
              <w:spacing/>
              <w:ind/>
              <w:rPr>
                <w:color w:val="000000"/>
              </w:rPr>
            </w:pPr>
            <w:r>
              <w:rPr>
                <w:color w:val="000000"/>
              </w:rPr>
              <w:t xml:space="preserve">ТСС ЭЛАД 3300 КЭ</w:t>
            </w:r>
            <w:r>
              <w:rPr>
                <w:color w:val="000000"/>
              </w:rPr>
            </w:r>
          </w:p>
        </w:tc>
        <w:tc>
          <w:tcPr>
            <w:tcBorders>
              <w:top w:val="single" w:color="000000" w:sz="4" w:space="0"/>
              <w:left w:val="single" w:color="000000" w:sz="4" w:space="0"/>
              <w:bottom w:val="single" w:color="000000" w:sz="4" w:space="0"/>
              <w:right w:val="single" w:color="000000" w:sz="4" w:space="0"/>
            </w:tcBorders>
            <w:tcW w:w="1382" w:type="dxa"/>
            <w:vAlign w:val="center"/>
          </w:tcPr>
          <w:p>
            <w:pPr>
              <w:pStyle w:val="12385"/>
              <w:pBdr/>
              <w:spacing/>
              <w:ind/>
              <w:rPr>
                <w:color w:val="000000"/>
              </w:rPr>
            </w:pPr>
            <w:r>
              <w:rPr>
                <w:color w:val="000000"/>
              </w:rPr>
              <w:t xml:space="preserve">3,3кВт</w:t>
            </w:r>
            <w:r>
              <w:rPr>
                <w:color w:val="000000"/>
              </w:rPr>
            </w:r>
          </w:p>
        </w:tc>
        <w:tc>
          <w:tcPr>
            <w:tcBorders>
              <w:top w:val="single" w:color="000000" w:sz="4" w:space="0"/>
              <w:left w:val="single" w:color="000000" w:sz="4" w:space="0"/>
              <w:bottom w:val="single" w:color="000000" w:sz="4" w:space="0"/>
              <w:right w:val="single" w:color="000000" w:sz="4" w:space="0"/>
            </w:tcBorders>
            <w:tcW w:w="1307" w:type="dxa"/>
            <w:vAlign w:val="center"/>
          </w:tcPr>
          <w:p>
            <w:pPr>
              <w:pStyle w:val="12385"/>
              <w:pBdr/>
              <w:spacing/>
              <w:ind/>
              <w:rPr>
                <w:color w:val="000000"/>
              </w:rPr>
            </w:pPr>
            <w:r>
              <w:rPr>
                <w:color w:val="000000"/>
              </w:rPr>
              <w:t xml:space="preserve">Уд</w:t>
            </w:r>
            <w:r>
              <w:rPr>
                <w:color w:val="000000"/>
              </w:rPr>
            </w:r>
          </w:p>
        </w:tc>
        <w:tc>
          <w:tcPr>
            <w:tcBorders>
              <w:top w:val="single" w:color="000000" w:sz="4" w:space="0"/>
              <w:left w:val="single" w:color="000000" w:sz="4" w:space="0"/>
              <w:bottom w:val="single" w:color="000000" w:sz="4" w:space="0"/>
              <w:right w:val="single" w:color="000000" w:sz="4" w:space="0"/>
            </w:tcBorders>
            <w:tcW w:w="1526" w:type="dxa"/>
            <w:vAlign w:val="center"/>
          </w:tcPr>
          <w:p>
            <w:pPr>
              <w:pStyle w:val="12385"/>
              <w:pBdr/>
              <w:spacing/>
              <w:ind/>
              <w:rPr>
                <w:color w:val="000000"/>
              </w:rPr>
            </w:pPr>
            <w:r>
              <w:rPr>
                <w:color w:val="000000"/>
              </w:rPr>
              <w:t xml:space="preserve">Передвижной</w:t>
            </w:r>
            <w:r>
              <w:rPr>
                <w:color w:val="000000"/>
              </w:rPr>
            </w:r>
          </w:p>
        </w:tc>
        <w:tc>
          <w:tcPr>
            <w:tcBorders>
              <w:top w:val="single" w:color="000000" w:sz="4" w:space="0"/>
              <w:left w:val="single" w:color="000000" w:sz="4" w:space="0"/>
              <w:bottom w:val="single" w:color="000000" w:sz="4" w:space="0"/>
              <w:right w:val="single" w:color="000000" w:sz="4" w:space="0"/>
            </w:tcBorders>
            <w:tcW w:w="1082" w:type="dxa"/>
            <w:vAlign w:val="center"/>
          </w:tcPr>
          <w:p>
            <w:pPr>
              <w:pStyle w:val="12385"/>
              <w:pBdr/>
              <w:spacing/>
              <w:ind/>
              <w:rPr>
                <w:color w:val="000000"/>
              </w:rPr>
            </w:pPr>
            <w:r>
              <w:rPr>
                <w:color w:val="000000"/>
              </w:rPr>
              <w:t xml:space="preserve">2007</w:t>
            </w:r>
            <w:r>
              <w:rPr>
                <w:color w:val="000000"/>
              </w:rPr>
            </w:r>
          </w:p>
        </w:tc>
        <w:tc>
          <w:tcPr>
            <w:tcBorders>
              <w:top w:val="single" w:color="000000" w:sz="4" w:space="0"/>
              <w:left w:val="single" w:color="000000" w:sz="4" w:space="0"/>
              <w:bottom w:val="single" w:color="000000" w:sz="4" w:space="0"/>
              <w:right w:val="single" w:color="000000" w:sz="4" w:space="0"/>
            </w:tcBorders>
            <w:tcW w:w="1079" w:type="dxa"/>
            <w:vAlign w:val="center"/>
          </w:tcPr>
          <w:p>
            <w:pPr>
              <w:pStyle w:val="12385"/>
              <w:pBdr/>
              <w:spacing/>
              <w:ind/>
              <w:rPr>
                <w:color w:val="000000"/>
              </w:rPr>
            </w:pPr>
            <w:r>
              <w:rPr>
                <w:color w:val="000000"/>
              </w:rPr>
              <w:t xml:space="preserve">ДТ</w:t>
            </w:r>
            <w:r>
              <w:rPr>
                <w:color w:val="000000"/>
              </w:rPr>
            </w:r>
          </w:p>
        </w:tc>
        <w:tc>
          <w:tcPr>
            <w:tcBorders>
              <w:top w:val="single" w:color="000000" w:sz="4" w:space="0"/>
              <w:left w:val="single" w:color="000000" w:sz="4" w:space="0"/>
              <w:bottom w:val="single" w:color="000000" w:sz="4" w:space="0"/>
              <w:right w:val="single" w:color="000000" w:sz="4" w:space="0"/>
            </w:tcBorders>
            <w:tcW w:w="1077" w:type="dxa"/>
            <w:vAlign w:val="center"/>
          </w:tcPr>
          <w:p>
            <w:pPr>
              <w:pStyle w:val="12385"/>
              <w:pBdr/>
              <w:spacing/>
              <w:ind/>
              <w:rPr>
                <w:color w:val="000000"/>
              </w:rPr>
            </w:pPr>
            <w:r>
              <w:rPr>
                <w:color w:val="000000"/>
              </w:rPr>
              <w:t xml:space="preserve">+</w:t>
            </w:r>
            <w:r>
              <w:rPr>
                <w:color w:val="000000"/>
              </w:rPr>
            </w:r>
          </w:p>
        </w:tc>
      </w:tr>
      <w:tr>
        <w:trPr>
          <w:trHeight w:val="20"/>
        </w:trPr>
        <w:tc>
          <w:tcPr>
            <w:tcBorders>
              <w:top w:val="single" w:color="000000" w:sz="4" w:space="0"/>
              <w:left w:val="single" w:color="000000" w:sz="4" w:space="0"/>
              <w:bottom w:val="single" w:color="000000" w:sz="4" w:space="0"/>
              <w:right w:val="single" w:color="000000" w:sz="4" w:space="0"/>
            </w:tcBorders>
            <w:tcW w:w="598" w:type="dxa"/>
            <w:vAlign w:val="center"/>
          </w:tcPr>
          <w:p>
            <w:pPr>
              <w:pStyle w:val="12385"/>
              <w:pBdr/>
              <w:spacing/>
              <w:ind/>
              <w:rPr>
                <w:color w:val="000000"/>
              </w:rPr>
            </w:pPr>
            <w:r>
              <w:rPr>
                <w:color w:val="000000"/>
              </w:rPr>
              <w:t xml:space="preserve">3</w:t>
            </w:r>
            <w:r>
              <w:rPr>
                <w:color w:val="000000"/>
              </w:rPr>
            </w:r>
          </w:p>
        </w:tc>
        <w:tc>
          <w:tcPr>
            <w:tcBorders>
              <w:top w:val="single" w:color="000000" w:sz="4" w:space="0"/>
              <w:left w:val="single" w:color="000000" w:sz="4" w:space="0"/>
              <w:bottom w:val="single" w:color="000000" w:sz="4" w:space="0"/>
              <w:right w:val="single" w:color="000000" w:sz="4" w:space="0"/>
            </w:tcBorders>
            <w:tcW w:w="1830" w:type="dxa"/>
            <w:vAlign w:val="center"/>
          </w:tcPr>
          <w:p>
            <w:pPr>
              <w:pStyle w:val="12385"/>
              <w:pBdr/>
              <w:spacing/>
              <w:ind/>
              <w:rPr>
                <w:color w:val="000000"/>
              </w:rPr>
            </w:pPr>
            <w:r>
              <w:rPr>
                <w:color w:val="000000"/>
              </w:rPr>
              <w:t xml:space="preserve">Арсеньевский район</w:t>
            </w:r>
            <w:r>
              <w:rPr>
                <w:color w:val="000000"/>
              </w:rPr>
            </w:r>
          </w:p>
          <w:p>
            <w:pPr>
              <w:pStyle w:val="12385"/>
              <w:pBdr/>
              <w:spacing/>
              <w:ind/>
              <w:rPr>
                <w:color w:val="000000"/>
              </w:rPr>
            </w:pPr>
            <w:r>
              <w:rPr>
                <w:color w:val="000000"/>
              </w:rPr>
              <w:t xml:space="preserve">(ООО «АГК»)</w:t>
            </w:r>
            <w:r>
              <w:rPr>
                <w:color w:val="000000"/>
              </w:rPr>
            </w:r>
          </w:p>
        </w:tc>
        <w:tc>
          <w:tcPr>
            <w:tcBorders>
              <w:top w:val="single" w:color="000000" w:sz="4" w:space="0"/>
              <w:left w:val="single" w:color="000000" w:sz="4" w:space="0"/>
              <w:bottom w:val="single" w:color="000000" w:sz="4" w:space="0"/>
              <w:right w:val="single" w:color="000000" w:sz="4" w:space="0"/>
            </w:tcBorders>
            <w:tcW w:w="1468" w:type="dxa"/>
            <w:vAlign w:val="center"/>
          </w:tcPr>
          <w:p>
            <w:pPr>
              <w:pStyle w:val="12385"/>
              <w:pBdr/>
              <w:spacing/>
              <w:ind/>
              <w:rPr>
                <w:color w:val="000000"/>
              </w:rPr>
            </w:pPr>
            <w:r>
              <w:rPr>
                <w:color w:val="000000"/>
              </w:rPr>
              <w:t xml:space="preserve">Арсеньевский район, н.п. Б. Колодезь</w:t>
            </w:r>
            <w:r>
              <w:rPr>
                <w:color w:val="000000"/>
              </w:rPr>
            </w:r>
          </w:p>
        </w:tc>
        <w:tc>
          <w:tcPr>
            <w:tcBorders>
              <w:top w:val="single" w:color="000000" w:sz="4" w:space="0"/>
              <w:left w:val="single" w:color="000000" w:sz="4" w:space="0"/>
              <w:bottom w:val="single" w:color="000000" w:sz="4" w:space="0"/>
              <w:right w:val="single" w:color="000000" w:sz="4" w:space="0"/>
            </w:tcBorders>
            <w:tcW w:w="1684" w:type="dxa"/>
            <w:vAlign w:val="center"/>
          </w:tcPr>
          <w:p>
            <w:pPr>
              <w:pStyle w:val="12385"/>
              <w:pBdr/>
              <w:spacing/>
              <w:ind/>
              <w:rPr>
                <w:color w:val="000000"/>
              </w:rPr>
            </w:pPr>
            <w:r>
              <w:rPr>
                <w:color w:val="000000"/>
              </w:rPr>
              <w:t xml:space="preserve">Литвяк И. В.</w:t>
            </w:r>
            <w:r>
              <w:rPr>
                <w:color w:val="000000"/>
              </w:rPr>
            </w:r>
          </w:p>
        </w:tc>
        <w:tc>
          <w:tcPr>
            <w:tcBorders>
              <w:top w:val="single" w:color="000000" w:sz="4" w:space="0"/>
              <w:left w:val="single" w:color="000000" w:sz="4" w:space="0"/>
              <w:bottom w:val="single" w:color="000000" w:sz="4" w:space="0"/>
              <w:right w:val="single" w:color="000000" w:sz="4" w:space="0"/>
            </w:tcBorders>
            <w:tcW w:w="1535" w:type="dxa"/>
            <w:vAlign w:val="center"/>
          </w:tcPr>
          <w:p>
            <w:pPr>
              <w:pStyle w:val="12385"/>
              <w:pBdr/>
              <w:spacing/>
              <w:ind/>
              <w:rPr>
                <w:color w:val="000000"/>
              </w:rPr>
            </w:pPr>
            <w:r>
              <w:rPr>
                <w:color w:val="000000"/>
                <w:lang w:val="en-US"/>
              </w:rPr>
              <w:t xml:space="preserve">Denzel</w:t>
            </w:r>
            <w:r>
              <w:rPr>
                <w:color w:val="000000"/>
              </w:rPr>
              <w:t xml:space="preserve"> </w:t>
            </w:r>
            <w:r>
              <w:rPr>
                <w:color w:val="000000"/>
                <w:lang w:val="en-US"/>
              </w:rPr>
              <w:t xml:space="preserve">PS</w:t>
            </w:r>
            <w:r>
              <w:rPr>
                <w:color w:val="000000"/>
              </w:rPr>
              <w:t xml:space="preserve">-90</w:t>
            </w:r>
            <w:r>
              <w:rPr>
                <w:color w:val="000000"/>
                <w:lang w:val="en-US"/>
              </w:rPr>
              <w:t xml:space="preserve">ED</w:t>
            </w:r>
            <w:r>
              <w:rPr>
                <w:color w:val="000000"/>
              </w:rPr>
              <w:t xml:space="preserve">-3</w:t>
            </w:r>
            <w:r>
              <w:rPr>
                <w:color w:val="000000"/>
              </w:rPr>
            </w:r>
          </w:p>
        </w:tc>
        <w:tc>
          <w:tcPr>
            <w:tcBorders>
              <w:top w:val="single" w:color="000000" w:sz="4" w:space="0"/>
              <w:left w:val="single" w:color="000000" w:sz="4" w:space="0"/>
              <w:bottom w:val="single" w:color="000000" w:sz="4" w:space="0"/>
              <w:right w:val="single" w:color="000000" w:sz="4" w:space="0"/>
            </w:tcBorders>
            <w:tcW w:w="1382" w:type="dxa"/>
            <w:vAlign w:val="center"/>
          </w:tcPr>
          <w:p>
            <w:pPr>
              <w:pStyle w:val="12385"/>
              <w:pBdr/>
              <w:spacing/>
              <w:ind/>
              <w:rPr>
                <w:color w:val="000000"/>
              </w:rPr>
            </w:pPr>
            <w:r>
              <w:rPr>
                <w:color w:val="000000"/>
              </w:rPr>
              <w:t xml:space="preserve">9кВт</w:t>
            </w:r>
            <w:r>
              <w:rPr>
                <w:color w:val="000000"/>
              </w:rPr>
            </w:r>
          </w:p>
        </w:tc>
        <w:tc>
          <w:tcPr>
            <w:tcBorders>
              <w:top w:val="single" w:color="000000" w:sz="4" w:space="0"/>
              <w:left w:val="single" w:color="000000" w:sz="4" w:space="0"/>
              <w:bottom w:val="single" w:color="000000" w:sz="4" w:space="0"/>
              <w:right w:val="single" w:color="000000" w:sz="4" w:space="0"/>
            </w:tcBorders>
            <w:tcW w:w="1307" w:type="dxa"/>
            <w:vAlign w:val="center"/>
          </w:tcPr>
          <w:p>
            <w:pPr>
              <w:pStyle w:val="12385"/>
              <w:pBdr/>
              <w:spacing/>
              <w:ind/>
              <w:rPr>
                <w:color w:val="000000"/>
              </w:rPr>
            </w:pPr>
            <w:r>
              <w:rPr>
                <w:color w:val="000000"/>
              </w:rPr>
              <w:t xml:space="preserve">Уд</w:t>
            </w:r>
            <w:r>
              <w:rPr>
                <w:color w:val="000000"/>
              </w:rPr>
            </w:r>
          </w:p>
        </w:tc>
        <w:tc>
          <w:tcPr>
            <w:tcBorders>
              <w:top w:val="single" w:color="000000" w:sz="4" w:space="0"/>
              <w:left w:val="single" w:color="000000" w:sz="4" w:space="0"/>
              <w:bottom w:val="single" w:color="000000" w:sz="4" w:space="0"/>
              <w:right w:val="single" w:color="000000" w:sz="4" w:space="0"/>
            </w:tcBorders>
            <w:tcW w:w="1526" w:type="dxa"/>
            <w:vAlign w:val="center"/>
          </w:tcPr>
          <w:p>
            <w:pPr>
              <w:pStyle w:val="12385"/>
              <w:pBdr/>
              <w:spacing/>
              <w:ind/>
              <w:rPr>
                <w:color w:val="000000"/>
              </w:rPr>
            </w:pPr>
            <w:r>
              <w:rPr>
                <w:color w:val="000000"/>
              </w:rPr>
              <w:t xml:space="preserve">Передвижной</w:t>
            </w:r>
            <w:r>
              <w:rPr>
                <w:color w:val="000000"/>
              </w:rPr>
            </w:r>
          </w:p>
        </w:tc>
        <w:tc>
          <w:tcPr>
            <w:tcBorders>
              <w:top w:val="single" w:color="000000" w:sz="4" w:space="0"/>
              <w:left w:val="single" w:color="000000" w:sz="4" w:space="0"/>
              <w:bottom w:val="single" w:color="000000" w:sz="4" w:space="0"/>
              <w:right w:val="single" w:color="000000" w:sz="4" w:space="0"/>
            </w:tcBorders>
            <w:tcW w:w="1082" w:type="dxa"/>
            <w:vAlign w:val="center"/>
          </w:tcPr>
          <w:p>
            <w:pPr>
              <w:pStyle w:val="12385"/>
              <w:pBdr/>
              <w:spacing/>
              <w:ind/>
              <w:rPr>
                <w:color w:val="000000"/>
              </w:rPr>
            </w:pPr>
            <w:r>
              <w:rPr>
                <w:color w:val="000000"/>
              </w:rPr>
              <w:t xml:space="preserve">2023</w:t>
            </w:r>
            <w:r>
              <w:rPr>
                <w:color w:val="000000"/>
              </w:rPr>
            </w:r>
          </w:p>
        </w:tc>
        <w:tc>
          <w:tcPr>
            <w:tcBorders>
              <w:top w:val="single" w:color="000000" w:sz="4" w:space="0"/>
              <w:left w:val="single" w:color="000000" w:sz="4" w:space="0"/>
              <w:bottom w:val="single" w:color="000000" w:sz="4" w:space="0"/>
              <w:right w:val="single" w:color="000000" w:sz="4" w:space="0"/>
            </w:tcBorders>
            <w:tcW w:w="1079" w:type="dxa"/>
            <w:vAlign w:val="center"/>
          </w:tcPr>
          <w:p>
            <w:pPr>
              <w:pStyle w:val="12385"/>
              <w:pBdr/>
              <w:spacing/>
              <w:ind/>
              <w:rPr>
                <w:color w:val="000000"/>
              </w:rPr>
            </w:pPr>
            <w:r>
              <w:rPr>
                <w:color w:val="000000"/>
              </w:rPr>
              <w:t xml:space="preserve">АИ 92</w:t>
            </w:r>
            <w:r>
              <w:rPr>
                <w:color w:val="000000"/>
              </w:rPr>
            </w:r>
          </w:p>
        </w:tc>
        <w:tc>
          <w:tcPr>
            <w:tcBorders>
              <w:top w:val="single" w:color="000000" w:sz="4" w:space="0"/>
              <w:left w:val="single" w:color="000000" w:sz="4" w:space="0"/>
              <w:bottom w:val="single" w:color="000000" w:sz="4" w:space="0"/>
              <w:right w:val="single" w:color="000000" w:sz="4" w:space="0"/>
            </w:tcBorders>
            <w:tcW w:w="1077" w:type="dxa"/>
            <w:vAlign w:val="center"/>
          </w:tcPr>
          <w:p>
            <w:pPr>
              <w:pStyle w:val="12385"/>
              <w:pBdr/>
              <w:spacing/>
              <w:ind/>
              <w:rPr>
                <w:color w:val="000000"/>
              </w:rPr>
            </w:pPr>
            <w:r>
              <w:rPr>
                <w:color w:val="000000"/>
              </w:rPr>
              <w:t xml:space="preserve">+</w:t>
            </w:r>
            <w:r>
              <w:rPr>
                <w:color w:val="000000"/>
              </w:rPr>
            </w:r>
          </w:p>
        </w:tc>
      </w:tr>
      <w:tr>
        <w:trPr>
          <w:trHeight w:val="20"/>
        </w:trPr>
        <w:tc>
          <w:tcPr>
            <w:tcBorders>
              <w:top w:val="single" w:color="000000" w:sz="4" w:space="0"/>
              <w:left w:val="single" w:color="000000" w:sz="4" w:space="0"/>
              <w:bottom w:val="single" w:color="000000" w:sz="4" w:space="0"/>
              <w:right w:val="single" w:color="000000" w:sz="4" w:space="0"/>
            </w:tcBorders>
            <w:tcW w:w="598" w:type="dxa"/>
            <w:vAlign w:val="center"/>
          </w:tcPr>
          <w:p>
            <w:pPr>
              <w:pStyle w:val="12385"/>
              <w:pBdr/>
              <w:spacing/>
              <w:ind/>
              <w:rPr>
                <w:color w:val="000000"/>
              </w:rPr>
            </w:pPr>
            <w:r>
              <w:rPr>
                <w:color w:val="000000"/>
              </w:rPr>
              <w:t xml:space="preserve">4</w:t>
            </w:r>
            <w:r>
              <w:rPr>
                <w:color w:val="000000"/>
              </w:rPr>
            </w:r>
          </w:p>
        </w:tc>
        <w:tc>
          <w:tcPr>
            <w:tcBorders>
              <w:top w:val="single" w:color="000000" w:sz="4" w:space="0"/>
              <w:left w:val="single" w:color="000000" w:sz="4" w:space="0"/>
              <w:bottom w:val="single" w:color="000000" w:sz="4" w:space="0"/>
              <w:right w:val="single" w:color="000000" w:sz="4" w:space="0"/>
            </w:tcBorders>
            <w:tcW w:w="1830" w:type="dxa"/>
            <w:vAlign w:val="center"/>
          </w:tcPr>
          <w:p>
            <w:pPr>
              <w:pStyle w:val="12385"/>
              <w:pBdr/>
              <w:spacing/>
              <w:ind/>
              <w:rPr>
                <w:color w:val="000000"/>
              </w:rPr>
            </w:pPr>
            <w:r>
              <w:rPr>
                <w:color w:val="000000"/>
              </w:rPr>
              <w:t xml:space="preserve">Арсеньевский район</w:t>
            </w:r>
            <w:r>
              <w:rPr>
                <w:color w:val="000000"/>
              </w:rPr>
            </w:r>
          </w:p>
          <w:p>
            <w:pPr>
              <w:pStyle w:val="12385"/>
              <w:pBdr/>
              <w:spacing/>
              <w:ind/>
              <w:rPr>
                <w:color w:val="000000"/>
              </w:rPr>
            </w:pPr>
            <w:r>
              <w:rPr>
                <w:color w:val="000000"/>
              </w:rPr>
              <w:t xml:space="preserve">(ООО «АГК»)</w:t>
            </w:r>
            <w:r>
              <w:rPr>
                <w:color w:val="000000"/>
              </w:rPr>
            </w:r>
          </w:p>
        </w:tc>
        <w:tc>
          <w:tcPr>
            <w:tcBorders>
              <w:top w:val="single" w:color="000000" w:sz="4" w:space="0"/>
              <w:left w:val="single" w:color="000000" w:sz="4" w:space="0"/>
              <w:bottom w:val="single" w:color="000000" w:sz="4" w:space="0"/>
              <w:right w:val="single" w:color="000000" w:sz="4" w:space="0"/>
            </w:tcBorders>
            <w:tcW w:w="1468" w:type="dxa"/>
            <w:vAlign w:val="center"/>
          </w:tcPr>
          <w:p>
            <w:pPr>
              <w:pStyle w:val="12385"/>
              <w:pBdr/>
              <w:spacing/>
              <w:ind/>
              <w:rPr>
                <w:color w:val="000000"/>
              </w:rPr>
            </w:pPr>
            <w:r>
              <w:rPr>
                <w:color w:val="000000"/>
              </w:rPr>
              <w:t xml:space="preserve">Арсеньевский район, н.п. Первомайский</w:t>
            </w:r>
            <w:r>
              <w:rPr>
                <w:color w:val="000000"/>
              </w:rPr>
            </w:r>
          </w:p>
        </w:tc>
        <w:tc>
          <w:tcPr>
            <w:tcBorders>
              <w:top w:val="single" w:color="000000" w:sz="4" w:space="0"/>
              <w:left w:val="single" w:color="000000" w:sz="4" w:space="0"/>
              <w:bottom w:val="single" w:color="000000" w:sz="4" w:space="0"/>
              <w:right w:val="single" w:color="000000" w:sz="4" w:space="0"/>
            </w:tcBorders>
            <w:tcW w:w="1684" w:type="dxa"/>
            <w:vAlign w:val="center"/>
          </w:tcPr>
          <w:p>
            <w:pPr>
              <w:pStyle w:val="12385"/>
              <w:pBdr/>
              <w:spacing/>
              <w:ind/>
              <w:rPr>
                <w:color w:val="000000"/>
              </w:rPr>
            </w:pPr>
            <w:r>
              <w:rPr>
                <w:color w:val="000000"/>
              </w:rPr>
              <w:t xml:space="preserve">Литвяк И. В.</w:t>
            </w:r>
            <w:r>
              <w:rPr>
                <w:color w:val="000000"/>
              </w:rPr>
            </w:r>
          </w:p>
        </w:tc>
        <w:tc>
          <w:tcPr>
            <w:tcBorders>
              <w:top w:val="single" w:color="000000" w:sz="4" w:space="0"/>
              <w:left w:val="single" w:color="000000" w:sz="4" w:space="0"/>
              <w:bottom w:val="single" w:color="000000" w:sz="4" w:space="0"/>
              <w:right w:val="single" w:color="000000" w:sz="4" w:space="0"/>
            </w:tcBorders>
            <w:tcW w:w="1535" w:type="dxa"/>
            <w:vAlign w:val="center"/>
          </w:tcPr>
          <w:p>
            <w:pPr>
              <w:pStyle w:val="12385"/>
              <w:pBdr/>
              <w:spacing/>
              <w:ind/>
              <w:rPr>
                <w:color w:val="000000"/>
              </w:rPr>
            </w:pPr>
            <w:r>
              <w:rPr>
                <w:color w:val="000000"/>
                <w:lang w:val="en-US"/>
              </w:rPr>
              <w:t xml:space="preserve">Champion GG7501E-3</w:t>
            </w:r>
            <w:r>
              <w:rPr>
                <w:color w:val="000000"/>
              </w:rPr>
            </w:r>
          </w:p>
        </w:tc>
        <w:tc>
          <w:tcPr>
            <w:tcBorders>
              <w:top w:val="single" w:color="000000" w:sz="4" w:space="0"/>
              <w:left w:val="single" w:color="000000" w:sz="4" w:space="0"/>
              <w:bottom w:val="single" w:color="000000" w:sz="4" w:space="0"/>
              <w:right w:val="single" w:color="000000" w:sz="4" w:space="0"/>
            </w:tcBorders>
            <w:tcW w:w="1382" w:type="dxa"/>
            <w:vAlign w:val="center"/>
          </w:tcPr>
          <w:p>
            <w:pPr>
              <w:pStyle w:val="12385"/>
              <w:pBdr/>
              <w:spacing/>
              <w:ind/>
              <w:rPr>
                <w:color w:val="000000"/>
              </w:rPr>
            </w:pPr>
            <w:r>
              <w:rPr>
                <w:color w:val="000000"/>
              </w:rPr>
              <w:t xml:space="preserve">7,5кВт</w:t>
            </w:r>
            <w:r>
              <w:rPr>
                <w:color w:val="000000"/>
              </w:rPr>
            </w:r>
          </w:p>
        </w:tc>
        <w:tc>
          <w:tcPr>
            <w:tcBorders>
              <w:top w:val="single" w:color="000000" w:sz="4" w:space="0"/>
              <w:left w:val="single" w:color="000000" w:sz="4" w:space="0"/>
              <w:bottom w:val="single" w:color="000000" w:sz="4" w:space="0"/>
              <w:right w:val="single" w:color="000000" w:sz="4" w:space="0"/>
            </w:tcBorders>
            <w:tcW w:w="1307" w:type="dxa"/>
            <w:vAlign w:val="center"/>
          </w:tcPr>
          <w:p>
            <w:pPr>
              <w:pStyle w:val="12385"/>
              <w:pBdr/>
              <w:spacing/>
              <w:ind/>
              <w:rPr>
                <w:color w:val="000000"/>
              </w:rPr>
            </w:pPr>
            <w:r>
              <w:rPr>
                <w:color w:val="000000"/>
              </w:rPr>
              <w:t xml:space="preserve">Уд</w:t>
            </w:r>
            <w:r>
              <w:rPr>
                <w:color w:val="000000"/>
              </w:rPr>
            </w:r>
          </w:p>
        </w:tc>
        <w:tc>
          <w:tcPr>
            <w:tcBorders>
              <w:top w:val="single" w:color="000000" w:sz="4" w:space="0"/>
              <w:left w:val="single" w:color="000000" w:sz="4" w:space="0"/>
              <w:bottom w:val="single" w:color="000000" w:sz="4" w:space="0"/>
              <w:right w:val="single" w:color="000000" w:sz="4" w:space="0"/>
            </w:tcBorders>
            <w:tcW w:w="1526" w:type="dxa"/>
            <w:vAlign w:val="center"/>
          </w:tcPr>
          <w:p>
            <w:pPr>
              <w:pStyle w:val="12385"/>
              <w:pBdr/>
              <w:spacing/>
              <w:ind/>
              <w:rPr>
                <w:color w:val="000000"/>
              </w:rPr>
            </w:pPr>
            <w:r>
              <w:rPr>
                <w:color w:val="000000"/>
              </w:rPr>
              <w:t xml:space="preserve">Передвижной</w:t>
            </w:r>
            <w:r>
              <w:rPr>
                <w:color w:val="000000"/>
              </w:rPr>
            </w:r>
          </w:p>
        </w:tc>
        <w:tc>
          <w:tcPr>
            <w:tcBorders>
              <w:top w:val="single" w:color="000000" w:sz="4" w:space="0"/>
              <w:left w:val="single" w:color="000000" w:sz="4" w:space="0"/>
              <w:bottom w:val="single" w:color="000000" w:sz="4" w:space="0"/>
              <w:right w:val="single" w:color="000000" w:sz="4" w:space="0"/>
            </w:tcBorders>
            <w:tcW w:w="1082" w:type="dxa"/>
            <w:vAlign w:val="center"/>
          </w:tcPr>
          <w:p>
            <w:pPr>
              <w:pStyle w:val="12385"/>
              <w:pBdr/>
              <w:spacing/>
              <w:ind/>
              <w:rPr>
                <w:color w:val="000000"/>
              </w:rPr>
            </w:pPr>
            <w:r>
              <w:rPr>
                <w:color w:val="000000"/>
              </w:rPr>
              <w:t xml:space="preserve">2020</w:t>
            </w:r>
            <w:r>
              <w:rPr>
                <w:color w:val="000000"/>
              </w:rPr>
            </w:r>
          </w:p>
        </w:tc>
        <w:tc>
          <w:tcPr>
            <w:tcBorders>
              <w:top w:val="single" w:color="000000" w:sz="4" w:space="0"/>
              <w:left w:val="single" w:color="000000" w:sz="4" w:space="0"/>
              <w:bottom w:val="single" w:color="000000" w:sz="4" w:space="0"/>
              <w:right w:val="single" w:color="000000" w:sz="4" w:space="0"/>
            </w:tcBorders>
            <w:tcW w:w="1079" w:type="dxa"/>
            <w:vAlign w:val="center"/>
          </w:tcPr>
          <w:p>
            <w:pPr>
              <w:pStyle w:val="12385"/>
              <w:pBdr/>
              <w:spacing/>
              <w:ind/>
              <w:rPr>
                <w:color w:val="000000"/>
              </w:rPr>
            </w:pPr>
            <w:r>
              <w:rPr>
                <w:color w:val="000000"/>
              </w:rPr>
              <w:t xml:space="preserve">АИ 92</w:t>
            </w:r>
            <w:r>
              <w:rPr>
                <w:color w:val="000000"/>
              </w:rPr>
            </w:r>
          </w:p>
        </w:tc>
        <w:tc>
          <w:tcPr>
            <w:tcBorders>
              <w:top w:val="single" w:color="000000" w:sz="4" w:space="0"/>
              <w:left w:val="single" w:color="000000" w:sz="4" w:space="0"/>
              <w:bottom w:val="single" w:color="000000" w:sz="4" w:space="0"/>
              <w:right w:val="single" w:color="000000" w:sz="4" w:space="0"/>
            </w:tcBorders>
            <w:tcW w:w="1077" w:type="dxa"/>
            <w:vAlign w:val="center"/>
          </w:tcPr>
          <w:p>
            <w:pPr>
              <w:pStyle w:val="12385"/>
              <w:pBdr/>
              <w:spacing/>
              <w:ind/>
              <w:rPr>
                <w:color w:val="000000"/>
              </w:rPr>
            </w:pPr>
            <w:r>
              <w:rPr>
                <w:color w:val="000000"/>
              </w:rPr>
              <w:t xml:space="preserve">+</w:t>
            </w:r>
            <w:r>
              <w:rPr>
                <w:color w:val="000000"/>
              </w:rPr>
            </w:r>
          </w:p>
        </w:tc>
      </w:tr>
    </w:tbl>
    <w:p>
      <w:pPr>
        <w:pStyle w:val="12960"/>
        <w:pBdr/>
        <w:spacing/>
        <w:ind/>
        <w:rPr>
          <w:b/>
          <w:bCs w:val="0"/>
          <w:color w:val="000000"/>
        </w:rPr>
        <w:sectPr>
          <w:headerReference w:type="default" r:id="rId20"/>
          <w:headerReference w:type="first" r:id="rId21"/>
          <w:footerReference w:type="default" r:id="rId285"/>
          <w:footerReference w:type="first" r:id="rId286"/>
          <w:footnotePr/>
          <w:endnotePr/>
          <w:type w:val="nextPage"/>
          <w:pgSz w:h="11906" w:orient="landscape" w:w="16838"/>
          <w:pgMar w:top="1701" w:right="1134" w:bottom="851" w:left="1134" w:header="680" w:footer="340" w:gutter="0"/>
          <w:cols w:num="1" w:sep="0" w:space="1701" w:equalWidth="1"/>
          <w:titlePg/>
        </w:sectPr>
      </w:pPr>
      <w:r>
        <w:rPr>
          <w:b/>
          <w:bCs w:val="0"/>
          <w:color w:val="000000"/>
        </w:rPr>
      </w:r>
      <w:r>
        <w:rPr>
          <w:b/>
          <w:bCs w:val="0"/>
          <w:color w:val="000000"/>
        </w:rPr>
      </w:r>
    </w:p>
    <w:p>
      <w:pPr>
        <w:pStyle w:val="10535"/>
        <w:numPr>
          <w:ilvl w:val="1"/>
          <w:numId w:val="13"/>
        </w:numPr>
        <w:pBdr/>
        <w:spacing w:after="0" w:before="0"/>
        <w:ind/>
        <w:rPr>
          <w:rFonts w:cs="Times New Roman"/>
        </w:rPr>
      </w:pPr>
      <w:r/>
      <w:bookmarkStart w:id="92" w:name="_Toc527706854"/>
      <w:r/>
      <w:bookmarkStart w:id="93" w:name="_Toc78674690"/>
      <w:r/>
      <w:bookmarkStart w:id="94" w:name="_Toc465965208"/>
      <w:r/>
      <w:bookmarkStart w:id="95" w:name="_Toc166767141"/>
      <w:r/>
      <w:bookmarkStart w:id="96" w:name="_Toc198483479"/>
      <w:r/>
      <w:bookmarkStart w:id="97" w:name="_Toc84970927"/>
      <w:r/>
      <w:bookmarkEnd w:id="92"/>
      <w:r>
        <w:rPr>
          <w:rFonts w:cs="Times New Roman"/>
        </w:rPr>
        <w:t xml:space="preserve">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93"/>
      <w:r/>
      <w:bookmarkEnd w:id="94"/>
      <w:r/>
      <w:bookmarkEnd w:id="95"/>
      <w:r/>
      <w:bookmarkEnd w:id="96"/>
      <w:r/>
      <w:bookmarkEnd w:id="97"/>
      <w:r/>
      <w:r>
        <w:rPr>
          <w:rFonts w:cs="Times New Roman"/>
        </w:rPr>
      </w:r>
    </w:p>
    <w:p>
      <w:pPr>
        <w:pStyle w:val="12960"/>
        <w:pBdr/>
        <w:spacing/>
        <w:ind/>
        <w:rPr/>
      </w:pPr>
      <w:r>
        <w:t xml:space="preserve">По состоянию на конец 2025 года установленная мощность ООО «АГК» муниципального образования Астаповское составляла </w:t>
      </w:r>
      <w:r>
        <w:rPr>
          <w:color w:val="000000"/>
          <w:szCs w:val="20"/>
        </w:rPr>
        <w:t xml:space="preserve">0,69</w:t>
      </w:r>
      <w:r>
        <w:t xml:space="preserve"> Гкал/ч.</w:t>
      </w:r>
      <w:r/>
    </w:p>
    <w:p>
      <w:pPr>
        <w:pStyle w:val="12960"/>
        <w:pBdr/>
        <w:spacing/>
        <w:ind/>
        <w:rPr/>
      </w:pPr>
      <w:r>
        <w:t xml:space="preserve">Сведения об установленной тепловой мощности котельной представлены в таблице. </w:t>
      </w:r>
      <w:r/>
    </w:p>
    <w:p>
      <w:pPr>
        <w:pStyle w:val="12944"/>
        <w:pBdr/>
        <w:spacing/>
        <w:ind w:firstLine="0" w:left="0"/>
        <w:jc w:val="left"/>
        <w:rPr>
          <w:b/>
          <w:u w:val="none"/>
        </w:rPr>
      </w:pPr>
      <w:r/>
      <w:bookmarkStart w:id="98" w:name="_Toc527706855"/>
      <w:r>
        <w:rPr>
          <w:b/>
          <w:u w:val="none"/>
        </w:rPr>
        <w:t xml:space="preserve">Таблица 1.2.2.1 </w:t>
      </w:r>
      <w:r>
        <w:rPr>
          <w:b/>
          <w:color w:val="000000" w:themeColor="text1"/>
          <w:u w:val="none"/>
        </w:rPr>
        <w:t xml:space="preserve">-</w:t>
      </w:r>
      <w:r>
        <w:rPr>
          <w:b/>
          <w:u w:val="none"/>
        </w:rPr>
        <w:t xml:space="preserve"> Параметры установленной тепловой мощности котельных</w:t>
      </w:r>
      <w:bookmarkEnd w:id="98"/>
      <w:r/>
      <w:r>
        <w:rPr>
          <w:b/>
          <w:u w:val="none"/>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677"/>
        <w:gridCol w:w="7167"/>
        <w:gridCol w:w="1510"/>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677" w:type="dxa"/>
            <w:vAlign w:val="center"/>
          </w:tcPr>
          <w:p>
            <w:pPr>
              <w:pStyle w:val="12385"/>
              <w:pBdr/>
              <w:spacing/>
              <w:ind/>
              <w:rPr>
                <w:rFonts w:cs="Times New Roman"/>
              </w:rPr>
            </w:pPr>
            <w:r>
              <w:rPr>
                <w:rFonts w:cs="Times New Roman"/>
              </w:rPr>
              <w:t xml:space="preserve">№</w:t>
            </w:r>
            <w:r>
              <w:rPr>
                <w:rFonts w:cs="Times New Roman"/>
              </w:rPr>
              <w:t xml:space="preserve">п/п</w:t>
            </w:r>
            <w:r>
              <w:rPr>
                <w:rFonts w:cs="Times New Roman"/>
              </w:rPr>
            </w:r>
          </w:p>
        </w:tc>
        <w:tc>
          <w:tcPr>
            <w:shd w:val="clear" w:color="000000" w:fill="d9d9d9"/>
            <w:tcBorders>
              <w:top w:val="single" w:color="000000" w:sz="4" w:space="0"/>
              <w:bottom w:val="single" w:color="000000" w:sz="4" w:space="0"/>
              <w:right w:val="single" w:color="000000" w:sz="4" w:space="0"/>
            </w:tcBorders>
            <w:tcW w:w="7167" w:type="dxa"/>
            <w:vAlign w:val="center"/>
          </w:tcPr>
          <w:p>
            <w:pPr>
              <w:pStyle w:val="12385"/>
              <w:pBdr/>
              <w:spacing/>
              <w:ind/>
              <w:rPr>
                <w:rFonts w:cs="Times New Roman"/>
              </w:rPr>
            </w:pPr>
            <w:r>
              <w:rPr>
                <w:rFonts w:cs="Times New Roman"/>
              </w:rPr>
              <w:t xml:space="preserve">Местоположение</w:t>
            </w:r>
            <w:r>
              <w:rPr>
                <w:rFonts w:cs="Times New Roman"/>
              </w:rPr>
            </w:r>
          </w:p>
        </w:tc>
        <w:tc>
          <w:tcPr>
            <w:shd w:val="clear" w:color="000000" w:fill="d9d9d9"/>
            <w:tcBorders>
              <w:top w:val="single" w:color="000000" w:sz="4" w:space="0"/>
              <w:bottom w:val="single" w:color="000000" w:sz="4" w:space="0"/>
              <w:right w:val="single" w:color="000000" w:sz="4" w:space="0"/>
            </w:tcBorders>
            <w:tcW w:w="1510" w:type="dxa"/>
            <w:vAlign w:val="center"/>
          </w:tcPr>
          <w:p>
            <w:pPr>
              <w:pStyle w:val="12385"/>
              <w:pBdr/>
              <w:spacing/>
              <w:ind/>
              <w:rPr>
                <w:rFonts w:cs="Times New Roman"/>
              </w:rPr>
            </w:pPr>
            <w:r>
              <w:rPr>
                <w:rFonts w:cs="Times New Roman"/>
              </w:rPr>
              <w:t xml:space="preserve">Установленная тепловая мощность, Гкал/ч</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677" w:type="dxa"/>
            <w:vAlign w:val="center"/>
          </w:tcPr>
          <w:p>
            <w:pPr>
              <w:pStyle w:val="12385"/>
              <w:pBdr/>
              <w:spacing/>
              <w:ind/>
              <w:rPr>
                <w:rFonts w:cs="Times New Roman"/>
              </w:rPr>
            </w:pPr>
            <w:r>
              <w:rPr>
                <w:rFonts w:cs="Times New Roman"/>
              </w:rPr>
              <w:t xml:space="preserve">1</w:t>
            </w:r>
            <w:r>
              <w:rPr>
                <w:rFonts w:cs="Times New Roman"/>
              </w:rPr>
            </w:r>
          </w:p>
        </w:tc>
        <w:tc>
          <w:tcPr>
            <w:shd w:val="clear" w:color="000000" w:fill="ffffff"/>
            <w:tcBorders>
              <w:bottom w:val="single" w:color="000000" w:sz="4" w:space="0"/>
              <w:right w:val="single" w:color="000000" w:sz="4" w:space="0"/>
            </w:tcBorders>
            <w:tcW w:w="7167" w:type="dxa"/>
          </w:tcPr>
          <w:p>
            <w:pPr>
              <w:pStyle w:val="12385"/>
              <w:pBdr/>
              <w:spacing/>
              <w:ind/>
              <w:rPr>
                <w:rFonts w:cs="Times New Roman"/>
              </w:rPr>
            </w:pPr>
            <w: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10" w:type="dxa"/>
          </w:tcPr>
          <w:p>
            <w:pPr>
              <w:pStyle w:val="12385"/>
              <w:pBdr/>
              <w:spacing/>
              <w:ind/>
              <w:rPr>
                <w:rFonts w:cs="Times New Roman"/>
              </w:rPr>
            </w:pPr>
            <w:r>
              <w:t xml:space="preserve">0,17</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677" w:type="dxa"/>
            <w:vAlign w:val="center"/>
          </w:tcPr>
          <w:p>
            <w:pPr>
              <w:pStyle w:val="12385"/>
              <w:pBdr/>
              <w:spacing/>
              <w:ind/>
              <w:rPr>
                <w:rFonts w:cs="Times New Roman"/>
              </w:rPr>
            </w:pPr>
            <w:r>
              <w:rPr>
                <w:rFonts w:cs="Times New Roman"/>
              </w:rPr>
              <w:t xml:space="preserve">2</w:t>
            </w:r>
            <w:r>
              <w:rPr>
                <w:rFonts w:cs="Times New Roman"/>
              </w:rPr>
            </w:r>
          </w:p>
        </w:tc>
        <w:tc>
          <w:tcPr>
            <w:shd w:val="clear" w:color="000000" w:fill="ffffff"/>
            <w:tcBorders>
              <w:bottom w:val="single" w:color="000000" w:sz="4" w:space="0"/>
              <w:right w:val="single" w:color="000000" w:sz="4" w:space="0"/>
            </w:tcBorders>
            <w:tcW w:w="7167" w:type="dxa"/>
          </w:tcPr>
          <w:p>
            <w:pPr>
              <w:pStyle w:val="12385"/>
              <w:pBdr/>
              <w:spacing/>
              <w:ind/>
              <w:rPr>
                <w:rFonts w:cs="Times New Roman"/>
              </w:rPr>
            </w:pPr>
            <w: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10" w:type="dxa"/>
          </w:tcPr>
          <w:p>
            <w:pPr>
              <w:pStyle w:val="12385"/>
              <w:pBdr/>
              <w:spacing/>
              <w:ind/>
              <w:rPr>
                <w:rFonts w:cs="Times New Roman"/>
              </w:rPr>
            </w:pPr>
            <w:r>
              <w:t xml:space="preserve">0,34</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677" w:type="dxa"/>
            <w:vAlign w:val="center"/>
          </w:tcPr>
          <w:p>
            <w:pPr>
              <w:pStyle w:val="12385"/>
              <w:pBdr/>
              <w:spacing/>
              <w:ind/>
              <w:rPr>
                <w:rFonts w:cs="Times New Roman"/>
              </w:rPr>
            </w:pPr>
            <w:r>
              <w:rPr>
                <w:rFonts w:cs="Times New Roman"/>
              </w:rPr>
              <w:t xml:space="preserve">3</w:t>
            </w:r>
            <w:r>
              <w:rPr>
                <w:rFonts w:cs="Times New Roman"/>
              </w:rPr>
            </w:r>
          </w:p>
        </w:tc>
        <w:tc>
          <w:tcPr>
            <w:shd w:val="clear" w:color="000000" w:fill="ffffff"/>
            <w:tcBorders>
              <w:bottom w:val="single" w:color="000000" w:sz="4" w:space="0"/>
              <w:right w:val="single" w:color="000000" w:sz="4" w:space="0"/>
            </w:tcBorders>
            <w:tcW w:w="7167" w:type="dxa"/>
          </w:tcPr>
          <w:p>
            <w:pPr>
              <w:pStyle w:val="12385"/>
              <w:pBdr/>
              <w:spacing/>
              <w:ind/>
              <w:rPr>
                <w:rFonts w:cs="Times New Roman"/>
              </w:rPr>
            </w:pPr>
            <w: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10" w:type="dxa"/>
          </w:tcPr>
          <w:p>
            <w:pPr>
              <w:pStyle w:val="12385"/>
              <w:pBdr/>
              <w:spacing/>
              <w:ind/>
              <w:rPr>
                <w:rFonts w:cs="Times New Roman"/>
              </w:rPr>
            </w:pPr>
            <w:r>
              <w:t xml:space="preserve">0,17</w:t>
            </w:r>
            <w:r>
              <w:rPr>
                <w:rFonts w:cs="Times New Roman"/>
              </w:rPr>
            </w:r>
          </w:p>
        </w:tc>
      </w:tr>
    </w:tbl>
    <w:p>
      <w:pPr>
        <w:pStyle w:val="12960"/>
        <w:pBdr/>
        <w:spacing/>
        <w:ind/>
        <w:rPr>
          <w:b/>
          <w:bCs w:val="0"/>
        </w:rPr>
      </w:pPr>
      <w:r>
        <w:rPr>
          <w:b/>
          <w:bCs w:val="0"/>
        </w:rPr>
      </w:r>
      <w:r>
        <w:rPr>
          <w:b/>
          <w:bCs w:val="0"/>
        </w:rPr>
      </w:r>
    </w:p>
    <w:p>
      <w:pPr>
        <w:pStyle w:val="10535"/>
        <w:numPr>
          <w:ilvl w:val="1"/>
          <w:numId w:val="13"/>
        </w:numPr>
        <w:pBdr/>
        <w:spacing w:after="0" w:before="0"/>
        <w:ind/>
        <w:rPr>
          <w:rFonts w:cs="Times New Roman"/>
        </w:rPr>
      </w:pPr>
      <w:r/>
      <w:bookmarkStart w:id="99" w:name="_Toc198483480"/>
      <w:r/>
      <w:bookmarkStart w:id="100" w:name="_Toc166767142"/>
      <w:r/>
      <w:bookmarkStart w:id="101" w:name="_Toc84970928"/>
      <w:r/>
      <w:bookmarkStart w:id="102" w:name="_Toc78674691"/>
      <w:r>
        <w:rPr>
          <w:rFonts w:cs="Times New Roman"/>
        </w:rPr>
        <w:t xml:space="preserve">Ограничения тепловой мощности и параметры располагаемой тепловой мощности</w:t>
      </w:r>
      <w:bookmarkEnd w:id="99"/>
      <w:r/>
      <w:bookmarkEnd w:id="100"/>
      <w:r/>
      <w:bookmarkEnd w:id="101"/>
      <w:r/>
      <w:bookmarkEnd w:id="102"/>
      <w:r/>
      <w:r>
        <w:rPr>
          <w:rFonts w:cs="Times New Roman"/>
        </w:rPr>
      </w:r>
    </w:p>
    <w:p>
      <w:pPr>
        <w:pStyle w:val="12960"/>
        <w:pBdr/>
        <w:spacing/>
        <w:ind/>
        <w:rPr/>
      </w:pPr>
      <w:r>
        <w:t xml:space="preserve">Постановление Правительства РФ №154 от 22.02.2012 г. «О требованиях к схемам теплоснабжения, порядку их разработки и утверждения» вводит следующие понятия:</w:t>
      </w:r>
      <w:r/>
    </w:p>
    <w:p>
      <w:pPr>
        <w:pStyle w:val="12960"/>
        <w:pBdr/>
        <w:spacing/>
        <w:ind/>
        <w:rPr/>
      </w:pPr>
      <w:r>
        <w:rPr>
          <w:b/>
        </w:rPr>
        <w:t xml:space="preserve">«Установленная мощность источника тепловой энергии</w:t>
      </w:r>
      <w: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r/>
    </w:p>
    <w:p>
      <w:pPr>
        <w:pStyle w:val="12960"/>
        <w:pBdr/>
        <w:spacing/>
        <w:ind/>
        <w:rPr/>
      </w:pPr>
      <w:r>
        <w:rPr>
          <w:b/>
        </w:rPr>
        <w:t xml:space="preserve">Располагаемая мощность источника тепловой энергии</w:t>
      </w:r>
      <w:r>
        <w:t xml:space="preserve"> - величина, равная установленной мощности источника тепловой энергии за вычетом объемов мощности, не реализуемой по </w:t>
      </w:r>
      <w:r>
        <w:t xml:space="preserve">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Pr>
          <w:b/>
        </w:rPr>
        <w:t xml:space="preserve">Таблица 1.2.3.1 - </w:t>
      </w:r>
      <w:r>
        <w:rPr>
          <w:rStyle w:val="11000"/>
          <w:b/>
          <w:bCs/>
          <w:iCs/>
        </w:rPr>
        <w:t xml:space="preserve">Установленная и располагаемая мощность оборудования, последняя представлена с учетом технически возможного максимума, в</w:t>
      </w:r>
      <w:r>
        <w:rPr>
          <w:b/>
        </w:rPr>
        <w:t xml:space="preserve"> соответствии с разработанными режимными картами</w:t>
      </w:r>
      <w:r>
        <w:t xml:space="preserve">.</w:t>
      </w: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86"/>
        <w:gridCol w:w="5899"/>
        <w:gridCol w:w="1510"/>
        <w:gridCol w:w="1458"/>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rPr>
                <w:rFonts w:cs="Times New Roman"/>
              </w:rPr>
              <w:t xml:space="preserve">№ </w:t>
            </w:r>
            <w:r>
              <w:rPr>
                <w:rFonts w:cs="Times New Roman"/>
              </w:rPr>
              <w:t xml:space="preserve">п/п</w:t>
            </w:r>
            <w:r>
              <w:rPr>
                <w:rFonts w:cs="Times New Roman"/>
              </w:rPr>
            </w:r>
          </w:p>
        </w:tc>
        <w:tc>
          <w:tcPr>
            <w:shd w:val="clear" w:color="000000" w:fill="d9d9d9"/>
            <w:tcBorders>
              <w:top w:val="single" w:color="000000" w:sz="4" w:space="0"/>
              <w:bottom w:val="single" w:color="000000" w:sz="4" w:space="0"/>
              <w:right w:val="single" w:color="000000" w:sz="4" w:space="0"/>
            </w:tcBorders>
            <w:tcW w:w="5899" w:type="dxa"/>
            <w:vAlign w:val="center"/>
          </w:tcPr>
          <w:p>
            <w:pPr>
              <w:pStyle w:val="12385"/>
              <w:pBdr/>
              <w:spacing/>
              <w:ind/>
              <w:rPr>
                <w:rFonts w:cs="Times New Roman"/>
              </w:rPr>
            </w:pPr>
            <w:r>
              <w:rPr>
                <w:rFonts w:cs="Times New Roman"/>
              </w:rPr>
              <w:t xml:space="preserve">Наименование источника</w:t>
            </w:r>
            <w:r>
              <w:rPr>
                <w:rFonts w:cs="Times New Roman"/>
              </w:rPr>
            </w:r>
          </w:p>
        </w:tc>
        <w:tc>
          <w:tcPr>
            <w:shd w:val="clear" w:color="000000" w:fill="d9d9d9"/>
            <w:tcBorders>
              <w:top w:val="single" w:color="000000" w:sz="4" w:space="0"/>
              <w:bottom w:val="single" w:color="000000" w:sz="4" w:space="0"/>
              <w:right w:val="single" w:color="000000" w:sz="4" w:space="0"/>
            </w:tcBorders>
            <w:tcW w:w="1510" w:type="dxa"/>
            <w:vAlign w:val="center"/>
          </w:tcPr>
          <w:p>
            <w:pPr>
              <w:pStyle w:val="12385"/>
              <w:pBdr/>
              <w:spacing/>
              <w:ind/>
              <w:rPr>
                <w:rFonts w:cs="Times New Roman"/>
              </w:rPr>
            </w:pPr>
            <w:r>
              <w:rPr>
                <w:rFonts w:cs="Times New Roman"/>
              </w:rPr>
              <w:t xml:space="preserve">Установленная тепловая мощность, Гкал/ч</w:t>
            </w:r>
            <w:r>
              <w:rPr>
                <w:rFonts w:cs="Times New Roman"/>
              </w:rPr>
            </w:r>
          </w:p>
        </w:tc>
        <w:tc>
          <w:tcPr>
            <w:shd w:val="clear" w:color="000000" w:fill="d9d9d9"/>
            <w:tcBorders>
              <w:top w:val="single" w:color="000000" w:sz="4" w:space="0"/>
              <w:bottom w:val="single" w:color="000000" w:sz="4" w:space="0"/>
              <w:right w:val="single" w:color="000000" w:sz="4" w:space="0"/>
            </w:tcBorders>
            <w:tcW w:w="1458" w:type="dxa"/>
            <w:vAlign w:val="center"/>
          </w:tcPr>
          <w:p>
            <w:pPr>
              <w:pStyle w:val="12385"/>
              <w:pBdr/>
              <w:spacing/>
              <w:ind/>
              <w:rPr>
                <w:rFonts w:cs="Times New Roman"/>
              </w:rPr>
            </w:pPr>
            <w:r>
              <w:rPr>
                <w:rFonts w:cs="Times New Roman"/>
              </w:rPr>
              <w:t xml:space="preserve">Фактическая располагаемая тепловая мощность источника, Гкал/ч</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1</w:t>
            </w:r>
            <w:r>
              <w:rPr>
                <w:rFonts w:cs="Times New Roman"/>
              </w:rPr>
            </w:r>
          </w:p>
        </w:tc>
        <w:tc>
          <w:tcPr>
            <w:shd w:val="clear" w:color="000000" w:fill="ffffff"/>
            <w:tcBorders>
              <w:bottom w:val="single" w:color="000000" w:sz="4" w:space="0"/>
              <w:right w:val="single" w:color="000000" w:sz="4" w:space="0"/>
            </w:tcBorders>
            <w:tcW w:w="5899" w:type="dxa"/>
          </w:tcPr>
          <w:p>
            <w:pPr>
              <w:pStyle w:val="12385"/>
              <w:pBdr/>
              <w:spacing/>
              <w:ind/>
              <w:rPr>
                <w:rFonts w:cs="Times New Roman"/>
              </w:rPr>
            </w:pPr>
            <w: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10"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4" w:space="0"/>
              <w:right w:val="single" w:color="000000" w:sz="4" w:space="0"/>
            </w:tcBorders>
            <w:tcW w:w="1458" w:type="dxa"/>
          </w:tcPr>
          <w:p>
            <w:pPr>
              <w:pStyle w:val="12385"/>
              <w:pBdr/>
              <w:spacing/>
              <w:ind/>
              <w:rPr>
                <w:rFonts w:cs="Times New Roman"/>
              </w:rPr>
            </w:pPr>
            <w:r>
              <w:t xml:space="preserve">0,17</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2</w:t>
            </w:r>
            <w:r>
              <w:rPr>
                <w:rFonts w:cs="Times New Roman"/>
              </w:rPr>
            </w:r>
          </w:p>
        </w:tc>
        <w:tc>
          <w:tcPr>
            <w:shd w:val="clear" w:color="000000" w:fill="ffffff"/>
            <w:tcBorders>
              <w:bottom w:val="single" w:color="000000" w:sz="4" w:space="0"/>
              <w:right w:val="single" w:color="000000" w:sz="4" w:space="0"/>
            </w:tcBorders>
            <w:tcW w:w="5899" w:type="dxa"/>
          </w:tcPr>
          <w:p>
            <w:pPr>
              <w:pStyle w:val="12385"/>
              <w:pBdr/>
              <w:spacing/>
              <w:ind/>
              <w:rPr>
                <w:rFonts w:cs="Times New Roman"/>
              </w:rPr>
            </w:pPr>
            <w: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10" w:type="dxa"/>
          </w:tcPr>
          <w:p>
            <w:pPr>
              <w:pStyle w:val="12385"/>
              <w:pBdr/>
              <w:spacing/>
              <w:ind/>
              <w:rPr>
                <w:rFonts w:cs="Times New Roman"/>
              </w:rPr>
            </w:pPr>
            <w:r>
              <w:t xml:space="preserve">0,34</w:t>
            </w:r>
            <w:r>
              <w:rPr>
                <w:rFonts w:cs="Times New Roman"/>
              </w:rPr>
            </w:r>
          </w:p>
        </w:tc>
        <w:tc>
          <w:tcPr>
            <w:shd w:val="clear" w:color="000000" w:fill="ffffff"/>
            <w:tcBorders>
              <w:bottom w:val="single" w:color="000000" w:sz="4" w:space="0"/>
              <w:right w:val="single" w:color="000000" w:sz="4" w:space="0"/>
            </w:tcBorders>
            <w:tcW w:w="1458" w:type="dxa"/>
          </w:tcPr>
          <w:p>
            <w:pPr>
              <w:pStyle w:val="12385"/>
              <w:pBdr/>
              <w:spacing/>
              <w:ind/>
              <w:rPr>
                <w:rFonts w:cs="Times New Roman"/>
              </w:rPr>
            </w:pPr>
            <w:r>
              <w:t xml:space="preserve">0,34</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3</w:t>
            </w:r>
            <w:r>
              <w:rPr>
                <w:rFonts w:cs="Times New Roman"/>
              </w:rPr>
            </w:r>
          </w:p>
        </w:tc>
        <w:tc>
          <w:tcPr>
            <w:shd w:val="clear" w:color="000000" w:fill="ffffff"/>
            <w:tcBorders>
              <w:bottom w:val="single" w:color="000000" w:sz="4" w:space="0"/>
              <w:right w:val="single" w:color="000000" w:sz="4" w:space="0"/>
            </w:tcBorders>
            <w:tcW w:w="5899" w:type="dxa"/>
          </w:tcPr>
          <w:p>
            <w:pPr>
              <w:pStyle w:val="12385"/>
              <w:pBdr/>
              <w:spacing/>
              <w:ind/>
              <w:rPr>
                <w:rFonts w:cs="Times New Roman"/>
              </w:rPr>
            </w:pPr>
            <w: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10"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4" w:space="0"/>
              <w:right w:val="single" w:color="000000" w:sz="4" w:space="0"/>
            </w:tcBorders>
            <w:tcW w:w="1458" w:type="dxa"/>
          </w:tcPr>
          <w:p>
            <w:pPr>
              <w:pStyle w:val="12385"/>
              <w:pBdr/>
              <w:spacing/>
              <w:ind/>
              <w:rPr>
                <w:rFonts w:cs="Times New Roman"/>
              </w:rPr>
            </w:pPr>
            <w:r>
              <w:t xml:space="preserve">0,17</w:t>
            </w:r>
            <w:r>
              <w:rPr>
                <w:rFonts w:cs="Times New Roman"/>
              </w:rPr>
            </w:r>
          </w:p>
        </w:tc>
      </w:tr>
    </w:tbl>
    <w:p>
      <w:pPr>
        <w:pStyle w:val="12960"/>
        <w:pBdr/>
        <w:spacing/>
        <w:ind/>
        <w:rPr/>
      </w:pPr>
      <w:r/>
      <w:r/>
    </w:p>
    <w:p>
      <w:pPr>
        <w:pStyle w:val="10535"/>
        <w:numPr>
          <w:ilvl w:val="1"/>
          <w:numId w:val="13"/>
        </w:numPr>
        <w:pBdr/>
        <w:spacing/>
        <w:ind/>
        <w:rPr>
          <w:rFonts w:cs="Times New Roman"/>
        </w:rPr>
      </w:pPr>
      <w:r/>
      <w:bookmarkStart w:id="103" w:name="_Toc78674692"/>
      <w:r/>
      <w:bookmarkStart w:id="104" w:name="_Toc84970929"/>
      <w:r/>
      <w:bookmarkStart w:id="105" w:name="_Toc166767143"/>
      <w:r/>
      <w:bookmarkStart w:id="106" w:name="_Toc198483481"/>
      <w:r>
        <w:rPr>
          <w:rFonts w:cs="Times New Roman"/>
        </w:rP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03"/>
      <w:r/>
      <w:bookmarkEnd w:id="104"/>
      <w:r/>
      <w:bookmarkEnd w:id="105"/>
      <w:r/>
      <w:bookmarkEnd w:id="106"/>
      <w:r/>
      <w:r>
        <w:rPr>
          <w:rFonts w:cs="Times New Roman"/>
        </w:rPr>
      </w:r>
    </w:p>
    <w:p>
      <w:pPr>
        <w:pStyle w:val="12960"/>
        <w:pBdr/>
        <w:spacing/>
        <w:ind/>
        <w:rPr/>
      </w:pPr>
      <w:r/>
      <w:bookmarkStart w:id="107" w:name="_Ref365304232"/>
      <w:r/>
      <w:bookmarkEnd w:id="107"/>
      <w:r>
        <w:t xml:space="preserve">Постановление Правительства РФ №154 от 22.02.2012 г. «О требованиях к схемам теплоснабжения, порядку их разработки и утверждения» вводит следующее понятие:</w:t>
      </w:r>
      <w:r/>
    </w:p>
    <w:p>
      <w:pPr>
        <w:pStyle w:val="12960"/>
        <w:pBdr/>
        <w:spacing/>
        <w:ind/>
        <w:rPr/>
      </w:pPr>
      <w:r>
        <w:rPr>
          <w:b/>
        </w:rPr>
        <w:t xml:space="preserve">«Мощность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на собственные и хозяйственные нужды».</w:t>
      </w:r>
      <w:r/>
    </w:p>
    <w:p>
      <w:pPr>
        <w:pStyle w:val="12960"/>
        <w:pBdr/>
        <w:spacing/>
        <w:ind/>
        <w:rPr>
          <w:color w:val="auto"/>
        </w:rPr>
      </w:pPr>
      <w:r>
        <w:rPr>
          <w:color w:val="auto"/>
        </w:rPr>
        <w:t xml:space="preserve">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w:t>
      </w:r>
      <w:r>
        <w:rPr>
          <w:color w:val="auto"/>
        </w:rPr>
        <w:t xml:space="preserve">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 323 (ред. от</w:t>
      </w:r>
      <w:r>
        <w:rPr>
          <w:color w:val="auto"/>
        </w:rPr>
        <w:t xml:space="preserve">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r>
        <w:rPr>
          <w:color w:val="auto"/>
        </w:rPr>
      </w:r>
    </w:p>
    <w:p>
      <w:pPr>
        <w:pStyle w:val="12960"/>
        <w:pBdr/>
        <w:spacing/>
        <w:ind/>
        <w:rPr>
          <w:color w:val="auto"/>
        </w:rPr>
      </w:pPr>
      <w:r>
        <w:rPr>
          <w:color w:val="auto"/>
        </w:rPr>
        <w:t xml:space="preserve">Расход тепловой энергии на собственные нужды котельных определяется опытным (режимно-наладочные и (или) балансовые испытания) или расчетным методом.</w:t>
      </w:r>
      <w:r>
        <w:rPr>
          <w:color w:val="auto"/>
        </w:rPr>
      </w:r>
    </w:p>
    <w:p>
      <w:pPr>
        <w:pStyle w:val="12960"/>
        <w:pBdr/>
        <w:spacing/>
        <w:ind/>
        <w:rPr>
          <w:color w:val="auto"/>
        </w:rPr>
      </w:pPr>
      <w:r>
        <w:rPr>
          <w:color w:val="auto"/>
        </w:rPr>
        <w:t xml:space="preserve">В состав общего расхода тепловой энергии на собственные нужды котельных в виде горячей воды или пара входят следующие элементы затрат:</w:t>
      </w:r>
      <w:r>
        <w:rPr>
          <w:color w:val="auto"/>
        </w:rPr>
      </w:r>
    </w:p>
    <w:p>
      <w:pPr>
        <w:pStyle w:val="13832"/>
        <w:numPr>
          <w:ilvl w:val="0"/>
          <w:numId w:val="61"/>
        </w:numPr>
        <w:pBdr/>
        <w:spacing/>
        <w:ind w:hanging="284" w:left="1135"/>
        <w:rPr/>
      </w:pPr>
      <w:r>
        <w:t xml:space="preserve">растопка, продувка котлов;</w:t>
      </w:r>
      <w:r/>
    </w:p>
    <w:p>
      <w:pPr>
        <w:pStyle w:val="13832"/>
        <w:numPr>
          <w:ilvl w:val="0"/>
          <w:numId w:val="61"/>
        </w:numPr>
        <w:pBdr/>
        <w:spacing/>
        <w:ind w:hanging="284" w:left="1135"/>
        <w:rPr/>
      </w:pPr>
      <w:r>
        <w:t xml:space="preserve">обдувка поверхностей нагрева;</w:t>
      </w:r>
      <w:r/>
    </w:p>
    <w:p>
      <w:pPr>
        <w:pStyle w:val="13832"/>
        <w:numPr>
          <w:ilvl w:val="0"/>
          <w:numId w:val="61"/>
        </w:numPr>
        <w:pBdr/>
        <w:spacing/>
        <w:ind w:hanging="284" w:left="1135"/>
        <w:rPr/>
      </w:pPr>
      <w:r>
        <w:t xml:space="preserve">подогрев топлива;</w:t>
      </w:r>
      <w:r/>
    </w:p>
    <w:p>
      <w:pPr>
        <w:pStyle w:val="13832"/>
        <w:numPr>
          <w:ilvl w:val="0"/>
          <w:numId w:val="61"/>
        </w:numPr>
        <w:pBdr/>
        <w:spacing/>
        <w:ind w:hanging="284" w:left="1135"/>
        <w:rPr/>
      </w:pPr>
      <w:r>
        <w:t xml:space="preserve">паровой распыл топлива;</w:t>
      </w:r>
      <w:r/>
    </w:p>
    <w:p>
      <w:pPr>
        <w:pStyle w:val="13832"/>
        <w:numPr>
          <w:ilvl w:val="0"/>
          <w:numId w:val="61"/>
        </w:numPr>
        <w:pBdr/>
        <w:spacing/>
        <w:ind w:hanging="284" w:left="1135"/>
        <w:rPr/>
      </w:pPr>
      <w:r>
        <w:t xml:space="preserve">деаэрация (выпар);</w:t>
      </w:r>
      <w:r/>
    </w:p>
    <w:p>
      <w:pPr>
        <w:pStyle w:val="13832"/>
        <w:numPr>
          <w:ilvl w:val="0"/>
          <w:numId w:val="61"/>
        </w:numPr>
        <w:pBdr/>
        <w:spacing/>
        <w:ind w:hanging="284" w:left="1135"/>
        <w:rPr/>
      </w:pPr>
      <w:r>
        <w:t xml:space="preserve">технологические нужды ХВО;</w:t>
      </w:r>
      <w:r/>
    </w:p>
    <w:p>
      <w:pPr>
        <w:pStyle w:val="13832"/>
        <w:keepNext w:val="false"/>
        <w:widowControl w:val="true"/>
        <w:numPr>
          <w:ilvl w:val="0"/>
          <w:numId w:val="61"/>
        </w:numPr>
        <w:pBdr/>
        <w:bidi w:val="false"/>
        <w:spacing w:after="0" w:before="0" w:line="360" w:lineRule="auto"/>
        <w:ind w:right="0" w:firstLine="567" w:left="0"/>
        <w:jc w:val="both"/>
        <w:rPr/>
      </w:pPr>
      <w:r>
        <w:t xml:space="preserve">отопление и хозяйственные нужды котельной, потери с излучением тепловой энергии теплопроводами, насосами, баками и т.п.; </w:t>
      </w:r>
      <w:r/>
    </w:p>
    <w:p>
      <w:pPr>
        <w:pStyle w:val="13832"/>
        <w:numPr>
          <w:ilvl w:val="0"/>
          <w:numId w:val="61"/>
        </w:numPr>
        <w:pBdr/>
        <w:spacing/>
        <w:ind w:hanging="284" w:left="1135"/>
        <w:rPr/>
      </w:pPr>
      <w:r>
        <w:t xml:space="preserve">утечки, парение при опробовании и другие потери.</w:t>
      </w:r>
      <w:r/>
    </w:p>
    <w:p>
      <w:pPr>
        <w:pStyle w:val="12960"/>
        <w:pBdr/>
        <w:spacing/>
        <w:ind/>
        <w:rPr>
          <w:color w:val="auto"/>
        </w:rPr>
      </w:pPr>
      <w:r>
        <w:rPr>
          <w:color w:val="auto"/>
        </w:rPr>
        <w:t xml:space="preserve">При расчетном определении расхода тепловой энергии на собственные нужды котельной используются нижеприведенные зависимости.</w:t>
      </w:r>
      <w:r>
        <w:rPr>
          <w:color w:val="auto"/>
        </w:rPr>
      </w:r>
    </w:p>
    <w:p>
      <w:pPr>
        <w:pStyle w:val="12960"/>
        <w:pBdr/>
        <w:spacing/>
        <w:ind/>
        <w:rPr>
          <w:color w:val="auto"/>
        </w:rPr>
      </w:pPr>
      <w:r>
        <w:rPr>
          <w:color w:val="auto"/>
        </w:rPr>
        <w:t xml:space="preserve">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w:t>
      </w:r>
      <w:r>
        <w:rPr>
          <w:color w:val="auto"/>
        </w:rPr>
        <w:t xml:space="preserve">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r>
        <w:rPr>
          <w:color w:val="auto"/>
        </w:rPr>
      </w:r>
    </w:p>
    <w:p>
      <w:pPr>
        <w:pStyle w:val="12960"/>
        <w:pBdr/>
        <w:spacing/>
        <w:ind/>
        <w:rPr>
          <w:lang w:bidi="hi-IN"/>
        </w:rPr>
      </w:pPr>
      <w:r>
        <w:rPr>
          <w:color w:val="auto"/>
        </w:rPr>
        <w:t xml:space="preserve">На основании представленных данных об объемах потребления тепловой энергии (мощности) на собственные и хозяйственные нужды составлена таблица.</w:t>
      </w:r>
      <w:r>
        <w:rPr>
          <w:lang w:bidi="hi-IN"/>
        </w:rPr>
      </w:r>
    </w:p>
    <w:p>
      <w:pPr>
        <w:pStyle w:val="12960"/>
        <w:pBdr/>
        <w:spacing/>
        <w:ind/>
        <w:rPr>
          <w:b/>
        </w:rPr>
      </w:pPr>
      <w:r/>
      <w:bookmarkStart w:id="108" w:name="_Toc527706857"/>
      <w:r>
        <w:rPr>
          <w:b/>
        </w:rPr>
        <w:t xml:space="preserve">Таблица 1.2.4.1 – 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End w:id="108"/>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86"/>
        <w:gridCol w:w="3521"/>
        <w:gridCol w:w="1508"/>
        <w:gridCol w:w="1460"/>
        <w:gridCol w:w="1306"/>
        <w:gridCol w:w="1072"/>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rPr>
                <w:rFonts w:cs="Times New Roman"/>
              </w:rPr>
              <w:t xml:space="preserve">№ </w:t>
            </w:r>
            <w:r>
              <w:rPr>
                <w:rFonts w:cs="Times New Roman"/>
              </w:rPr>
              <w:t xml:space="preserve">п/п</w:t>
            </w:r>
            <w:r>
              <w:rPr>
                <w:rFonts w:cs="Times New Roman"/>
              </w:rPr>
            </w:r>
          </w:p>
        </w:tc>
        <w:tc>
          <w:tcPr>
            <w:shd w:val="clear" w:color="000000" w:fill="d9d9d9"/>
            <w:tcBorders>
              <w:top w:val="single" w:color="000000" w:sz="4" w:space="0"/>
              <w:bottom w:val="single" w:color="000000" w:sz="4" w:space="0"/>
              <w:right w:val="single" w:color="000000" w:sz="4" w:space="0"/>
            </w:tcBorders>
            <w:tcW w:w="3521" w:type="dxa"/>
            <w:vAlign w:val="center"/>
          </w:tcPr>
          <w:p>
            <w:pPr>
              <w:pStyle w:val="12385"/>
              <w:pBdr/>
              <w:spacing/>
              <w:ind/>
              <w:rPr>
                <w:rFonts w:cs="Times New Roman"/>
              </w:rPr>
            </w:pPr>
            <w:r>
              <w:rPr>
                <w:rFonts w:cs="Times New Roman"/>
              </w:rPr>
              <w:t xml:space="preserve">Наименование источника</w:t>
            </w:r>
            <w:r>
              <w:rPr>
                <w:rFonts w:cs="Times New Roman"/>
              </w:rPr>
            </w:r>
          </w:p>
        </w:tc>
        <w:tc>
          <w:tcPr>
            <w:shd w:val="clear" w:color="000000" w:fill="d9d9d9"/>
            <w:tcBorders>
              <w:top w:val="single" w:color="000000" w:sz="4" w:space="0"/>
              <w:bottom w:val="single" w:color="000000" w:sz="4" w:space="0"/>
              <w:right w:val="single" w:color="000000" w:sz="4" w:space="0"/>
            </w:tcBorders>
            <w:tcW w:w="1508" w:type="dxa"/>
            <w:vAlign w:val="center"/>
          </w:tcPr>
          <w:p>
            <w:pPr>
              <w:pStyle w:val="12385"/>
              <w:pBdr/>
              <w:spacing/>
              <w:ind/>
              <w:rPr>
                <w:rFonts w:cs="Times New Roman"/>
              </w:rPr>
            </w:pPr>
            <w:r>
              <w:rPr>
                <w:rFonts w:cs="Times New Roman"/>
              </w:rPr>
              <w:t xml:space="preserve">Установленная тепловая мощность, Гкал/ч</w:t>
            </w:r>
            <w:r>
              <w:rPr>
                <w:rFonts w:cs="Times New Roman"/>
              </w:rPr>
            </w:r>
          </w:p>
        </w:tc>
        <w:tc>
          <w:tcPr>
            <w:shd w:val="clear" w:color="000000" w:fill="d9d9d9"/>
            <w:tcBorders>
              <w:top w:val="single" w:color="000000" w:sz="4" w:space="0"/>
              <w:bottom w:val="single" w:color="000000" w:sz="4" w:space="0"/>
              <w:right w:val="single" w:color="000000" w:sz="4" w:space="0"/>
            </w:tcBorders>
            <w:tcW w:w="1460" w:type="dxa"/>
            <w:vAlign w:val="center"/>
          </w:tcPr>
          <w:p>
            <w:pPr>
              <w:pStyle w:val="12385"/>
              <w:pBdr/>
              <w:spacing/>
              <w:ind/>
              <w:rPr>
                <w:rFonts w:cs="Times New Roman"/>
              </w:rPr>
            </w:pPr>
            <w:r>
              <w:rPr>
                <w:rFonts w:cs="Times New Roman"/>
              </w:rPr>
              <w:t xml:space="preserve">Фактическая располагаемая тепловая мощность источника, Гкал/ч</w:t>
            </w:r>
            <w:r>
              <w:rPr>
                <w:rFonts w:cs="Times New Roman"/>
              </w:rPr>
            </w:r>
          </w:p>
        </w:tc>
        <w:tc>
          <w:tcPr>
            <w:shd w:val="clear" w:color="000000" w:fill="d9d9d9"/>
            <w:tcBorders>
              <w:top w:val="single" w:color="000000" w:sz="4" w:space="0"/>
              <w:bottom w:val="single" w:color="000000" w:sz="4" w:space="0"/>
              <w:right w:val="single" w:color="000000" w:sz="4" w:space="0"/>
            </w:tcBorders>
            <w:tcW w:w="1306" w:type="dxa"/>
            <w:vAlign w:val="center"/>
          </w:tcPr>
          <w:p>
            <w:pPr>
              <w:pStyle w:val="12385"/>
              <w:pBdr/>
              <w:spacing/>
              <w:ind/>
              <w:rPr>
                <w:rFonts w:cs="Times New Roman"/>
              </w:rPr>
            </w:pPr>
            <w:r>
              <w:rPr>
                <w:rFonts w:cs="Times New Roman"/>
              </w:rPr>
              <w:t xml:space="preserve">Расход тепловой мощности на собственные нужды, Гкал/ч</w:t>
            </w:r>
            <w:r>
              <w:rPr>
                <w:rFonts w:cs="Times New Roman"/>
              </w:rPr>
            </w:r>
          </w:p>
        </w:tc>
        <w:tc>
          <w:tcPr>
            <w:shd w:val="clear" w:color="000000" w:fill="d9d9d9"/>
            <w:tcBorders>
              <w:top w:val="single" w:color="000000" w:sz="4" w:space="0"/>
              <w:bottom w:val="single" w:color="000000" w:sz="4" w:space="0"/>
              <w:right w:val="single" w:color="000000" w:sz="4" w:space="0"/>
            </w:tcBorders>
            <w:tcW w:w="1072" w:type="dxa"/>
            <w:vAlign w:val="center"/>
          </w:tcPr>
          <w:p>
            <w:pPr>
              <w:pStyle w:val="12385"/>
              <w:pBdr/>
              <w:spacing/>
              <w:ind/>
              <w:rPr>
                <w:rFonts w:cs="Times New Roman"/>
              </w:rPr>
            </w:pPr>
            <w:r>
              <w:rPr>
                <w:rFonts w:cs="Times New Roman"/>
              </w:rPr>
              <w:t xml:space="preserve">Тепловая мощность нетто, Гкал/ч</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1</w:t>
            </w:r>
            <w:r>
              <w:rPr>
                <w:rFonts w:cs="Times New Roman"/>
              </w:rPr>
            </w:r>
          </w:p>
        </w:tc>
        <w:tc>
          <w:tcPr>
            <w:shd w:val="clear" w:color="000000" w:fill="ffffff"/>
            <w:tcBorders>
              <w:bottom w:val="single" w:color="000000" w:sz="4" w:space="0"/>
              <w:right w:val="single" w:color="000000" w:sz="4" w:space="0"/>
            </w:tcBorders>
            <w:tcW w:w="3521" w:type="dxa"/>
          </w:tcPr>
          <w:p>
            <w:pPr>
              <w:pStyle w:val="12385"/>
              <w:pBdr/>
              <w:spacing/>
              <w:ind/>
              <w:rPr>
                <w:rFonts w:cs="Times New Roman"/>
              </w:rPr>
            </w:pPr>
            <w: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08"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4" w:space="0"/>
              <w:right w:val="single" w:color="000000" w:sz="4" w:space="0"/>
            </w:tcBorders>
            <w:tcW w:w="1460"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4" w:space="0"/>
              <w:right w:val="single" w:color="000000" w:sz="4" w:space="0"/>
            </w:tcBorders>
            <w:tcW w:w="1306" w:type="dxa"/>
          </w:tcPr>
          <w:p>
            <w:pPr>
              <w:pStyle w:val="12385"/>
              <w:pBdr/>
              <w:spacing/>
              <w:ind/>
              <w:rPr>
                <w:rFonts w:cs="Times New Roman"/>
              </w:rPr>
            </w:pPr>
            <w:r>
              <w:t xml:space="preserve">0,001</w:t>
            </w:r>
            <w:r>
              <w:rPr>
                <w:rFonts w:cs="Times New Roman"/>
              </w:rPr>
            </w:r>
          </w:p>
        </w:tc>
        <w:tc>
          <w:tcPr>
            <w:shd w:val="clear" w:color="000000" w:fill="ffffff"/>
            <w:tcBorders>
              <w:bottom w:val="single" w:color="000000" w:sz="4" w:space="0"/>
              <w:right w:val="single" w:color="000000" w:sz="4" w:space="0"/>
            </w:tcBorders>
            <w:tcW w:w="1072" w:type="dxa"/>
          </w:tcPr>
          <w:p>
            <w:pPr>
              <w:pStyle w:val="12385"/>
              <w:pBdr/>
              <w:spacing/>
              <w:ind/>
              <w:rPr>
                <w:rFonts w:cs="Times New Roman"/>
              </w:rPr>
            </w:pPr>
            <w:r>
              <w:t xml:space="preserve">0,171</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2</w:t>
            </w:r>
            <w:r>
              <w:rPr>
                <w:rFonts w:cs="Times New Roman"/>
              </w:rPr>
            </w:r>
          </w:p>
        </w:tc>
        <w:tc>
          <w:tcPr>
            <w:shd w:val="clear" w:color="000000" w:fill="ffffff"/>
            <w:tcBorders>
              <w:bottom w:val="single" w:color="000000" w:sz="4" w:space="0"/>
              <w:right w:val="single" w:color="000000" w:sz="4" w:space="0"/>
            </w:tcBorders>
            <w:tcW w:w="3521" w:type="dxa"/>
          </w:tcPr>
          <w:p>
            <w:pPr>
              <w:pStyle w:val="12385"/>
              <w:pBdr/>
              <w:spacing/>
              <w:ind/>
              <w:rPr>
                <w:rFonts w:cs="Times New Roman"/>
              </w:rPr>
            </w:pPr>
            <w: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08" w:type="dxa"/>
          </w:tcPr>
          <w:p>
            <w:pPr>
              <w:pStyle w:val="12385"/>
              <w:pBdr/>
              <w:spacing/>
              <w:ind/>
              <w:rPr>
                <w:rFonts w:cs="Times New Roman"/>
              </w:rPr>
            </w:pPr>
            <w:r>
              <w:t xml:space="preserve">0,34</w:t>
            </w:r>
            <w:r>
              <w:rPr>
                <w:rFonts w:cs="Times New Roman"/>
              </w:rPr>
            </w:r>
          </w:p>
        </w:tc>
        <w:tc>
          <w:tcPr>
            <w:shd w:val="clear" w:color="000000" w:fill="ffffff"/>
            <w:tcBorders>
              <w:bottom w:val="single" w:color="000000" w:sz="4" w:space="0"/>
              <w:right w:val="single" w:color="000000" w:sz="4" w:space="0"/>
            </w:tcBorders>
            <w:tcW w:w="1460" w:type="dxa"/>
          </w:tcPr>
          <w:p>
            <w:pPr>
              <w:pStyle w:val="12385"/>
              <w:pBdr/>
              <w:spacing/>
              <w:ind/>
              <w:rPr>
                <w:rFonts w:cs="Times New Roman"/>
              </w:rPr>
            </w:pPr>
            <w:r>
              <w:t xml:space="preserve">0,34</w:t>
            </w:r>
            <w:r>
              <w:rPr>
                <w:rFonts w:cs="Times New Roman"/>
              </w:rPr>
            </w:r>
          </w:p>
        </w:tc>
        <w:tc>
          <w:tcPr>
            <w:shd w:val="clear" w:color="000000" w:fill="ffffff"/>
            <w:tcBorders>
              <w:bottom w:val="single" w:color="000000" w:sz="4" w:space="0"/>
              <w:right w:val="single" w:color="000000" w:sz="4" w:space="0"/>
            </w:tcBorders>
            <w:tcW w:w="1306" w:type="dxa"/>
          </w:tcPr>
          <w:p>
            <w:pPr>
              <w:pStyle w:val="12385"/>
              <w:pBdr/>
              <w:spacing/>
              <w:ind/>
              <w:rPr>
                <w:rFonts w:cs="Times New Roman"/>
              </w:rPr>
            </w:pPr>
            <w:r>
              <w:t xml:space="preserve">0,0006</w:t>
            </w:r>
            <w:r>
              <w:rPr>
                <w:rFonts w:cs="Times New Roman"/>
              </w:rPr>
            </w:r>
          </w:p>
        </w:tc>
        <w:tc>
          <w:tcPr>
            <w:shd w:val="clear" w:color="000000" w:fill="ffffff"/>
            <w:tcBorders>
              <w:bottom w:val="single" w:color="000000" w:sz="4" w:space="0"/>
              <w:right w:val="single" w:color="000000" w:sz="4" w:space="0"/>
            </w:tcBorders>
            <w:tcW w:w="1072" w:type="dxa"/>
          </w:tcPr>
          <w:p>
            <w:pPr>
              <w:pStyle w:val="12385"/>
              <w:pBdr/>
              <w:spacing/>
              <w:ind/>
              <w:rPr>
                <w:rFonts w:cs="Times New Roman"/>
              </w:rPr>
            </w:pPr>
            <w:r>
              <w:t xml:space="preserve">0,34</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3</w:t>
            </w:r>
            <w:r>
              <w:rPr>
                <w:rFonts w:cs="Times New Roman"/>
              </w:rPr>
            </w:r>
          </w:p>
        </w:tc>
        <w:tc>
          <w:tcPr>
            <w:shd w:val="clear" w:color="000000" w:fill="ffffff"/>
            <w:tcBorders>
              <w:bottom w:val="single" w:color="000000" w:sz="4" w:space="0"/>
              <w:right w:val="single" w:color="000000" w:sz="4" w:space="0"/>
            </w:tcBorders>
            <w:tcW w:w="3521" w:type="dxa"/>
          </w:tcPr>
          <w:p>
            <w:pPr>
              <w:pStyle w:val="12385"/>
              <w:pBdr/>
              <w:spacing/>
              <w:ind/>
              <w:rPr>
                <w:rFonts w:cs="Times New Roman"/>
              </w:rPr>
            </w:pPr>
            <w: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08"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4" w:space="0"/>
              <w:right w:val="single" w:color="000000" w:sz="4" w:space="0"/>
            </w:tcBorders>
            <w:tcW w:w="1460"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4" w:space="0"/>
              <w:right w:val="single" w:color="000000" w:sz="4" w:space="0"/>
            </w:tcBorders>
            <w:tcW w:w="1306" w:type="dxa"/>
          </w:tcPr>
          <w:p>
            <w:pPr>
              <w:pStyle w:val="12385"/>
              <w:pBdr/>
              <w:spacing/>
              <w:ind/>
              <w:rPr>
                <w:rFonts w:cs="Times New Roman"/>
              </w:rPr>
            </w:pPr>
            <w:r>
              <w:t xml:space="preserve">0,0009</w:t>
            </w:r>
            <w:r>
              <w:rPr>
                <w:rFonts w:cs="Times New Roman"/>
              </w:rPr>
            </w:r>
          </w:p>
        </w:tc>
        <w:tc>
          <w:tcPr>
            <w:shd w:val="clear" w:color="000000" w:fill="ffffff"/>
            <w:tcBorders>
              <w:bottom w:val="single" w:color="000000" w:sz="4" w:space="0"/>
              <w:right w:val="single" w:color="000000" w:sz="4" w:space="0"/>
            </w:tcBorders>
            <w:tcW w:w="1072" w:type="dxa"/>
          </w:tcPr>
          <w:p>
            <w:pPr>
              <w:pStyle w:val="12385"/>
              <w:pBdr/>
              <w:spacing/>
              <w:ind/>
              <w:rPr>
                <w:rFonts w:cs="Times New Roman"/>
              </w:rPr>
            </w:pPr>
            <w:r>
              <w:t xml:space="preserve">0,17</w:t>
            </w:r>
            <w:r>
              <w:rPr>
                <w:rFonts w:cs="Times New Roman"/>
              </w:rPr>
            </w:r>
          </w:p>
        </w:tc>
      </w:tr>
    </w:tbl>
    <w:p>
      <w:pPr>
        <w:pStyle w:val="12960"/>
        <w:pBdr/>
        <w:spacing/>
        <w:ind/>
        <w:rPr>
          <w:b/>
        </w:rPr>
      </w:pPr>
      <w:r>
        <w:rPr>
          <w:b/>
        </w:rPr>
      </w:r>
      <w:r/>
      <w:bookmarkStart w:id="110" w:name="_Toc527706858"/>
      <w:r/>
      <w:bookmarkEnd w:id="110"/>
      <w:r/>
      <w:r>
        <w:rPr>
          <w:b/>
        </w:rPr>
      </w:r>
    </w:p>
    <w:p>
      <w:pPr>
        <w:pStyle w:val="10535"/>
        <w:keepNext w:val="false"/>
        <w:widowControl w:val="false"/>
        <w:numPr>
          <w:ilvl w:val="1"/>
          <w:numId w:val="13"/>
        </w:numPr>
        <w:pBdr/>
        <w:spacing w:after="240" w:before="240" w:line="240" w:lineRule="auto"/>
        <w:ind/>
        <w:rPr>
          <w:rFonts w:cs="Times New Roman"/>
        </w:rPr>
      </w:pPr>
      <w:r/>
      <w:bookmarkStart w:id="111" w:name="_Ref365304232"/>
      <w:r/>
      <w:bookmarkStart w:id="112" w:name="_Toc527706858"/>
      <w:r/>
      <w:bookmarkStart w:id="113" w:name="_Toc198483482"/>
      <w:r/>
      <w:bookmarkStart w:id="114" w:name="_Toc78674693"/>
      <w:r/>
      <w:bookmarkStart w:id="115" w:name="_Toc166767144"/>
      <w:r/>
      <w:bookmarkStart w:id="116" w:name="_Toc84970930"/>
      <w:r/>
      <w:bookmarkEnd w:id="111"/>
      <w:r/>
      <w:bookmarkEnd w:id="112"/>
      <w:r>
        <w:rPr>
          <w:rFonts w:cs="Times New Roman"/>
        </w:rPr>
        <w:t xml:space="preserve">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13"/>
      <w:r/>
      <w:bookmarkEnd w:id="114"/>
      <w:r/>
      <w:bookmarkEnd w:id="115"/>
      <w:r/>
      <w:bookmarkEnd w:id="116"/>
      <w:r/>
      <w:r>
        <w:rPr>
          <w:rFonts w:cs="Times New Roman"/>
        </w:rPr>
      </w:r>
    </w:p>
    <w:p>
      <w:pPr>
        <w:pStyle w:val="12960"/>
        <w:pBdr/>
        <w:spacing/>
        <w:ind/>
        <w:rPr/>
      </w:pPr>
      <w:r>
        <w:t xml:space="preserve">Нормативный срок службы принимается на уровне 15-20 лет.</w:t>
      </w:r>
      <w:r/>
    </w:p>
    <w:p>
      <w:pPr>
        <w:pStyle w:val="12960"/>
        <w:pBdr/>
        <w:spacing/>
        <w:ind/>
        <w:rPr/>
      </w:pPr>
      <w:r>
        <w:t xml:space="preserve">Параметры ввода теплофикационного оборудования, а также дата продления ресурса приведены в таблице.</w:t>
      </w:r>
      <w:r/>
    </w:p>
    <w:p>
      <w:pPr>
        <w:pStyle w:val="12944"/>
        <w:pBdr/>
        <w:spacing/>
        <w:ind w:firstLine="0" w:left="0"/>
        <w:rPr>
          <w:b/>
          <w:u w:val="none"/>
        </w:rPr>
      </w:pPr>
      <w:r/>
      <w:bookmarkStart w:id="117" w:name="_Toc527706859"/>
      <w:r>
        <w:rPr>
          <w:b/>
          <w:u w:val="none"/>
        </w:rPr>
        <w:t xml:space="preserve">Таблица 1.2.5.1 Параметры паркового ресурса теплофикационного оборудования </w:t>
      </w:r>
      <w:bookmarkEnd w:id="117"/>
      <w:r/>
      <w:r>
        <w:rPr>
          <w:b/>
          <w:u w:val="none"/>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170"/>
        <w:gridCol w:w="2184"/>
        <w:gridCol w:w="2183"/>
        <w:gridCol w:w="796"/>
        <w:gridCol w:w="1090"/>
        <w:gridCol w:w="930"/>
      </w:tblGrid>
      <w:tr>
        <w:trPr>
          <w:trHeight w:val="20"/>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2170" w:type="dxa"/>
            <w:vAlign w:val="center"/>
          </w:tcPr>
          <w:p>
            <w:pPr>
              <w:pStyle w:val="12385"/>
              <w:pBdr/>
              <w:spacing/>
              <w:ind/>
              <w:rPr/>
            </w:pPr>
            <w:r>
              <w:t xml:space="preserve">№ </w:t>
            </w:r>
            <w:r>
              <w:t xml:space="preserve">п/п</w:t>
            </w:r>
            <w:r/>
          </w:p>
        </w:tc>
        <w:tc>
          <w:tcPr>
            <w:shd w:val="clear" w:color="auto" w:fill="d9d9d9" w:themeFill="background1" w:themeFillShade="D9"/>
            <w:tcBorders>
              <w:top w:val="single" w:color="000000" w:sz="8" w:space="0"/>
              <w:bottom w:val="single" w:color="000000" w:sz="8" w:space="0"/>
              <w:right w:val="single" w:color="000000" w:sz="8" w:space="0"/>
            </w:tcBorders>
            <w:tcW w:w="2184" w:type="dxa"/>
            <w:vAlign w:val="center"/>
          </w:tcPr>
          <w:p>
            <w:pPr>
              <w:pStyle w:val="12385"/>
              <w:pBdr/>
              <w:spacing/>
              <w:ind/>
              <w:rPr/>
            </w:pPr>
            <w:r>
              <w:t xml:space="preserve">№</w:t>
            </w:r>
            <w:r>
              <w:t xml:space="preserve">, адрес котельной</w:t>
            </w:r>
            <w:r/>
          </w:p>
        </w:tc>
        <w:tc>
          <w:tcPr>
            <w:shd w:val="clear" w:color="auto" w:fill="d9d9d9" w:themeFill="background1" w:themeFillShade="D9"/>
            <w:tcBorders>
              <w:top w:val="single" w:color="000000" w:sz="8" w:space="0"/>
              <w:bottom w:val="single" w:color="000000" w:sz="8" w:space="0"/>
              <w:right w:val="single" w:color="000000" w:sz="8" w:space="0"/>
            </w:tcBorders>
            <w:tcW w:w="2183" w:type="dxa"/>
            <w:vAlign w:val="center"/>
          </w:tcPr>
          <w:p>
            <w:pPr>
              <w:pStyle w:val="12385"/>
              <w:pBdr/>
              <w:spacing/>
              <w:ind/>
              <w:rPr/>
            </w:pPr>
            <w:r>
              <w:t xml:space="preserve">Тип котла</w:t>
            </w:r>
            <w:r/>
          </w:p>
        </w:tc>
        <w:tc>
          <w:tcPr>
            <w:shd w:val="clear" w:color="auto" w:fill="d9d9d9" w:themeFill="background1" w:themeFillShade="D9"/>
            <w:tcBorders>
              <w:top w:val="single" w:color="000000" w:sz="8" w:space="0"/>
              <w:bottom w:val="single" w:color="000000" w:sz="8" w:space="0"/>
              <w:right w:val="single" w:color="000000" w:sz="8" w:space="0"/>
            </w:tcBorders>
            <w:tcW w:w="796" w:type="dxa"/>
            <w:vAlign w:val="center"/>
          </w:tcPr>
          <w:p>
            <w:pPr>
              <w:pStyle w:val="12385"/>
              <w:pBdr/>
              <w:spacing/>
              <w:ind/>
              <w:rPr/>
            </w:pPr>
            <w:r>
              <w:t xml:space="preserve">Кол-во котлов</w:t>
            </w:r>
            <w:r/>
          </w:p>
        </w:tc>
        <w:tc>
          <w:tcPr>
            <w:shd w:val="clear" w:color="auto" w:fill="d9d9d9" w:themeFill="background1" w:themeFillShade="D9"/>
            <w:tcBorders>
              <w:top w:val="single" w:color="000000" w:sz="8" w:space="0"/>
              <w:bottom w:val="single" w:color="000000" w:sz="8" w:space="0"/>
              <w:right w:val="single" w:color="000000" w:sz="8" w:space="0"/>
            </w:tcBorders>
            <w:tcW w:w="1090" w:type="dxa"/>
            <w:vAlign w:val="center"/>
          </w:tcPr>
          <w:p>
            <w:pPr>
              <w:pStyle w:val="12385"/>
              <w:pBdr/>
              <w:spacing/>
              <w:ind/>
              <w:rPr/>
            </w:pPr>
            <w:r>
              <w:t xml:space="preserve">Год установки котла</w:t>
            </w:r>
            <w:r/>
          </w:p>
        </w:tc>
        <w:tc>
          <w:tcPr>
            <w:shd w:val="clear" w:color="auto" w:fill="d9d9d9" w:themeFill="background1" w:themeFillShade="D9"/>
            <w:tcBorders>
              <w:top w:val="single" w:color="000000" w:sz="8" w:space="0"/>
              <w:bottom w:val="single" w:color="000000" w:sz="8" w:space="0"/>
              <w:right w:val="single" w:color="000000" w:sz="8" w:space="0"/>
            </w:tcBorders>
            <w:tcW w:w="930" w:type="dxa"/>
            <w:vAlign w:val="center"/>
          </w:tcPr>
          <w:p>
            <w:pPr>
              <w:pStyle w:val="12385"/>
              <w:pBdr/>
              <w:spacing/>
              <w:ind/>
              <w:rPr/>
            </w:pPr>
            <w:r>
              <w:t xml:space="preserve">Срок службы, лет</w:t>
            </w:r>
            <w:r/>
          </w:p>
        </w:tc>
      </w:tr>
      <w:tr>
        <w:trPr>
          <w:trHeight w:val="20"/>
        </w:trPr>
        <w:tc>
          <w:tcPr>
            <w:tcBorders>
              <w:left w:val="single" w:color="000000" w:sz="8" w:space="0"/>
              <w:bottom w:val="single" w:color="000000" w:sz="8" w:space="0"/>
              <w:right w:val="single" w:color="000000" w:sz="8" w:space="0"/>
            </w:tcBorders>
            <w:tcW w:w="2170" w:type="dxa"/>
            <w:vAlign w:val="center"/>
          </w:tcPr>
          <w:p>
            <w:pPr>
              <w:pStyle w:val="12385"/>
              <w:pBdr/>
              <w:spacing/>
              <w:ind/>
              <w:rPr/>
            </w:pPr>
            <w:r>
              <w:t xml:space="preserve">1</w:t>
            </w:r>
            <w:r/>
          </w:p>
        </w:tc>
        <w:tc>
          <w:tcPr>
            <w:tcBorders>
              <w:bottom w:val="single" w:color="000000" w:sz="8" w:space="0"/>
              <w:right w:val="single" w:color="000000" w:sz="8" w:space="0"/>
            </w:tcBorders>
            <w:tcW w:w="2184" w:type="dxa"/>
            <w:vAlign w:val="center"/>
          </w:tcPr>
          <w:p>
            <w:pPr>
              <w:pStyle w:val="12385"/>
              <w:pBdr/>
              <w:spacing/>
              <w:ind/>
              <w:rPr/>
            </w:pPr>
            <w:r>
              <w:t xml:space="preserve">Котельная №6 Арсеньевский р-н, н.п. Первомайский, Школьная 3а</w:t>
            </w:r>
            <w:r/>
          </w:p>
        </w:tc>
        <w:tc>
          <w:tcPr>
            <w:tcBorders>
              <w:bottom w:val="single" w:color="000000" w:sz="8" w:space="0"/>
              <w:right w:val="single" w:color="000000" w:sz="8" w:space="0"/>
            </w:tcBorders>
            <w:tcW w:w="2183" w:type="dxa"/>
            <w:vAlign w:val="center"/>
          </w:tcPr>
          <w:p>
            <w:pPr>
              <w:pStyle w:val="12385"/>
              <w:pBdr/>
              <w:spacing/>
              <w:ind/>
              <w:rPr/>
            </w:pPr>
            <w:r>
              <w:t xml:space="preserve">ПВ-100</w:t>
            </w:r>
            <w:r/>
          </w:p>
        </w:tc>
        <w:tc>
          <w:tcPr>
            <w:tcBorders>
              <w:bottom w:val="single" w:color="000000" w:sz="8" w:space="0"/>
              <w:right w:val="single" w:color="000000" w:sz="8" w:space="0"/>
            </w:tcBorders>
            <w:tcW w:w="796" w:type="dxa"/>
            <w:vAlign w:val="center"/>
          </w:tcPr>
          <w:p>
            <w:pPr>
              <w:pStyle w:val="12385"/>
              <w:pBdr/>
              <w:spacing/>
              <w:ind/>
              <w:rPr/>
            </w:pPr>
            <w:r>
              <w:t xml:space="preserve">4</w:t>
            </w:r>
            <w:r/>
          </w:p>
        </w:tc>
        <w:tc>
          <w:tcPr>
            <w:tcBorders>
              <w:bottom w:val="single" w:color="000000" w:sz="8" w:space="0"/>
              <w:right w:val="single" w:color="000000" w:sz="8" w:space="0"/>
            </w:tcBorders>
            <w:tcW w:w="1090" w:type="dxa"/>
            <w:vAlign w:val="center"/>
          </w:tcPr>
          <w:p>
            <w:pPr>
              <w:pStyle w:val="12385"/>
              <w:pBdr/>
              <w:spacing/>
              <w:ind/>
              <w:rPr/>
            </w:pPr>
            <w:r>
              <w:t xml:space="preserve">2022,</w:t>
            </w:r>
            <w:r/>
          </w:p>
          <w:p>
            <w:pPr>
              <w:pStyle w:val="12385"/>
              <w:pBdr/>
              <w:spacing/>
              <w:ind/>
              <w:rPr/>
            </w:pPr>
            <w:r>
              <w:t xml:space="preserve">2007</w:t>
            </w:r>
            <w:r/>
          </w:p>
        </w:tc>
        <w:tc>
          <w:tcPr>
            <w:tcBorders>
              <w:bottom w:val="single" w:color="000000" w:sz="8" w:space="0"/>
              <w:right w:val="single" w:color="000000" w:sz="8" w:space="0"/>
            </w:tcBorders>
            <w:tcW w:w="930" w:type="dxa"/>
            <w:vAlign w:val="center"/>
          </w:tcPr>
          <w:p>
            <w:pPr>
              <w:pStyle w:val="12385"/>
              <w:pBdr/>
              <w:spacing/>
              <w:ind/>
              <w:rPr/>
            </w:pPr>
            <w:r>
              <w:t xml:space="preserve">4, </w:t>
            </w:r>
            <w:r/>
          </w:p>
          <w:p>
            <w:pPr>
              <w:pStyle w:val="12385"/>
              <w:pBdr/>
              <w:spacing/>
              <w:ind/>
              <w:rPr/>
            </w:pPr>
            <w:r>
              <w:t xml:space="preserve">19</w:t>
            </w:r>
            <w:r/>
          </w:p>
        </w:tc>
      </w:tr>
      <w:tr>
        <w:trPr>
          <w:trHeight w:val="20"/>
        </w:trPr>
        <w:tc>
          <w:tcPr>
            <w:tcBorders>
              <w:left w:val="single" w:color="000000" w:sz="8" w:space="0"/>
              <w:bottom w:val="single" w:color="000000" w:sz="8" w:space="0"/>
              <w:right w:val="single" w:color="000000" w:sz="8" w:space="0"/>
            </w:tcBorders>
            <w:tcW w:w="2170" w:type="dxa"/>
            <w:vAlign w:val="center"/>
          </w:tcPr>
          <w:p>
            <w:pPr>
              <w:pStyle w:val="12385"/>
              <w:pBdr/>
              <w:spacing/>
              <w:ind/>
              <w:rPr/>
            </w:pPr>
            <w:r>
              <w:t xml:space="preserve">2</w:t>
            </w:r>
            <w:r/>
          </w:p>
        </w:tc>
        <w:tc>
          <w:tcPr>
            <w:tcBorders>
              <w:bottom w:val="single" w:color="000000" w:sz="8" w:space="0"/>
              <w:right w:val="single" w:color="000000" w:sz="8" w:space="0"/>
            </w:tcBorders>
            <w:tcW w:w="2184" w:type="dxa"/>
            <w:vAlign w:val="center"/>
          </w:tcPr>
          <w:p>
            <w:pPr>
              <w:pStyle w:val="12385"/>
              <w:pBdr/>
              <w:spacing/>
              <w:ind/>
              <w:rPr/>
            </w:pPr>
            <w:r>
              <w:t xml:space="preserve">Котельная №7 Арсеньевский р-н, н.п. Белый Колодезь, ул. Школьная 24</w:t>
            </w:r>
            <w:r/>
          </w:p>
        </w:tc>
        <w:tc>
          <w:tcPr>
            <w:tcBorders>
              <w:bottom w:val="single" w:color="000000" w:sz="8" w:space="0"/>
              <w:right w:val="single" w:color="000000" w:sz="8" w:space="0"/>
            </w:tcBorders>
            <w:tcW w:w="2183" w:type="dxa"/>
            <w:vAlign w:val="center"/>
          </w:tcPr>
          <w:p>
            <w:pPr>
              <w:pStyle w:val="12385"/>
              <w:pBdr/>
              <w:spacing/>
              <w:ind/>
              <w:rPr/>
            </w:pPr>
            <w:r>
              <w:t xml:space="preserve">Хопер-100</w:t>
            </w:r>
            <w:r/>
          </w:p>
        </w:tc>
        <w:tc>
          <w:tcPr>
            <w:tcBorders>
              <w:bottom w:val="single" w:color="000000" w:sz="8" w:space="0"/>
              <w:right w:val="single" w:color="000000" w:sz="8" w:space="0"/>
            </w:tcBorders>
            <w:tcW w:w="796" w:type="dxa"/>
            <w:vAlign w:val="center"/>
          </w:tcPr>
          <w:p>
            <w:pPr>
              <w:pStyle w:val="12385"/>
              <w:pBdr/>
              <w:spacing/>
              <w:ind/>
              <w:rPr/>
            </w:pPr>
            <w:r>
              <w:t xml:space="preserve">2</w:t>
            </w:r>
            <w:r/>
          </w:p>
        </w:tc>
        <w:tc>
          <w:tcPr>
            <w:tcBorders>
              <w:bottom w:val="single" w:color="000000" w:sz="8" w:space="0"/>
              <w:right w:val="single" w:color="000000" w:sz="8" w:space="0"/>
            </w:tcBorders>
            <w:tcW w:w="1090" w:type="dxa"/>
            <w:vAlign w:val="center"/>
          </w:tcPr>
          <w:p>
            <w:pPr>
              <w:pStyle w:val="12385"/>
              <w:pBdr/>
              <w:spacing/>
              <w:ind/>
              <w:rPr/>
            </w:pPr>
            <w:r>
              <w:t xml:space="preserve">2014, 2015</w:t>
            </w:r>
            <w:r/>
          </w:p>
        </w:tc>
        <w:tc>
          <w:tcPr>
            <w:tcBorders>
              <w:bottom w:val="single" w:color="000000" w:sz="8" w:space="0"/>
              <w:right w:val="single" w:color="000000" w:sz="8" w:space="0"/>
            </w:tcBorders>
            <w:tcW w:w="930" w:type="dxa"/>
            <w:vAlign w:val="center"/>
          </w:tcPr>
          <w:p>
            <w:pPr>
              <w:pStyle w:val="12385"/>
              <w:pBdr/>
              <w:spacing/>
              <w:ind/>
              <w:rPr/>
            </w:pPr>
            <w:r>
              <w:t xml:space="preserve">12,</w:t>
            </w:r>
            <w:r/>
          </w:p>
          <w:p>
            <w:pPr>
              <w:pStyle w:val="12385"/>
              <w:pBdr/>
              <w:spacing/>
              <w:ind/>
              <w:rPr/>
            </w:pPr>
            <w:r>
              <w:t xml:space="preserve"> </w:t>
            </w:r>
            <w:r>
              <w:t xml:space="preserve">11</w:t>
            </w:r>
            <w:r/>
          </w:p>
        </w:tc>
      </w:tr>
      <w:tr>
        <w:trPr>
          <w:trHeight w:val="20"/>
        </w:trPr>
        <w:tc>
          <w:tcPr>
            <w:tcBorders>
              <w:left w:val="single" w:color="000000" w:sz="8" w:space="0"/>
              <w:bottom w:val="single" w:color="000000" w:sz="8" w:space="0"/>
              <w:right w:val="single" w:color="000000" w:sz="8" w:space="0"/>
            </w:tcBorders>
            <w:tcW w:w="2170" w:type="dxa"/>
            <w:vAlign w:val="center"/>
          </w:tcPr>
          <w:p>
            <w:pPr>
              <w:pStyle w:val="12385"/>
              <w:pBdr/>
              <w:spacing/>
              <w:ind/>
              <w:rPr/>
            </w:pPr>
            <w:r>
              <w:t xml:space="preserve">3</w:t>
            </w:r>
            <w:r/>
          </w:p>
        </w:tc>
        <w:tc>
          <w:tcPr>
            <w:tcBorders>
              <w:bottom w:val="single" w:color="000000" w:sz="8" w:space="0"/>
              <w:right w:val="single" w:color="000000" w:sz="8" w:space="0"/>
            </w:tcBorders>
            <w:tcW w:w="2184" w:type="dxa"/>
            <w:vAlign w:val="center"/>
          </w:tcPr>
          <w:p>
            <w:pPr>
              <w:pStyle w:val="12385"/>
              <w:pBdr/>
              <w:spacing/>
              <w:ind/>
              <w:rPr/>
            </w:pPr>
            <w:r>
              <w:rPr>
                <w:rFonts w:eastAsia="SimSun"/>
                <w:color w:val="000000"/>
                <w:szCs w:val="20"/>
              </w:rPr>
              <w:t xml:space="preserve">Котельная №5 Арсеньевский р-н, н.п. Ясенки, ул. Центральная 24</w:t>
            </w:r>
            <w:r/>
          </w:p>
        </w:tc>
        <w:tc>
          <w:tcPr>
            <w:tcBorders>
              <w:bottom w:val="single" w:color="000000" w:sz="8" w:space="0"/>
              <w:right w:val="single" w:color="000000" w:sz="8" w:space="0"/>
            </w:tcBorders>
            <w:tcW w:w="2183" w:type="dxa"/>
            <w:vAlign w:val="center"/>
          </w:tcPr>
          <w:p>
            <w:pPr>
              <w:pStyle w:val="12385"/>
              <w:pBdr/>
              <w:spacing/>
              <w:ind/>
              <w:rPr/>
            </w:pPr>
            <w:r>
              <w:rPr>
                <w:rFonts w:eastAsia="SimSun"/>
                <w:color w:val="000000"/>
                <w:szCs w:val="20"/>
              </w:rPr>
              <w:t xml:space="preserve">Prothermgrizzly 100 klor</w:t>
            </w:r>
            <w:r/>
          </w:p>
        </w:tc>
        <w:tc>
          <w:tcPr>
            <w:tcBorders>
              <w:bottom w:val="single" w:color="000000" w:sz="8" w:space="0"/>
              <w:right w:val="single" w:color="000000" w:sz="8" w:space="0"/>
            </w:tcBorders>
            <w:tcW w:w="796" w:type="dxa"/>
            <w:vAlign w:val="center"/>
          </w:tcPr>
          <w:p>
            <w:pPr>
              <w:pStyle w:val="12385"/>
              <w:pBdr/>
              <w:spacing/>
              <w:ind/>
              <w:rPr/>
            </w:pPr>
            <w:r>
              <w:rPr>
                <w:rFonts w:eastAsia="SimSun"/>
                <w:color w:val="000000"/>
                <w:szCs w:val="20"/>
              </w:rPr>
              <w:t xml:space="preserve">2</w:t>
            </w:r>
            <w:r/>
          </w:p>
        </w:tc>
        <w:tc>
          <w:tcPr>
            <w:tcBorders>
              <w:bottom w:val="single" w:color="000000" w:sz="8" w:space="0"/>
              <w:right w:val="single" w:color="000000" w:sz="8" w:space="0"/>
            </w:tcBorders>
            <w:tcW w:w="1090" w:type="dxa"/>
            <w:vAlign w:val="center"/>
          </w:tcPr>
          <w:p>
            <w:pPr>
              <w:pStyle w:val="12385"/>
              <w:pBdr/>
              <w:spacing/>
              <w:ind/>
              <w:rPr/>
            </w:pPr>
            <w:r>
              <w:rPr>
                <w:rFonts w:eastAsia="SimSun"/>
                <w:color w:val="000000"/>
                <w:szCs w:val="20"/>
              </w:rPr>
              <w:t xml:space="preserve">2007</w:t>
            </w:r>
            <w:r/>
          </w:p>
        </w:tc>
        <w:tc>
          <w:tcPr>
            <w:tcBorders>
              <w:bottom w:val="single" w:color="000000" w:sz="8" w:space="0"/>
              <w:right w:val="single" w:color="000000" w:sz="8" w:space="0"/>
            </w:tcBorders>
            <w:tcW w:w="930" w:type="dxa"/>
            <w:vAlign w:val="center"/>
          </w:tcPr>
          <w:p>
            <w:pPr>
              <w:pStyle w:val="12385"/>
              <w:pBdr/>
              <w:spacing/>
              <w:ind/>
              <w:rPr/>
            </w:pPr>
            <w:r>
              <w:rPr>
                <w:rFonts w:eastAsia="SimSun"/>
                <w:color w:val="000000"/>
                <w:szCs w:val="20"/>
              </w:rPr>
              <w:t xml:space="preserve">19</w:t>
            </w:r>
            <w:r/>
          </w:p>
        </w:tc>
      </w:tr>
    </w:tbl>
    <w:p>
      <w:pPr>
        <w:pStyle w:val="12960"/>
        <w:pBdr/>
        <w:spacing/>
        <w:ind/>
        <w:rPr/>
      </w:pPr>
      <w:r/>
      <w:r/>
    </w:p>
    <w:p>
      <w:pPr>
        <w:pStyle w:val="12960"/>
        <w:pBdr/>
        <w:spacing/>
        <w:ind/>
        <w:rPr/>
      </w:pPr>
      <w:r>
        <w:t xml:space="preserve">Нормативный срок эксплуатации установленных котлоагрегатов составляет 15-20 лет.</w:t>
      </w:r>
      <w:r/>
    </w:p>
    <w:p>
      <w:pPr>
        <w:pStyle w:val="12960"/>
        <w:pBdr/>
        <w:spacing/>
        <w:ind/>
        <w:rPr/>
      </w:pPr>
      <w:r>
        <w:t xml:space="preserve">Назначенный срок службы для каждого типа котлов устанавливают предприятия-изготовители и указывают его в паспорте котла. При отсутствии такого указания длительность назначенного срока службы устанавливается в соответствии с ГОСТ 21563, ГОСТ 24005:</w:t>
      </w:r>
      <w:r/>
    </w:p>
    <w:p>
      <w:pPr>
        <w:pStyle w:val="13832"/>
        <w:numPr>
          <w:ilvl w:val="0"/>
          <w:numId w:val="61"/>
        </w:numPr>
        <w:pBdr/>
        <w:spacing/>
        <w:ind w:hanging="284" w:left="1135"/>
        <w:rPr/>
      </w:pPr>
      <w:r>
        <w:t xml:space="preserve">паровых котлов паропроизводительностью до 35 т/ч – 20 лет;</w:t>
      </w:r>
      <w:r/>
    </w:p>
    <w:p>
      <w:pPr>
        <w:pStyle w:val="13832"/>
        <w:numPr>
          <w:ilvl w:val="0"/>
          <w:numId w:val="61"/>
        </w:numPr>
        <w:pBdr/>
        <w:spacing/>
        <w:ind w:hanging="284" w:left="1135"/>
        <w:rPr/>
      </w:pPr>
      <w:r>
        <w:t xml:space="preserve">паровых котлов паропроизводительностью свыше 35 т/ч – 30 лет;</w:t>
      </w:r>
      <w:r/>
    </w:p>
    <w:p>
      <w:pPr>
        <w:pStyle w:val="13832"/>
        <w:numPr>
          <w:ilvl w:val="0"/>
          <w:numId w:val="61"/>
        </w:numPr>
        <w:pBdr/>
        <w:spacing/>
        <w:ind w:hanging="284" w:left="1135"/>
        <w:rPr/>
      </w:pPr>
      <w:r>
        <w:t xml:space="preserve">водогрейных котлов теплопроизводительностью до 4,65 МВт – 10 лет;</w:t>
      </w:r>
      <w:r/>
    </w:p>
    <w:p>
      <w:pPr>
        <w:pStyle w:val="13832"/>
        <w:numPr>
          <w:ilvl w:val="0"/>
          <w:numId w:val="61"/>
        </w:numPr>
        <w:pBdr/>
        <w:spacing/>
        <w:ind w:hanging="284" w:left="1135"/>
        <w:rPr/>
      </w:pPr>
      <w:r>
        <w:t xml:space="preserve">водогрейных котлов теплопроизводительностью до 35 МВт – 15 лет;</w:t>
      </w:r>
      <w:r/>
    </w:p>
    <w:p>
      <w:pPr>
        <w:pStyle w:val="13832"/>
        <w:numPr>
          <w:ilvl w:val="0"/>
          <w:numId w:val="61"/>
        </w:numPr>
        <w:pBdr/>
        <w:spacing/>
        <w:ind w:hanging="284" w:left="1135"/>
        <w:rPr/>
      </w:pPr>
      <w:r>
        <w:t xml:space="preserve">водогрейных котлов теплопроизводительностью свыше 35 МВт – 20 лет;</w:t>
      </w:r>
      <w:r/>
    </w:p>
    <w:p>
      <w:pPr>
        <w:pStyle w:val="13832"/>
        <w:numPr>
          <w:ilvl w:val="0"/>
          <w:numId w:val="61"/>
        </w:numPr>
        <w:pBdr/>
        <w:spacing/>
        <w:ind w:hanging="284" w:left="1135"/>
        <w:rPr/>
      </w:pPr>
      <w:r>
        <w:t xml:space="preserve">для передвижных котлов паровых и водогрейных – 7 лет.</w:t>
      </w:r>
      <w:r/>
    </w:p>
    <w:p>
      <w:pPr>
        <w:pStyle w:val="12960"/>
        <w:pBdr/>
        <w:spacing/>
        <w:ind/>
        <w:rPr/>
      </w:pPr>
      <w:r>
        <w:t xml:space="preserve">Решения о необходимости проведения капитального ремонта или продления срока службы данного оборудования принимаются на основа</w:t>
      </w:r>
      <w:r>
        <w:t xml:space="preserve">нии технических освидетельствований и технического диагностирования, проведенных в установленном порядке (в соответствии с СТО 17230282.27.100.005-2008 «Основные элементы котлов, турбин и трубопроводов ТЭС. Контроль состояния металла. Нормы и требования»).</w:t>
      </w:r>
      <w:r/>
    </w:p>
    <w:p>
      <w:pPr>
        <w:pStyle w:val="12960"/>
        <w:pBdr/>
        <w:spacing/>
        <w:ind/>
        <w:rPr/>
      </w:pPr>
      <w:r>
        <w:t xml:space="preserve">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r/>
    </w:p>
    <w:p>
      <w:pPr>
        <w:pStyle w:val="10535"/>
        <w:keepNext w:val="true"/>
        <w:widowControl w:val="false"/>
        <w:numPr>
          <w:ilvl w:val="1"/>
          <w:numId w:val="13"/>
        </w:numPr>
        <w:pBdr/>
        <w:bidi w:val="false"/>
        <w:spacing w:after="240" w:before="240" w:line="240" w:lineRule="auto"/>
        <w:ind w:right="0" w:hanging="737" w:left="737"/>
        <w:jc w:val="center"/>
        <w:rPr>
          <w:rFonts w:cs="Times New Roman"/>
        </w:rPr>
      </w:pPr>
      <w:r/>
      <w:bookmarkStart w:id="118" w:name="_Toc78674694"/>
      <w:r/>
      <w:bookmarkStart w:id="119" w:name="_Toc84970931"/>
      <w:r/>
      <w:bookmarkStart w:id="120" w:name="_Toc198483483"/>
      <w:r/>
      <w:bookmarkStart w:id="121" w:name="_Toc166767145"/>
      <w:r>
        <w:rPr>
          <w:rFonts w:cs="Times New Roman"/>
        </w:rPr>
        <w:t xml:space="preserve">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18"/>
      <w:r/>
      <w:bookmarkEnd w:id="119"/>
      <w:r/>
      <w:bookmarkEnd w:id="120"/>
      <w:r/>
      <w:bookmarkEnd w:id="121"/>
      <w:r/>
      <w:r>
        <w:rPr>
          <w:rFonts w:cs="Times New Roman"/>
        </w:rPr>
      </w:r>
    </w:p>
    <w:p>
      <w:pPr>
        <w:pStyle w:val="12960"/>
        <w:pBdr/>
        <w:spacing/>
        <w:ind/>
        <w:rPr/>
      </w:pPr>
      <w:r>
        <w:t xml:space="preserve">В системе теплоснабжения теплофикационные установки, работающие в режиме комбинированной выработки тепловой и электрической энергии, отсутствуют.</w:t>
      </w:r>
      <w:r/>
    </w:p>
    <w:p>
      <w:pPr>
        <w:pStyle w:val="12960"/>
        <w:pBdr/>
        <w:spacing/>
        <w:ind/>
        <w:rPr/>
      </w:pPr>
      <w:r>
        <w:t xml:space="preserve">Оборудование котельных работает только в режиме выработки тепловой энергии. Принципиальные схемы котельных отсутствуют.</w:t>
      </w:r>
      <w:r/>
    </w:p>
    <w:p>
      <w:pPr>
        <w:pStyle w:val="12960"/>
        <w:pBdr/>
        <w:spacing/>
        <w:ind/>
        <w:rPr/>
      </w:pPr>
      <w: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122" w:name="_Toc166767146"/>
      <w:r/>
      <w:bookmarkStart w:id="123" w:name="_Toc78674695"/>
      <w:r/>
      <w:bookmarkStart w:id="124" w:name="_Toc84970932"/>
      <w:r/>
      <w:bookmarkStart w:id="125" w:name="_Toc198483484"/>
      <w:r>
        <w:rPr>
          <w:rFonts w:cs="Times New Roman"/>
        </w:rPr>
        <w:t xml:space="preserve">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22"/>
      <w:r/>
      <w:bookmarkEnd w:id="123"/>
      <w:r/>
      <w:bookmarkEnd w:id="124"/>
      <w:r/>
      <w:bookmarkEnd w:id="125"/>
      <w:r/>
      <w:r>
        <w:rPr>
          <w:rFonts w:cs="Times New Roman"/>
        </w:rPr>
      </w:r>
    </w:p>
    <w:p>
      <w:pPr>
        <w:pStyle w:val="12960"/>
        <w:pBdr/>
        <w:spacing/>
        <w:ind/>
        <w:rPr/>
      </w:pPr>
      <w:r/>
      <w:bookmarkStart w:id="126" w:name="_Hlk213997690"/>
      <w:r>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r/>
    </w:p>
    <w:p>
      <w:pPr>
        <w:pStyle w:val="12960"/>
        <w:pBdr/>
        <w:spacing/>
        <w:ind/>
        <w:rPr/>
      </w:pPr>
      <w:r>
        <w:t xml:space="preserve">Способ регулировки – центральное качественное регулирование. Регулировка осуществляется по температуре в подающем трубопроводе, остальные параметры (расход теплоносителя, напор) остаются неизменными в течение всего периода работы.</w:t>
      </w:r>
      <w:r/>
    </w:p>
    <w:p>
      <w:pPr>
        <w:pStyle w:val="12960"/>
        <w:pBdr/>
        <w:spacing/>
        <w:ind/>
        <w:rPr/>
      </w:pPr>
      <w:r>
        <w:t xml:space="preserve">Централизованное теплоснабжение обеспечивается с помощью котельной, основным топливом которой является природный газ, температурный график 95/70°С.</w:t>
      </w:r>
      <w:r/>
    </w:p>
    <w:p>
      <w:pPr>
        <w:pStyle w:val="12960"/>
        <w:pBdr/>
        <w:spacing/>
        <w:ind/>
        <w:rPr/>
      </w:pPr>
      <w:r>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r/>
    </w:p>
    <w:p>
      <w:pPr>
        <w:pStyle w:val="12960"/>
        <w:pBdr/>
        <w:spacing/>
        <w:ind/>
        <w:rPr/>
      </w:pPr>
      <w:r>
        <w:t xml:space="preserve">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r/>
    </w:p>
    <w:p>
      <w:pPr>
        <w:pStyle w:val="12960"/>
        <w:pBdr/>
        <w:spacing/>
        <w:ind/>
        <w:rPr/>
      </w:pPr>
      <w:r>
        <w:t xml:space="preserve">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r/>
    </w:p>
    <w:p>
      <w:pPr>
        <w:pStyle w:val="12960"/>
        <w:pBdr/>
        <w:spacing/>
        <w:ind/>
        <w:rPr/>
      </w:pPr>
      <w:r>
        <w:t xml:space="preserve">При качественном регулиро</w:t>
      </w:r>
      <w:r>
        <w:t xml:space="preserve">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r/>
    </w:p>
    <w:p>
      <w:pPr>
        <w:pStyle w:val="12960"/>
        <w:pBdr/>
        <w:spacing/>
        <w:ind/>
        <w:rPr/>
      </w:pPr>
      <w:r>
        <w:t xml:space="preserve">Температурный график обусловлен типом отопительных приборов потребителей и способом их присоединения к тепловым сетям. </w:t>
      </w:r>
      <w:r/>
    </w:p>
    <w:p>
      <w:pPr>
        <w:pStyle w:val="12960"/>
        <w:pBdr/>
        <w:spacing/>
        <w:ind/>
        <w:rPr/>
      </w:pPr>
      <w:r>
        <w:t xml:space="preserve">Температурный график качественного регулирования тепловой нагрузки разработан из услов</w:t>
      </w:r>
      <w:r>
        <w:t xml:space="preserve">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Pr>
          <w:vertAlign w:val="superscript"/>
        </w:rPr>
        <w:t xml:space="preserve">о</w:t>
      </w:r>
      <w:r>
        <w:t xml:space="preserve">С. По данным температурного графика определяется температура подающей и обратной воды в тепловых сетях.</w:t>
      </w:r>
      <w:bookmarkEnd w:id="126"/>
      <w:r/>
      <w:r/>
    </w:p>
    <w:p>
      <w:pPr>
        <w:pStyle w:val="12960"/>
        <w:pBdr/>
        <w:spacing/>
        <w:ind w:firstLine="0"/>
        <w:rPr/>
      </w:pPr>
      <w:r/>
      <w:r/>
    </w:p>
    <w:p>
      <w:pPr>
        <w:pStyle w:val="12960"/>
        <w:pBdr/>
        <w:spacing/>
        <w:ind/>
        <w:rPr>
          <w:b/>
          <w:bCs w:val="0"/>
        </w:rPr>
      </w:pPr>
      <w:r>
        <w:rPr>
          <w:b/>
          <w:bCs w:val="0"/>
        </w:rPr>
        <w:t xml:space="preserve">Таблица 1.2.7.1. – Температурный график котельных</w:t>
      </w:r>
      <w:r>
        <w:rPr>
          <w:b/>
          <w:bCs w:val="0"/>
        </w:rPr>
      </w:r>
    </w:p>
    <w:tbl>
      <w:tblPr>
        <w:tblInd w:w="0" w:type="dxa"/>
        <w:tblW w:w="5000" w:type="pct"/>
        <w:tblCellMar>
          <w:left w:w="40" w:type="dxa"/>
          <w:top w:w="0" w:type="dxa"/>
          <w:right w:w="40" w:type="dxa"/>
          <w:bottom w:w="0" w:type="dxa"/>
        </w:tblCellMar>
        <w:tblBorders/>
        <w:tblLayout w:type="fixed"/>
        <w:tblLook w:val="0000" w:firstRow="0" w:lastRow="0" w:firstColumn="0" w:lastColumn="0" w:noHBand="0" w:noVBand="0"/>
      </w:tblPr>
      <w:tblGrid>
        <w:gridCol w:w="3498"/>
        <w:gridCol w:w="3199"/>
        <w:gridCol w:w="265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температура воздуха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температура под. тр-од.</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температура обр. тр-од.</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+8</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32</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29</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+7</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33</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30</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+6</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35</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31</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+5</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37</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32</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+4</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39</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34</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41</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35</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43</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36</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46</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37</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0</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47</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39</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49</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40</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50</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41</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52</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42</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-4</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54</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43</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-5</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56</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44</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-6</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57</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45</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-7</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59</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47</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-8</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60</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48</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-9</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62</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49</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-10</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64</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50</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-11</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66</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51</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-12</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68</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53</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-13</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70</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54</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-14</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71</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55</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-15</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73</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56</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-16</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75</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57</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-17</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77</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58</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-18</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79</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59</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-19</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80</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60</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-20</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82</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61</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-21</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83</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63</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-22</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85</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64</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-23</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87</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65</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-24</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89</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66</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-25</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91</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68</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-26</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93</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69</w:t>
            </w:r>
            <w:r/>
          </w:p>
        </w:tc>
      </w:tr>
      <w:tr>
        <w:trPr>
          <w:trHeight w:val="20"/>
        </w:trPr>
        <w:tc>
          <w:tcPr>
            <w:tcBorders>
              <w:top w:val="single" w:color="000000" w:sz="4" w:space="0"/>
              <w:left w:val="single" w:color="000000" w:sz="4" w:space="0"/>
              <w:bottom w:val="single" w:color="000000" w:sz="4" w:space="0"/>
              <w:right w:val="single" w:color="000000" w:sz="4" w:space="0"/>
            </w:tcBorders>
            <w:tcW w:w="3498" w:type="dxa"/>
            <w:vAlign w:val="center"/>
          </w:tcPr>
          <w:p>
            <w:pPr>
              <w:pStyle w:val="12385"/>
              <w:pBdr/>
              <w:spacing/>
              <w:ind/>
              <w:rPr/>
            </w:pPr>
            <w:r>
              <w:t xml:space="preserve">-27</w:t>
            </w:r>
            <w:r/>
          </w:p>
        </w:tc>
        <w:tc>
          <w:tcPr>
            <w:tcBorders>
              <w:top w:val="single" w:color="000000" w:sz="4" w:space="0"/>
              <w:left w:val="single" w:color="000000" w:sz="4" w:space="0"/>
              <w:bottom w:val="single" w:color="000000" w:sz="4" w:space="0"/>
              <w:right w:val="single" w:color="000000" w:sz="4" w:space="0"/>
            </w:tcBorders>
            <w:tcW w:w="3199" w:type="dxa"/>
            <w:vAlign w:val="center"/>
          </w:tcPr>
          <w:p>
            <w:pPr>
              <w:pStyle w:val="12385"/>
              <w:pBdr/>
              <w:spacing/>
              <w:ind/>
              <w:rPr/>
            </w:pPr>
            <w:r>
              <w:t xml:space="preserve">95</w:t>
            </w:r>
            <w:r/>
          </w:p>
        </w:tc>
        <w:tc>
          <w:tcPr>
            <w:tcBorders>
              <w:top w:val="single" w:color="000000" w:sz="4" w:space="0"/>
              <w:left w:val="single" w:color="000000" w:sz="4" w:space="0"/>
              <w:bottom w:val="single" w:color="000000" w:sz="4" w:space="0"/>
              <w:right w:val="single" w:color="000000" w:sz="4" w:space="0"/>
            </w:tcBorders>
            <w:tcW w:w="2657" w:type="dxa"/>
            <w:vAlign w:val="center"/>
          </w:tcPr>
          <w:p>
            <w:pPr>
              <w:pStyle w:val="12385"/>
              <w:pBdr/>
              <w:spacing/>
              <w:ind/>
              <w:rPr/>
            </w:pPr>
            <w:r>
              <w:t xml:space="preserve">70</w:t>
            </w:r>
            <w:r/>
          </w:p>
        </w:tc>
      </w:tr>
    </w:tbl>
    <w:p>
      <w:pPr>
        <w:pStyle w:val="12960"/>
        <w:pBdr/>
        <w:spacing/>
        <w:ind/>
        <w:jc w:val="center"/>
        <w:rPr/>
      </w:pPr>
      <w:r/>
      <w:r/>
    </w:p>
    <w:p>
      <w:pPr>
        <w:pStyle w:val="12960"/>
        <w:pBdr/>
        <w:spacing/>
        <w:ind/>
        <w:jc w:val="center"/>
        <w:rPr/>
      </w:pPr>
      <w:r/>
      <w:r/>
    </w:p>
    <w:p>
      <w:pPr>
        <w:pStyle w:val="12960"/>
        <w:pBdr/>
        <w:spacing/>
        <w:ind/>
        <w:rPr>
          <w:color w:val="000000"/>
        </w:rPr>
      </w:pPr>
      <w:r>
        <w:rPr>
          <w:b/>
          <w:bCs w:val="0"/>
          <w:color w:val="000000"/>
        </w:rPr>
        <w:t xml:space="preserve">Температурный график котельной</w:t>
      </w:r>
      <w:r>
        <w:rPr>
          <w:color w:val="000000"/>
        </w:rPr>
        <w:t xml:space="preserve"> — это зависимость температуры теплоносителя в подающем и </w:t>
      </w:r>
      <w:r>
        <w:rPr>
          <w:color w:val="000000"/>
        </w:rPr>
        <w:t xml:space="preserve">обратном трубопроводах от температуры наружного воздуха. Он рассчитывается с учётом расчётной температуры наружного воздуха, которая определяется как температура наиболее холодной пятидневки с обеспеченностью 0,92. (СП 89.13330.2016 «Котельные установки»).</w:t>
      </w:r>
      <w:r>
        <w:rPr>
          <w:color w:val="000000"/>
        </w:rPr>
      </w:r>
    </w:p>
    <w:p>
      <w:pPr>
        <w:pStyle w:val="12960"/>
        <w:pBdr/>
        <w:spacing/>
        <w:ind/>
        <w:rPr>
          <w:color w:val="000000"/>
        </w:rPr>
      </w:pPr>
      <w:r>
        <w:rPr>
          <w:b/>
          <w:bCs w:val="0"/>
          <w:color w:val="000000"/>
        </w:rPr>
        <w:t xml:space="preserve">Расчётная температура наиболее холодной пятидневки</w:t>
      </w:r>
      <w:r>
        <w:rPr>
          <w:color w:val="000000"/>
        </w:rPr>
      </w:r>
    </w:p>
    <w:p>
      <w:pPr>
        <w:pStyle w:val="12960"/>
        <w:pBdr/>
        <w:spacing/>
        <w:ind/>
        <w:rPr>
          <w:color w:val="000000"/>
        </w:rPr>
      </w:pPr>
      <w:r>
        <w:rPr>
          <w:color w:val="000000"/>
        </w:rPr>
        <w:t xml:space="preserve">Эта температура определяется по средним суточным температурам воздуха скользящим осреднением за пять суток. Расчёт выполняется по выборкам температуры воздуха наиболее холодной пятидневки за каждый год расчётного периода наблюдений. </w:t>
      </w:r>
      <w:r>
        <w:rPr>
          <w:color w:val="000000"/>
        </w:rPr>
      </w:r>
    </w:p>
    <w:p>
      <w:pPr>
        <w:pStyle w:val="12960"/>
        <w:pBdr/>
        <w:spacing/>
        <w:ind/>
        <w:rPr>
          <w:color w:val="000000"/>
        </w:rPr>
      </w:pPr>
      <w:r>
        <w:rPr>
          <w:color w:val="000000"/>
        </w:rPr>
        <w:t xml:space="preserve">Для Арсеньевского муниципального района расчётная температура наиболее холодной пятидневки с обеспеченностью 0,92 составляет -27 °C (СП 131.13330.2025 "СНиП 23-01-99* Строительная климатология").</w:t>
      </w:r>
      <w:r>
        <w:rPr>
          <w:color w:val="000000"/>
        </w:rPr>
      </w:r>
    </w:p>
    <w:p>
      <w:pPr>
        <w:pStyle w:val="12960"/>
        <w:pBdr/>
        <w:spacing/>
        <w:ind/>
        <w:rPr>
          <w:b/>
          <w:bCs w:val="0"/>
          <w:color w:val="000000"/>
        </w:rPr>
      </w:pPr>
      <w:r>
        <w:rPr>
          <w:b/>
          <w:bCs w:val="0"/>
          <w:color w:val="000000"/>
        </w:rPr>
      </w:r>
      <w:r>
        <w:rPr>
          <w:b/>
          <w:bCs w:val="0"/>
          <w:color w:val="000000"/>
        </w:rPr>
      </w:r>
    </w:p>
    <w:p>
      <w:pPr>
        <w:pStyle w:val="12960"/>
        <w:pBdr/>
        <w:spacing/>
        <w:ind/>
        <w:rPr>
          <w:color w:val="000000"/>
        </w:rPr>
      </w:pPr>
      <w:r>
        <w:rPr>
          <w:b/>
          <w:bCs w:val="0"/>
          <w:color w:val="000000"/>
        </w:rPr>
        <w:t xml:space="preserve">Обоснование выбора графика изменения температур теплоносителя 95/70 °C</w:t>
      </w:r>
      <w:r>
        <w:rPr>
          <w:color w:val="000000"/>
        </w:rPr>
      </w:r>
    </w:p>
    <w:p>
      <w:pPr>
        <w:pStyle w:val="12960"/>
        <w:pBdr/>
        <w:spacing/>
        <w:ind/>
        <w:rPr>
          <w:color w:val="000000"/>
        </w:rPr>
      </w:pPr>
      <w:r>
        <w:rPr>
          <w:b/>
          <w:bCs w:val="0"/>
          <w:color w:val="000000"/>
        </w:rPr>
        <w:t xml:space="preserve">Исторический стандарт и традиционное применение.</w:t>
      </w:r>
      <w:r>
        <w:rPr>
          <w:color w:val="000000"/>
        </w:rPr>
        <w:t xml:space="preserve"> </w:t>
      </w:r>
      <w:r>
        <w:rPr>
          <w:color w:val="000000"/>
        </w:rPr>
      </w:r>
    </w:p>
    <w:p>
      <w:pPr>
        <w:pStyle w:val="12960"/>
        <w:pBdr/>
        <w:spacing/>
        <w:ind/>
        <w:rPr>
          <w:color w:val="000000"/>
        </w:rPr>
      </w:pPr>
      <w:r>
        <w:rPr>
          <w:color w:val="000000"/>
        </w:rPr>
        <w:t xml:space="preserve">Домовые системы отопления часто рассчитываются н</w:t>
      </w:r>
      <w:r>
        <w:rPr>
          <w:color w:val="000000"/>
        </w:rPr>
        <w:t xml:space="preserve">а температурный график 95/70 °C. Этот график стал типовым для систем централизованного теплоснабжения с качественным регулированием, при котором сохраняется постоянный расход теплоносителя, а его температура меняется в зависимости от наружной температуры. </w:t>
      </w:r>
      <w:r>
        <w:rPr>
          <w:color w:val="000000"/>
        </w:rPr>
      </w:r>
    </w:p>
    <w:p>
      <w:pPr>
        <w:pStyle w:val="12960"/>
        <w:pBdr/>
        <w:spacing/>
        <w:ind/>
        <w:rPr>
          <w:color w:val="000000"/>
        </w:rPr>
      </w:pPr>
      <w:r>
        <w:rPr>
          <w:b/>
          <w:bCs w:val="0"/>
          <w:color w:val="000000"/>
        </w:rPr>
        <w:t xml:space="preserve">Обеспечение комфортной температуры в помещениях.</w:t>
      </w:r>
      <w:r>
        <w:rPr>
          <w:color w:val="000000"/>
        </w:rPr>
        <w:t xml:space="preserve"> </w:t>
      </w:r>
      <w:r>
        <w:rPr>
          <w:color w:val="000000"/>
        </w:rPr>
      </w:r>
    </w:p>
    <w:p>
      <w:pPr>
        <w:pStyle w:val="12960"/>
        <w:pBdr/>
        <w:spacing/>
        <w:ind/>
        <w:rPr>
          <w:color w:val="ee0000"/>
        </w:rPr>
      </w:pPr>
      <w:r>
        <w:rPr>
          <w:color w:val="000000"/>
        </w:rPr>
        <w:t xml:space="preserve">Основная задача регулирования отпуска теплоты — поддержание нормативной температуры воздуха в отапливаемых помещениях (+18…+20 °C) при любой наружной</w:t>
      </w:r>
      <w:r>
        <w:rPr>
          <w:color w:val="ee0000"/>
        </w:rPr>
        <w:t xml:space="preserve"> </w:t>
      </w:r>
      <w:r>
        <w:rPr>
          <w:color w:val="000000"/>
        </w:rPr>
        <w:t xml:space="preserve">температуре. Чем ниже температура наружного воздуха, тем выше должна быть температура подачи теплоносителя. </w:t>
      </w:r>
      <w:r>
        <w:rPr>
          <w:color w:val="ee0000"/>
        </w:rPr>
      </w:r>
    </w:p>
    <w:p>
      <w:pPr>
        <w:pStyle w:val="12960"/>
        <w:pBdr/>
        <w:spacing/>
        <w:ind/>
        <w:rPr>
          <w:color w:val="000000"/>
        </w:rPr>
      </w:pPr>
      <w:r>
        <w:rPr>
          <w:b/>
          <w:bCs w:val="0"/>
          <w:color w:val="000000"/>
        </w:rPr>
        <w:t xml:space="preserve">Стабильность гидравлического режима системы.</w:t>
      </w:r>
      <w:r>
        <w:rPr>
          <w:color w:val="000000"/>
        </w:rPr>
        <w:t xml:space="preserve"> </w:t>
      </w:r>
      <w:r>
        <w:rPr>
          <w:color w:val="000000"/>
        </w:rPr>
      </w:r>
    </w:p>
    <w:p>
      <w:pPr>
        <w:pStyle w:val="12960"/>
        <w:pBdr/>
        <w:spacing/>
        <w:ind/>
        <w:rPr>
          <w:color w:val="000000"/>
        </w:rPr>
      </w:pPr>
      <w:r>
        <w:rPr>
          <w:color w:val="000000"/>
        </w:rPr>
        <w:t xml:space="preserve">Качественное регулирование обеспечивает стабильный расход теплоносителя и гидравлический режим системы теплоснабжения на протяжении всего отопительного периода, что является одним из его достоинств. </w:t>
      </w:r>
      <w:r>
        <w:rPr>
          <w:color w:val="000000"/>
        </w:rPr>
      </w:r>
    </w:p>
    <w:p>
      <w:pPr>
        <w:pStyle w:val="12960"/>
        <w:pBdr/>
        <w:spacing/>
        <w:ind/>
        <w:rPr>
          <w:color w:val="000000"/>
        </w:rPr>
      </w:pPr>
      <w:r>
        <w:rPr>
          <w:b/>
          <w:bCs w:val="0"/>
          <w:color w:val="000000"/>
        </w:rPr>
        <w:t xml:space="preserve">Адаптация к современным условиям.</w:t>
      </w:r>
      <w:r>
        <w:rPr>
          <w:color w:val="000000"/>
        </w:rPr>
        <w:t xml:space="preserve"> </w:t>
      </w:r>
      <w:r>
        <w:rPr>
          <w:color w:val="000000"/>
        </w:rPr>
      </w:r>
    </w:p>
    <w:p>
      <w:pPr>
        <w:pStyle w:val="12960"/>
        <w:pBdr/>
        <w:spacing/>
        <w:ind/>
        <w:rPr>
          <w:color w:val="000000"/>
        </w:rPr>
      </w:pPr>
      <w:r>
        <w:rPr>
          <w:color w:val="000000"/>
        </w:rPr>
        <w:t xml:space="preserve">В некотор</w:t>
      </w:r>
      <w:r>
        <w:rPr>
          <w:color w:val="000000"/>
        </w:rPr>
        <w:t xml:space="preserve">ых случаях наблюдается интерес к применению низкотемпературных графиков регулирования, включая 95/70 °C, особенно в условиях старых тепловых сетей. При этом требуется адаптация системы теплоснабжения, спроектированной для высоких параметров теплоносителя. </w:t>
      </w:r>
      <w:r>
        <w:rPr>
          <w:color w:val="000000"/>
        </w:rP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127" w:name="_Toc78674696"/>
      <w:r/>
      <w:bookmarkStart w:id="128" w:name="_Toc198483485"/>
      <w:r/>
      <w:bookmarkStart w:id="129" w:name="_Toc84970933"/>
      <w:r/>
      <w:bookmarkStart w:id="130" w:name="_Toc166767147"/>
      <w:r>
        <w:rPr>
          <w:rFonts w:cs="Times New Roman"/>
        </w:rPr>
        <w:t xml:space="preserve">Cреднегодовая загрузка оборудования</w:t>
      </w:r>
      <w:bookmarkEnd w:id="127"/>
      <w:r/>
      <w:bookmarkEnd w:id="128"/>
      <w:r/>
      <w:bookmarkEnd w:id="129"/>
      <w:r/>
      <w:bookmarkEnd w:id="130"/>
      <w:r/>
      <w:r>
        <w:rPr>
          <w:rFonts w:cs="Times New Roman"/>
        </w:rPr>
      </w:r>
    </w:p>
    <w:p>
      <w:pPr>
        <w:pStyle w:val="12960"/>
        <w:pBdr/>
        <w:spacing/>
        <w:ind/>
        <w:rPr/>
      </w:pPr>
      <w:r>
        <w:t xml:space="preserve">Среднегодовая загрузка оборудования котельной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r/>
    </w:p>
    <w:p>
      <w:pPr>
        <w:pStyle w:val="12960"/>
        <w:pBdr/>
        <w:spacing/>
        <w:ind/>
        <w:rPr/>
      </w:pPr>
      <w:r>
        <w:t xml:space="preserve">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r/>
    </w:p>
    <w:p>
      <w:pPr>
        <w:pStyle w:val="12960"/>
        <w:pBdr/>
        <w:spacing/>
        <w:ind/>
        <w:rPr/>
      </w:pPr>
      <w:r>
        <w:t xml:space="preserve">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p>
    <w:p>
      <w:pPr>
        <w:pStyle w:val="12960"/>
        <w:pBdr/>
        <w:spacing/>
        <w:ind/>
        <w:rPr/>
      </w:pPr>
      <w:r>
        <w:t xml:space="preserve">Режим работы котельных является сезонным.</w:t>
      </w:r>
      <w:r/>
    </w:p>
    <w:p>
      <w:pPr>
        <w:pStyle w:val="12960"/>
        <w:pBdr/>
        <w:spacing/>
        <w:ind/>
        <w:rPr/>
      </w:pPr>
      <w:r>
        <w:t xml:space="preserve">В межотопительный период производится текущий ремонт основного и вспомогательного оборудования.</w:t>
      </w:r>
      <w:r/>
    </w:p>
    <w:p>
      <w:pPr>
        <w:pStyle w:val="12960"/>
        <w:pBdr/>
        <w:spacing/>
        <w:ind/>
        <w:rPr>
          <w:b/>
          <w:bCs w:val="0"/>
        </w:rPr>
      </w:pPr>
      <w:r>
        <w:rPr>
          <w:b/>
          <w:bCs w:val="0"/>
        </w:rPr>
        <w:t xml:space="preserve">Таблица 1.2.8.1 – Среднегодовая загрузка оборудования котельных за 2025 год актуализации схемы теплоснабжения</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791"/>
        <w:gridCol w:w="1827"/>
        <w:gridCol w:w="1393"/>
        <w:gridCol w:w="2342"/>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3791" w:type="dxa"/>
            <w:vAlign w:val="center"/>
            <w:vMerge w:val="restart"/>
          </w:tcPr>
          <w:p>
            <w:pPr>
              <w:pStyle w:val="12385"/>
              <w:pBdr/>
              <w:spacing/>
              <w:ind/>
              <w:rPr>
                <w:rFonts w:cs="Times New Roman"/>
              </w:rPr>
            </w:pPr>
            <w:r>
              <w:rPr>
                <w:rFonts w:cs="Times New Roman"/>
              </w:rPr>
              <w:t xml:space="preserve">Наименование котельной, адрес</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827" w:type="dxa"/>
            <w:vAlign w:val="center"/>
            <w:vMerge w:val="restart"/>
          </w:tcPr>
          <w:p>
            <w:pPr>
              <w:pStyle w:val="12385"/>
              <w:pBdr/>
              <w:spacing/>
              <w:ind/>
              <w:rPr>
                <w:rFonts w:cs="Times New Roman"/>
              </w:rPr>
            </w:pPr>
            <w:r>
              <w:rPr>
                <w:rFonts w:cs="Times New Roman"/>
              </w:rPr>
              <w:t xml:space="preserve">Установленная тепловая мощность, Гкал/ч</w:t>
            </w:r>
            <w:r>
              <w:rPr>
                <w:rFonts w:cs="Times New Roman"/>
              </w:rPr>
            </w:r>
          </w:p>
        </w:tc>
        <w:tc>
          <w:tcPr>
            <w:gridSpan w:val="2"/>
            <w:shd w:val="clear" w:color="000000" w:fill="d9d9d9"/>
            <w:tcBorders>
              <w:top w:val="single" w:color="000000" w:sz="4" w:space="0"/>
              <w:bottom w:val="single" w:color="000000" w:sz="4" w:space="0"/>
              <w:right w:val="single" w:color="000000" w:sz="4" w:space="0"/>
            </w:tcBorders>
            <w:tcW w:w="3735" w:type="dxa"/>
            <w:vAlign w:val="center"/>
          </w:tcPr>
          <w:p>
            <w:pPr>
              <w:pStyle w:val="12385"/>
              <w:pBdr/>
              <w:spacing/>
              <w:ind/>
              <w:rPr>
                <w:rFonts w:cs="Times New Roman"/>
              </w:rPr>
            </w:pPr>
            <w:r>
              <w:rPr>
                <w:rFonts w:cs="Times New Roman"/>
              </w:rPr>
              <w:t xml:space="preserve">2025 год</w:t>
            </w:r>
            <w:r>
              <w:rPr>
                <w:rFonts w:cs="Times New Roman"/>
              </w:rPr>
            </w:r>
          </w:p>
        </w:tc>
      </w:tr>
      <w:tr>
        <w:trPr>
          <w:trHeight w:val="96"/>
          <w:tblHeader/>
        </w:trPr>
        <w:tc>
          <w:tcPr>
            <w:tcBorders>
              <w:top w:val="single" w:color="000000" w:sz="4" w:space="0"/>
              <w:left w:val="single" w:color="000000" w:sz="4" w:space="0"/>
              <w:bottom w:val="single" w:color="000000" w:sz="4" w:space="0"/>
              <w:right w:val="single" w:color="000000" w:sz="4" w:space="0"/>
            </w:tcBorders>
            <w:tcW w:w="3791"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827" w:type="dxa"/>
            <w:vAlign w:val="center"/>
            <w:vMerge w:val="continue"/>
          </w:tcPr>
          <w:p>
            <w:pPr>
              <w:pStyle w:val="12385"/>
              <w:pBdr/>
              <w:spacing/>
              <w:ind/>
              <w:rPr>
                <w:rFonts w:cs="Times New Roman"/>
              </w:rPr>
            </w:pPr>
            <w:r>
              <w:rPr>
                <w:rFonts w:cs="Times New Roman"/>
              </w:rPr>
            </w:r>
            <w:r>
              <w:rPr>
                <w:rFonts w:cs="Times New Roman"/>
              </w:rPr>
            </w:r>
          </w:p>
        </w:tc>
        <w:tc>
          <w:tcPr>
            <w:shd w:val="clear" w:color="000000" w:fill="d9d9d9"/>
            <w:tcBorders>
              <w:bottom w:val="single" w:color="000000" w:sz="4" w:space="0"/>
              <w:right w:val="single" w:color="000000" w:sz="4" w:space="0"/>
            </w:tcBorders>
            <w:tcW w:w="1393" w:type="dxa"/>
            <w:vAlign w:val="center"/>
          </w:tcPr>
          <w:p>
            <w:pPr>
              <w:pStyle w:val="12385"/>
              <w:pBdr/>
              <w:spacing/>
              <w:ind/>
              <w:rPr>
                <w:rFonts w:cs="Times New Roman"/>
              </w:rPr>
            </w:pPr>
            <w:r>
              <w:rPr>
                <w:rFonts w:cs="Times New Roman"/>
              </w:rPr>
              <w:t xml:space="preserve">Выработка тепла, Гкал</w:t>
            </w:r>
            <w:r>
              <w:rPr>
                <w:rFonts w:cs="Times New Roman"/>
              </w:rPr>
            </w:r>
          </w:p>
        </w:tc>
        <w:tc>
          <w:tcPr>
            <w:shd w:val="clear" w:color="000000" w:fill="d9d9d9"/>
            <w:tcBorders>
              <w:bottom w:val="single" w:color="000000" w:sz="4" w:space="0"/>
              <w:right w:val="single" w:color="000000" w:sz="4" w:space="0"/>
            </w:tcBorders>
            <w:tcW w:w="2342" w:type="dxa"/>
            <w:vAlign w:val="center"/>
          </w:tcPr>
          <w:p>
            <w:pPr>
              <w:pStyle w:val="12385"/>
              <w:pBdr/>
              <w:spacing/>
              <w:ind/>
              <w:rPr>
                <w:rFonts w:cs="Times New Roman"/>
              </w:rPr>
            </w:pPr>
            <w:r>
              <w:rPr>
                <w:rFonts w:cs="Times New Roman"/>
              </w:rPr>
              <w:t xml:space="preserve">Число часов использования УТМ (установленная тепловая мощность), час</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91" w:type="dxa"/>
            <w:vAlign w:val="center"/>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827" w:type="dxa"/>
            <w:vAlign w:val="center"/>
          </w:tcPr>
          <w:p>
            <w:pPr>
              <w:pStyle w:val="12385"/>
              <w:pBdr/>
              <w:spacing/>
              <w:ind/>
              <w:rPr>
                <w:rFonts w:cs="Times New Roman"/>
              </w:rPr>
            </w:pPr>
            <w:r>
              <w:rPr>
                <w:color w:val="000000"/>
                <w:szCs w:val="20"/>
              </w:rPr>
              <w:t xml:space="preserve">0,17</w:t>
            </w:r>
            <w:r>
              <w:rPr>
                <w:rFonts w:cs="Times New Roman"/>
              </w:rPr>
            </w:r>
          </w:p>
        </w:tc>
        <w:tc>
          <w:tcPr>
            <w:shd w:val="clear" w:color="000000" w:fill="ffffff"/>
            <w:tcBorders>
              <w:bottom w:val="single" w:color="000000" w:sz="4" w:space="0"/>
              <w:right w:val="single" w:color="000000" w:sz="4" w:space="0"/>
            </w:tcBorders>
            <w:tcW w:w="1393" w:type="dxa"/>
            <w:vAlign w:val="center"/>
          </w:tcPr>
          <w:p>
            <w:pPr>
              <w:pStyle w:val="12385"/>
              <w:pBdr/>
              <w:spacing/>
              <w:ind/>
              <w:rPr>
                <w:rFonts w:cs="Times New Roman"/>
              </w:rPr>
            </w:pPr>
            <w:r>
              <w:rPr>
                <w:color w:val="000000"/>
                <w:szCs w:val="20"/>
              </w:rPr>
              <w:t xml:space="preserve">118,58</w:t>
            </w:r>
            <w:r>
              <w:rPr>
                <w:rFonts w:cs="Times New Roman"/>
              </w:rPr>
            </w:r>
          </w:p>
        </w:tc>
        <w:tc>
          <w:tcPr>
            <w:shd w:val="clear" w:color="000000" w:fill="ffffff"/>
            <w:tcBorders>
              <w:bottom w:val="single" w:color="000000" w:sz="4" w:space="0"/>
              <w:right w:val="single" w:color="000000" w:sz="4" w:space="0"/>
            </w:tcBorders>
            <w:tcW w:w="2342" w:type="dxa"/>
            <w:vAlign w:val="bottom"/>
          </w:tcPr>
          <w:p>
            <w:pPr>
              <w:pStyle w:val="12385"/>
              <w:pBdr/>
              <w:spacing/>
              <w:ind/>
              <w:rPr>
                <w:rFonts w:cs="Times New Roman"/>
              </w:rPr>
            </w:pPr>
            <w:r>
              <w:rPr>
                <w:color w:val="000000"/>
                <w:szCs w:val="20"/>
              </w:rPr>
              <w:t xml:space="preserve">689,40</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91" w:type="dxa"/>
            <w:vAlign w:val="center"/>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827" w:type="dxa"/>
            <w:vAlign w:val="center"/>
          </w:tcPr>
          <w:p>
            <w:pPr>
              <w:pStyle w:val="12385"/>
              <w:pBdr/>
              <w:spacing/>
              <w:ind/>
              <w:rPr>
                <w:rFonts w:cs="Times New Roman"/>
              </w:rPr>
            </w:pPr>
            <w:r>
              <w:rPr>
                <w:color w:val="000000"/>
                <w:szCs w:val="20"/>
              </w:rPr>
              <w:t xml:space="preserve">0,34</w:t>
            </w:r>
            <w:r>
              <w:rPr>
                <w:rFonts w:cs="Times New Roman"/>
              </w:rPr>
            </w:r>
          </w:p>
        </w:tc>
        <w:tc>
          <w:tcPr>
            <w:shd w:val="clear" w:color="000000" w:fill="ffffff"/>
            <w:tcBorders>
              <w:bottom w:val="single" w:color="000000" w:sz="4" w:space="0"/>
              <w:right w:val="single" w:color="000000" w:sz="4" w:space="0"/>
            </w:tcBorders>
            <w:tcW w:w="1393" w:type="dxa"/>
            <w:vAlign w:val="center"/>
          </w:tcPr>
          <w:p>
            <w:pPr>
              <w:pStyle w:val="12385"/>
              <w:pBdr/>
              <w:spacing/>
              <w:ind/>
              <w:rPr>
                <w:rFonts w:cs="Times New Roman"/>
              </w:rPr>
            </w:pPr>
            <w:r>
              <w:rPr>
                <w:color w:val="000000"/>
                <w:szCs w:val="20"/>
              </w:rPr>
              <w:t xml:space="preserve">316,16</w:t>
            </w:r>
            <w:r>
              <w:rPr>
                <w:rFonts w:cs="Times New Roman"/>
              </w:rPr>
            </w:r>
          </w:p>
        </w:tc>
        <w:tc>
          <w:tcPr>
            <w:shd w:val="clear" w:color="000000" w:fill="ffffff"/>
            <w:tcBorders>
              <w:bottom w:val="single" w:color="000000" w:sz="4" w:space="0"/>
              <w:right w:val="single" w:color="000000" w:sz="4" w:space="0"/>
            </w:tcBorders>
            <w:tcW w:w="2342" w:type="dxa"/>
            <w:vAlign w:val="bottom"/>
          </w:tcPr>
          <w:p>
            <w:pPr>
              <w:pStyle w:val="12385"/>
              <w:pBdr/>
              <w:spacing/>
              <w:ind/>
              <w:rPr>
                <w:rFonts w:cs="Times New Roman"/>
              </w:rPr>
            </w:pPr>
            <w:r>
              <w:rPr>
                <w:color w:val="000000"/>
                <w:szCs w:val="20"/>
              </w:rPr>
              <w:t xml:space="preserve">919,06</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91" w:type="dxa"/>
            <w:vAlign w:val="center"/>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827" w:type="dxa"/>
            <w:vAlign w:val="center"/>
          </w:tcPr>
          <w:p>
            <w:pPr>
              <w:pStyle w:val="12385"/>
              <w:pBdr/>
              <w:spacing/>
              <w:ind/>
              <w:rPr>
                <w:rFonts w:cs="Times New Roman"/>
              </w:rPr>
            </w:pPr>
            <w:r>
              <w:rPr>
                <w:color w:val="000000"/>
                <w:szCs w:val="20"/>
              </w:rPr>
              <w:t xml:space="preserve">0,17</w:t>
            </w:r>
            <w:r>
              <w:rPr>
                <w:rFonts w:cs="Times New Roman"/>
              </w:rPr>
            </w:r>
          </w:p>
        </w:tc>
        <w:tc>
          <w:tcPr>
            <w:shd w:val="clear" w:color="000000" w:fill="ffffff"/>
            <w:tcBorders>
              <w:bottom w:val="single" w:color="000000" w:sz="4" w:space="0"/>
              <w:right w:val="single" w:color="000000" w:sz="4" w:space="0"/>
            </w:tcBorders>
            <w:tcW w:w="1393" w:type="dxa"/>
            <w:vAlign w:val="center"/>
          </w:tcPr>
          <w:p>
            <w:pPr>
              <w:pStyle w:val="12385"/>
              <w:pBdr/>
              <w:spacing/>
              <w:ind/>
              <w:rPr>
                <w:rFonts w:cs="Times New Roman"/>
              </w:rPr>
            </w:pPr>
            <w:r>
              <w:rPr>
                <w:color w:val="000000"/>
                <w:szCs w:val="20"/>
              </w:rPr>
              <w:t xml:space="preserve">159,96</w:t>
            </w:r>
            <w:r>
              <w:rPr>
                <w:rFonts w:cs="Times New Roman"/>
              </w:rPr>
            </w:r>
          </w:p>
        </w:tc>
        <w:tc>
          <w:tcPr>
            <w:shd w:val="clear" w:color="000000" w:fill="ffffff"/>
            <w:tcBorders>
              <w:bottom w:val="single" w:color="000000" w:sz="4" w:space="0"/>
              <w:right w:val="single" w:color="000000" w:sz="4" w:space="0"/>
            </w:tcBorders>
            <w:tcW w:w="2342" w:type="dxa"/>
            <w:vAlign w:val="bottom"/>
          </w:tcPr>
          <w:p>
            <w:pPr>
              <w:pStyle w:val="12385"/>
              <w:pBdr/>
              <w:spacing/>
              <w:ind/>
              <w:rPr>
                <w:rFonts w:cs="Times New Roman"/>
              </w:rPr>
            </w:pPr>
            <w:r>
              <w:rPr>
                <w:color w:val="000000"/>
                <w:szCs w:val="20"/>
              </w:rPr>
              <w:t xml:space="preserve">930,00</w:t>
            </w:r>
            <w:r>
              <w:rPr>
                <w:rFonts w:cs="Times New Roman"/>
              </w:rPr>
            </w:r>
          </w:p>
        </w:tc>
      </w:tr>
    </w:tbl>
    <w:p>
      <w:pPr>
        <w:pStyle w:val="12960"/>
        <w:pBdr/>
        <w:spacing/>
        <w:ind/>
        <w:rPr>
          <w:b/>
          <w:bCs w:val="0"/>
        </w:rPr>
      </w:pPr>
      <w:r>
        <w:rPr>
          <w:b/>
          <w:bCs w:val="0"/>
        </w:rPr>
      </w:r>
      <w:r>
        <w:rPr>
          <w:b/>
          <w:bCs w:val="0"/>
        </w:rPr>
      </w:r>
    </w:p>
    <w:p>
      <w:pPr>
        <w:pStyle w:val="12960"/>
        <w:pBdr/>
        <w:spacing/>
        <w:ind/>
        <w:rPr>
          <w:b/>
          <w:bCs w:val="0"/>
        </w:rPr>
      </w:pPr>
      <w:r>
        <w:rPr>
          <w:b/>
          <w:bCs w:val="0"/>
        </w:rPr>
        <w:t xml:space="preserve">Таблица 1.2.8.2 – Расчетная среднегодовая загрузка оборудования котельных за 2025 год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86"/>
        <w:gridCol w:w="4495"/>
        <w:gridCol w:w="1510"/>
        <w:gridCol w:w="1366"/>
        <w:gridCol w:w="1497"/>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rPr>
                <w:rFonts w:cs="Times New Roman"/>
              </w:rPr>
              <w:t xml:space="preserve">№ </w:t>
            </w:r>
            <w:r>
              <w:rPr>
                <w:rFonts w:cs="Times New Roman"/>
              </w:rPr>
              <w:t xml:space="preserve">п/п</w:t>
            </w:r>
            <w:r>
              <w:rPr>
                <w:rFonts w:cs="Times New Roman"/>
              </w:rPr>
            </w:r>
          </w:p>
        </w:tc>
        <w:tc>
          <w:tcPr>
            <w:shd w:val="clear" w:color="000000" w:fill="d9d9d9"/>
            <w:tcBorders>
              <w:top w:val="single" w:color="000000" w:sz="4" w:space="0"/>
              <w:bottom w:val="single" w:color="000000" w:sz="4" w:space="0"/>
              <w:right w:val="single" w:color="000000" w:sz="4" w:space="0"/>
            </w:tcBorders>
            <w:tcW w:w="4495" w:type="dxa"/>
            <w:vAlign w:val="center"/>
          </w:tcPr>
          <w:p>
            <w:pPr>
              <w:pStyle w:val="12385"/>
              <w:pBdr/>
              <w:spacing/>
              <w:ind/>
              <w:rPr>
                <w:rFonts w:cs="Times New Roman"/>
              </w:rPr>
            </w:pPr>
            <w:r>
              <w:rPr>
                <w:rFonts w:cs="Times New Roman"/>
              </w:rPr>
              <w:t xml:space="preserve">Наименование источника</w:t>
            </w:r>
            <w:r>
              <w:rPr>
                <w:rFonts w:cs="Times New Roman"/>
              </w:rPr>
            </w:r>
          </w:p>
        </w:tc>
        <w:tc>
          <w:tcPr>
            <w:shd w:val="clear" w:color="000000" w:fill="d9d9d9"/>
            <w:tcBorders>
              <w:top w:val="single" w:color="000000" w:sz="4" w:space="0"/>
              <w:bottom w:val="single" w:color="000000" w:sz="4" w:space="0"/>
              <w:right w:val="single" w:color="000000" w:sz="4" w:space="0"/>
            </w:tcBorders>
            <w:tcW w:w="1510" w:type="dxa"/>
            <w:vAlign w:val="center"/>
          </w:tcPr>
          <w:p>
            <w:pPr>
              <w:pStyle w:val="12385"/>
              <w:pBdr/>
              <w:spacing/>
              <w:ind/>
              <w:rPr>
                <w:rFonts w:cs="Times New Roman"/>
              </w:rPr>
            </w:pPr>
            <w:r>
              <w:rPr>
                <w:rFonts w:cs="Times New Roman"/>
              </w:rPr>
              <w:t xml:space="preserve">Установленная тепловая мощность, Гкал/ч</w:t>
            </w:r>
            <w:r>
              <w:rPr>
                <w:rFonts w:cs="Times New Roman"/>
              </w:rPr>
            </w:r>
          </w:p>
        </w:tc>
        <w:tc>
          <w:tcPr>
            <w:shd w:val="clear" w:color="000000" w:fill="d9d9d9"/>
            <w:tcBorders>
              <w:top w:val="single" w:color="000000" w:sz="4" w:space="0"/>
              <w:bottom w:val="single" w:color="000000" w:sz="4" w:space="0"/>
              <w:right w:val="single" w:color="000000" w:sz="4" w:space="0"/>
            </w:tcBorders>
            <w:tcW w:w="1366" w:type="dxa"/>
            <w:vAlign w:val="center"/>
          </w:tcPr>
          <w:p>
            <w:pPr>
              <w:pStyle w:val="12385"/>
              <w:pBdr/>
              <w:spacing/>
              <w:ind/>
              <w:rPr>
                <w:rFonts w:cs="Times New Roman"/>
              </w:rPr>
            </w:pPr>
            <w:r>
              <w:rPr>
                <w:rFonts w:cs="Times New Roman"/>
              </w:rPr>
              <w:t xml:space="preserve">Объем производства тепловой энергии в год, Гкал</w:t>
            </w:r>
            <w:r>
              <w:rPr>
                <w:rFonts w:cs="Times New Roman"/>
              </w:rPr>
            </w:r>
          </w:p>
        </w:tc>
        <w:tc>
          <w:tcPr>
            <w:shd w:val="clear" w:color="000000" w:fill="d9d9d9"/>
            <w:tcBorders>
              <w:top w:val="single" w:color="000000" w:sz="4" w:space="0"/>
              <w:bottom w:val="single" w:color="000000" w:sz="4" w:space="0"/>
              <w:right w:val="single" w:color="000000" w:sz="4" w:space="0"/>
            </w:tcBorders>
            <w:tcW w:w="1497" w:type="dxa"/>
            <w:vAlign w:val="center"/>
          </w:tcPr>
          <w:p>
            <w:pPr>
              <w:pStyle w:val="12385"/>
              <w:pBdr/>
              <w:spacing/>
              <w:ind/>
              <w:rPr>
                <w:rFonts w:cs="Times New Roman"/>
              </w:rPr>
            </w:pPr>
            <w:r>
              <w:rPr>
                <w:rFonts w:cs="Times New Roman"/>
              </w:rPr>
              <w:t xml:space="preserve">Среднегодовая загрузка оборудования,</w:t>
            </w:r>
            <w:r>
              <w:rPr>
                <w:rFonts w:cs="Times New Roman"/>
                <w:lang w:val="en-US"/>
              </w:rPr>
              <w:t xml:space="preserve"> </w:t>
            </w:r>
            <w:r>
              <w:rPr>
                <w:rFonts w:cs="Times New Roman"/>
              </w:rPr>
              <w:t xml:space="preserve">%</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1</w:t>
            </w:r>
            <w:r>
              <w:rPr>
                <w:rFonts w:cs="Times New Roman"/>
              </w:rPr>
            </w:r>
          </w:p>
        </w:tc>
        <w:tc>
          <w:tcPr>
            <w:shd w:val="clear" w:color="000000" w:fill="ffffff"/>
            <w:tcBorders>
              <w:bottom w:val="single" w:color="000000" w:sz="4" w:space="0"/>
              <w:right w:val="single" w:color="000000" w:sz="4" w:space="0"/>
            </w:tcBorders>
            <w:tcW w:w="4495" w:type="dxa"/>
            <w:vAlign w:val="bottom"/>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10" w:type="dxa"/>
            <w:vAlign w:val="bottom"/>
          </w:tcPr>
          <w:p>
            <w:pPr>
              <w:pStyle w:val="12385"/>
              <w:pBdr/>
              <w:spacing/>
              <w:ind/>
              <w:rPr>
                <w:rFonts w:cs="Times New Roman"/>
              </w:rPr>
            </w:pPr>
            <w:r>
              <w:rPr>
                <w:color w:val="000000"/>
                <w:szCs w:val="20"/>
              </w:rPr>
              <w:t xml:space="preserve">0,172</w:t>
            </w:r>
            <w:r>
              <w:rPr>
                <w:rFonts w:cs="Times New Roman"/>
              </w:rPr>
            </w:r>
          </w:p>
        </w:tc>
        <w:tc>
          <w:tcPr>
            <w:shd w:val="clear" w:color="000000" w:fill="ffffff"/>
            <w:tcBorders>
              <w:bottom w:val="single" w:color="000000" w:sz="4" w:space="0"/>
              <w:right w:val="single" w:color="000000" w:sz="4" w:space="0"/>
            </w:tcBorders>
            <w:tcW w:w="1366" w:type="dxa"/>
            <w:vAlign w:val="bottom"/>
          </w:tcPr>
          <w:p>
            <w:pPr>
              <w:pStyle w:val="12385"/>
              <w:pBdr/>
              <w:spacing/>
              <w:ind/>
              <w:rPr>
                <w:rFonts w:cs="Times New Roman"/>
              </w:rPr>
            </w:pPr>
            <w:r>
              <w:rPr>
                <w:color w:val="000000"/>
                <w:szCs w:val="20"/>
              </w:rPr>
              <w:t xml:space="preserve">118,58</w:t>
            </w:r>
            <w:r>
              <w:rPr>
                <w:rFonts w:cs="Times New Roman"/>
              </w:rPr>
            </w:r>
          </w:p>
        </w:tc>
        <w:tc>
          <w:tcPr>
            <w:shd w:val="clear" w:color="000000" w:fill="ffffff"/>
            <w:tcBorders>
              <w:bottom w:val="single" w:color="000000" w:sz="4" w:space="0"/>
              <w:right w:val="single" w:color="000000" w:sz="4" w:space="0"/>
            </w:tcBorders>
            <w:tcW w:w="1497" w:type="dxa"/>
            <w:vAlign w:val="bottom"/>
          </w:tcPr>
          <w:p>
            <w:pPr>
              <w:pStyle w:val="12385"/>
              <w:pBdr/>
              <w:spacing/>
              <w:ind/>
              <w:rPr>
                <w:rFonts w:cs="Times New Roman"/>
              </w:rPr>
            </w:pPr>
            <w:r>
              <w:rPr>
                <w:color w:val="000000"/>
                <w:szCs w:val="20"/>
              </w:rPr>
              <w:t xml:space="preserve">13,30%</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2</w:t>
            </w:r>
            <w:r>
              <w:rPr>
                <w:rFonts w:cs="Times New Roman"/>
              </w:rPr>
            </w:r>
          </w:p>
        </w:tc>
        <w:tc>
          <w:tcPr>
            <w:shd w:val="clear" w:color="000000" w:fill="ffffff"/>
            <w:tcBorders>
              <w:bottom w:val="single" w:color="000000" w:sz="4" w:space="0"/>
              <w:right w:val="single" w:color="000000" w:sz="4" w:space="0"/>
            </w:tcBorders>
            <w:tcW w:w="4495" w:type="dxa"/>
            <w:vAlign w:val="bottom"/>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10" w:type="dxa"/>
            <w:vAlign w:val="bottom"/>
          </w:tcPr>
          <w:p>
            <w:pPr>
              <w:pStyle w:val="12385"/>
              <w:pBdr/>
              <w:spacing/>
              <w:ind/>
              <w:rPr>
                <w:rFonts w:cs="Times New Roman"/>
              </w:rPr>
            </w:pPr>
            <w:r>
              <w:rPr>
                <w:color w:val="000000"/>
                <w:szCs w:val="20"/>
              </w:rPr>
              <w:t xml:space="preserve">0,344</w:t>
            </w:r>
            <w:r>
              <w:rPr>
                <w:rFonts w:cs="Times New Roman"/>
              </w:rPr>
            </w:r>
          </w:p>
        </w:tc>
        <w:tc>
          <w:tcPr>
            <w:shd w:val="clear" w:color="000000" w:fill="ffffff"/>
            <w:tcBorders>
              <w:bottom w:val="single" w:color="000000" w:sz="4" w:space="0"/>
              <w:right w:val="single" w:color="000000" w:sz="4" w:space="0"/>
            </w:tcBorders>
            <w:tcW w:w="1366" w:type="dxa"/>
            <w:vAlign w:val="bottom"/>
          </w:tcPr>
          <w:p>
            <w:pPr>
              <w:pStyle w:val="12385"/>
              <w:pBdr/>
              <w:spacing/>
              <w:ind/>
              <w:rPr>
                <w:rFonts w:cs="Times New Roman"/>
              </w:rPr>
            </w:pPr>
            <w:r>
              <w:rPr>
                <w:color w:val="000000"/>
                <w:szCs w:val="20"/>
              </w:rPr>
              <w:t xml:space="preserve">316,16</w:t>
            </w:r>
            <w:r>
              <w:rPr>
                <w:rFonts w:cs="Times New Roman"/>
              </w:rPr>
            </w:r>
          </w:p>
        </w:tc>
        <w:tc>
          <w:tcPr>
            <w:shd w:val="clear" w:color="000000" w:fill="ffffff"/>
            <w:tcBorders>
              <w:bottom w:val="single" w:color="000000" w:sz="4" w:space="0"/>
              <w:right w:val="single" w:color="000000" w:sz="4" w:space="0"/>
            </w:tcBorders>
            <w:tcW w:w="1497" w:type="dxa"/>
            <w:vAlign w:val="bottom"/>
          </w:tcPr>
          <w:p>
            <w:pPr>
              <w:pStyle w:val="12385"/>
              <w:pBdr/>
              <w:spacing/>
              <w:ind/>
              <w:rPr>
                <w:rFonts w:cs="Times New Roman"/>
              </w:rPr>
            </w:pPr>
            <w:r>
              <w:rPr>
                <w:color w:val="000000"/>
                <w:szCs w:val="20"/>
              </w:rPr>
              <w:t xml:space="preserve">17,73%</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3</w:t>
            </w:r>
            <w:r>
              <w:rPr>
                <w:rFonts w:cs="Times New Roman"/>
              </w:rPr>
            </w:r>
          </w:p>
        </w:tc>
        <w:tc>
          <w:tcPr>
            <w:shd w:val="clear" w:color="000000" w:fill="ffffff"/>
            <w:tcBorders>
              <w:bottom w:val="single" w:color="000000" w:sz="4" w:space="0"/>
              <w:right w:val="single" w:color="000000" w:sz="4" w:space="0"/>
            </w:tcBorders>
            <w:tcW w:w="4495" w:type="dxa"/>
            <w:vAlign w:val="bottom"/>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10" w:type="dxa"/>
            <w:vAlign w:val="bottom"/>
          </w:tcPr>
          <w:p>
            <w:pPr>
              <w:pStyle w:val="12385"/>
              <w:pBdr/>
              <w:spacing/>
              <w:ind/>
              <w:rPr>
                <w:rFonts w:cs="Times New Roman"/>
              </w:rPr>
            </w:pPr>
            <w:r>
              <w:rPr>
                <w:color w:val="000000"/>
                <w:szCs w:val="20"/>
              </w:rPr>
              <w:t xml:space="preserve">0,172</w:t>
            </w:r>
            <w:r>
              <w:rPr>
                <w:rFonts w:cs="Times New Roman"/>
              </w:rPr>
            </w:r>
          </w:p>
        </w:tc>
        <w:tc>
          <w:tcPr>
            <w:shd w:val="clear" w:color="000000" w:fill="ffffff"/>
            <w:tcBorders>
              <w:bottom w:val="single" w:color="000000" w:sz="4" w:space="0"/>
              <w:right w:val="single" w:color="000000" w:sz="4" w:space="0"/>
            </w:tcBorders>
            <w:tcW w:w="1366" w:type="dxa"/>
            <w:vAlign w:val="bottom"/>
          </w:tcPr>
          <w:p>
            <w:pPr>
              <w:pStyle w:val="12385"/>
              <w:pBdr/>
              <w:spacing/>
              <w:ind/>
              <w:rPr>
                <w:rFonts w:cs="Times New Roman"/>
              </w:rPr>
            </w:pPr>
            <w:r>
              <w:rPr>
                <w:color w:val="000000"/>
                <w:szCs w:val="20"/>
              </w:rPr>
              <w:t xml:space="preserve">159,96</w:t>
            </w:r>
            <w:r>
              <w:rPr>
                <w:rFonts w:cs="Times New Roman"/>
              </w:rPr>
            </w:r>
          </w:p>
        </w:tc>
        <w:tc>
          <w:tcPr>
            <w:shd w:val="clear" w:color="000000" w:fill="ffffff"/>
            <w:tcBorders>
              <w:bottom w:val="single" w:color="000000" w:sz="4" w:space="0"/>
              <w:right w:val="single" w:color="000000" w:sz="4" w:space="0"/>
            </w:tcBorders>
            <w:tcW w:w="1497" w:type="dxa"/>
            <w:vAlign w:val="bottom"/>
          </w:tcPr>
          <w:p>
            <w:pPr>
              <w:pStyle w:val="12385"/>
              <w:pBdr/>
              <w:spacing/>
              <w:ind/>
              <w:rPr>
                <w:rFonts w:cs="Times New Roman"/>
              </w:rPr>
            </w:pPr>
            <w:r>
              <w:rPr>
                <w:color w:val="000000"/>
                <w:szCs w:val="20"/>
              </w:rPr>
              <w:t xml:space="preserve">17,94%</w:t>
            </w:r>
            <w:r>
              <w:rPr>
                <w:rFonts w:cs="Times New Roman"/>
              </w:rPr>
            </w:r>
          </w:p>
        </w:tc>
      </w:tr>
    </w:tbl>
    <w:p>
      <w:pPr>
        <w:pStyle w:val="12960"/>
        <w:pBdr/>
        <w:spacing/>
        <w:ind/>
        <w:rPr/>
      </w:pPr>
      <w:r/>
      <w:r/>
    </w:p>
    <w:p>
      <w:pPr>
        <w:pStyle w:val="10535"/>
        <w:keepNext w:val="false"/>
        <w:widowControl w:val="false"/>
        <w:numPr>
          <w:ilvl w:val="1"/>
          <w:numId w:val="13"/>
        </w:numPr>
        <w:pBdr/>
        <w:spacing w:after="240" w:before="240" w:line="240" w:lineRule="auto"/>
        <w:ind/>
        <w:rPr>
          <w:rFonts w:cs="Times New Roman"/>
        </w:rPr>
      </w:pPr>
      <w:r/>
      <w:bookmarkStart w:id="131" w:name="_Toc84970934"/>
      <w:r/>
      <w:bookmarkStart w:id="132" w:name="_Toc166767148"/>
      <w:r/>
      <w:bookmarkStart w:id="133" w:name="_Toc198483486"/>
      <w:r/>
      <w:bookmarkStart w:id="134" w:name="_Toc78674697"/>
      <w:r>
        <w:rPr>
          <w:rFonts w:cs="Times New Roman"/>
        </w:rPr>
        <w:t xml:space="preserve">Способы учета тепла, отпущенного в тепловые сети</w:t>
      </w:r>
      <w:bookmarkEnd w:id="131"/>
      <w:r/>
      <w:bookmarkEnd w:id="132"/>
      <w:r/>
      <w:bookmarkEnd w:id="133"/>
      <w:r/>
      <w:bookmarkEnd w:id="134"/>
      <w:r/>
      <w:r>
        <w:rPr>
          <w:rFonts w:cs="Times New Roman"/>
        </w:rPr>
      </w:r>
    </w:p>
    <w:p>
      <w:pPr>
        <w:pStyle w:val="12960"/>
        <w:pBdr/>
        <w:spacing/>
        <w:ind/>
        <w:rPr/>
      </w:pPr>
      <w:r>
        <w:t xml:space="preserve">В настоящее время приборы учета тепловой энергии не установлены на источниках тепловой энергии.</w:t>
      </w:r>
      <w:r/>
    </w:p>
    <w:p>
      <w:pPr>
        <w:pStyle w:val="12960"/>
        <w:pBdr/>
        <w:spacing/>
        <w:ind/>
        <w:rPr>
          <w:b/>
          <w:bCs w:val="0"/>
        </w:rPr>
      </w:pPr>
      <w:r>
        <w:rPr>
          <w:b/>
          <w:bCs w:val="0"/>
        </w:rPr>
        <w:t xml:space="preserve">Таблица 1.2.9.1 – Приборы учета тепла, отпущенного в тепловые сети</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289"/>
        <w:gridCol w:w="2860"/>
        <w:gridCol w:w="3205"/>
      </w:tblGrid>
      <w:tr>
        <w:trPr>
          <w:trHeight w:val="7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289" w:type="dxa"/>
            <w:vAlign w:val="center"/>
          </w:tcPr>
          <w:p>
            <w:pPr>
              <w:pStyle w:val="12385"/>
              <w:pBdr/>
              <w:spacing/>
              <w:ind/>
              <w:rPr>
                <w:rFonts w:cs="Times New Roman"/>
              </w:rPr>
            </w:pPr>
            <w:r>
              <w:rPr>
                <w:rFonts w:cs="Times New Roman"/>
              </w:rPr>
              <w:t xml:space="preserve">Наименование котельной</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860" w:type="dxa"/>
            <w:vAlign w:val="center"/>
          </w:tcPr>
          <w:p>
            <w:pPr>
              <w:pStyle w:val="12385"/>
              <w:pBdr/>
              <w:spacing/>
              <w:ind/>
              <w:rPr>
                <w:rFonts w:cs="Times New Roman"/>
              </w:rPr>
            </w:pPr>
            <w:r>
              <w:rPr>
                <w:rFonts w:cs="Times New Roman"/>
              </w:rPr>
              <w:t xml:space="preserve">Марка прибора учета тепла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205" w:type="dxa"/>
            <w:vAlign w:val="center"/>
          </w:tcPr>
          <w:p>
            <w:pPr>
              <w:pStyle w:val="12385"/>
              <w:pBdr/>
              <w:spacing/>
              <w:ind/>
              <w:rPr>
                <w:rFonts w:cs="Times New Roman"/>
              </w:rPr>
            </w:pPr>
            <w:r>
              <w:rPr>
                <w:rFonts w:cs="Times New Roman"/>
              </w:rPr>
              <w:t xml:space="preserve">Год ввода в эксплуатацию</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289" w:type="dxa"/>
            <w:vAlign w:val="bottom"/>
          </w:tcPr>
          <w:p>
            <w:pPr>
              <w:pStyle w:val="12385"/>
              <w:pBdr/>
              <w:spacing/>
              <w:ind/>
              <w:rPr>
                <w:rFonts w:cs="Times New Roman"/>
              </w:rPr>
            </w:pPr>
            <w:r>
              <w:rPr>
                <w:color w:val="000000"/>
                <w:szCs w:val="20"/>
              </w:rPr>
              <w:t xml:space="preserve">Котельная №5 д. Ясенки</w:t>
            </w:r>
            <w:r>
              <w:rPr>
                <w:rFonts w:cs="Times New Roman"/>
              </w:rPr>
            </w:r>
          </w:p>
        </w:tc>
        <w:tc>
          <w:tcPr>
            <w:tcBorders>
              <w:top w:val="single" w:color="000000" w:sz="4" w:space="0"/>
              <w:left w:val="single" w:color="000000" w:sz="4" w:space="0"/>
              <w:bottom w:val="single" w:color="000000" w:sz="4" w:space="0"/>
              <w:right w:val="single" w:color="000000" w:sz="4" w:space="0"/>
            </w:tcBorders>
            <w:tcW w:w="286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3205" w:type="dxa"/>
          </w:tcPr>
          <w:p>
            <w:pPr>
              <w:pStyle w:val="12385"/>
              <w:pBdr/>
              <w:spacing/>
              <w:ind/>
              <w:rPr>
                <w:rFonts w:cs="Times New Roman"/>
              </w:rPr>
            </w:pPr>
            <w:r>
              <w:rPr>
                <w:rFonts w:cs="Times New Roman"/>
              </w:rPr>
              <w:t xml:space="preserve">-</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289" w:type="dxa"/>
            <w:vAlign w:val="bottom"/>
          </w:tcPr>
          <w:p>
            <w:pPr>
              <w:pStyle w:val="12385"/>
              <w:pBdr/>
              <w:spacing/>
              <w:ind/>
              <w:rPr>
                <w:rFonts w:cs="Times New Roman"/>
              </w:rPr>
            </w:pPr>
            <w:r>
              <w:rPr>
                <w:color w:val="000000"/>
                <w:szCs w:val="20"/>
              </w:rPr>
              <w:t xml:space="preserve">Котельная №6 п. Первомайский</w:t>
            </w:r>
            <w:r>
              <w:rPr>
                <w:rFonts w:cs="Times New Roman"/>
              </w:rPr>
            </w:r>
          </w:p>
        </w:tc>
        <w:tc>
          <w:tcPr>
            <w:tcBorders>
              <w:top w:val="single" w:color="000000" w:sz="4" w:space="0"/>
              <w:left w:val="single" w:color="000000" w:sz="4" w:space="0"/>
              <w:bottom w:val="single" w:color="000000" w:sz="4" w:space="0"/>
              <w:right w:val="single" w:color="000000" w:sz="4" w:space="0"/>
            </w:tcBorders>
            <w:tcW w:w="286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3205" w:type="dxa"/>
          </w:tcPr>
          <w:p>
            <w:pPr>
              <w:pStyle w:val="12385"/>
              <w:pBdr/>
              <w:spacing/>
              <w:ind/>
              <w:rPr>
                <w:rFonts w:cs="Times New Roman"/>
              </w:rPr>
            </w:pPr>
            <w:r>
              <w:rPr>
                <w:rFonts w:cs="Times New Roman"/>
              </w:rPr>
              <w:t xml:space="preserve">-</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289" w:type="dxa"/>
            <w:vAlign w:val="bottom"/>
          </w:tcPr>
          <w:p>
            <w:pPr>
              <w:pStyle w:val="12385"/>
              <w:pBdr/>
              <w:spacing/>
              <w:ind/>
              <w:rPr>
                <w:rFonts w:cs="Times New Roman"/>
              </w:rPr>
            </w:pPr>
            <w:r>
              <w:rPr>
                <w:color w:val="000000"/>
                <w:szCs w:val="20"/>
              </w:rPr>
              <w:t xml:space="preserve">Котельная №7 с. Белый Колодезь</w:t>
            </w:r>
            <w:r>
              <w:rPr>
                <w:rFonts w:cs="Times New Roman"/>
              </w:rPr>
            </w:r>
          </w:p>
        </w:tc>
        <w:tc>
          <w:tcPr>
            <w:tcBorders>
              <w:top w:val="single" w:color="000000" w:sz="4" w:space="0"/>
              <w:left w:val="single" w:color="000000" w:sz="4" w:space="0"/>
              <w:bottom w:val="single" w:color="000000" w:sz="4" w:space="0"/>
              <w:right w:val="single" w:color="000000" w:sz="4" w:space="0"/>
            </w:tcBorders>
            <w:tcW w:w="286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3205" w:type="dxa"/>
          </w:tcPr>
          <w:p>
            <w:pPr>
              <w:pStyle w:val="12385"/>
              <w:pBdr/>
              <w:spacing/>
              <w:ind/>
              <w:rPr>
                <w:rFonts w:cs="Times New Roman"/>
              </w:rPr>
            </w:pPr>
            <w:r>
              <w:rPr>
                <w:rFonts w:cs="Times New Roman"/>
              </w:rPr>
              <w:t xml:space="preserve">-</w:t>
            </w:r>
            <w:r>
              <w:rPr>
                <w:rFonts w:cs="Times New Roman"/>
              </w:rPr>
            </w:r>
          </w:p>
        </w:tc>
      </w:tr>
    </w:tbl>
    <w:p>
      <w:pPr>
        <w:pStyle w:val="12960"/>
        <w:pBdr/>
        <w:spacing/>
        <w:ind/>
        <w:rPr/>
      </w:pPr>
      <w:r/>
      <w:r/>
    </w:p>
    <w:p>
      <w:pPr>
        <w:pStyle w:val="12960"/>
        <w:pBdr/>
        <w:spacing/>
        <w:ind/>
        <w:rPr>
          <w:b/>
          <w:bCs w:val="0"/>
        </w:rPr>
      </w:pPr>
      <w:r>
        <w:rPr>
          <w:b/>
          <w:bCs w:val="0"/>
        </w:rPr>
        <w:t xml:space="preserve">Таблица 1.2.9.2 – Планы по установке приборов учета тепла, отпущенного в тепловые сети</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289"/>
        <w:gridCol w:w="2860"/>
        <w:gridCol w:w="3205"/>
      </w:tblGrid>
      <w:tr>
        <w:trPr>
          <w:trHeight w:val="7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289" w:type="dxa"/>
            <w:vAlign w:val="center"/>
          </w:tcPr>
          <w:p>
            <w:pPr>
              <w:pStyle w:val="12385"/>
              <w:pBdr/>
              <w:spacing/>
              <w:ind/>
              <w:rPr>
                <w:rFonts w:cs="Times New Roman"/>
              </w:rPr>
            </w:pPr>
            <w:r>
              <w:rPr>
                <w:rFonts w:cs="Times New Roman"/>
              </w:rPr>
              <w:t xml:space="preserve">Наименование котельной</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860" w:type="dxa"/>
            <w:vAlign w:val="center"/>
          </w:tcPr>
          <w:p>
            <w:pPr>
              <w:pStyle w:val="12385"/>
              <w:pBdr/>
              <w:spacing/>
              <w:ind/>
              <w:rPr>
                <w:rFonts w:cs="Times New Roman"/>
              </w:rPr>
            </w:pPr>
            <w:r>
              <w:rPr>
                <w:rFonts w:cs="Times New Roman"/>
              </w:rPr>
              <w:t xml:space="preserve">Марка прибора учета тепла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205" w:type="dxa"/>
            <w:vAlign w:val="center"/>
          </w:tcPr>
          <w:p>
            <w:pPr>
              <w:pStyle w:val="12385"/>
              <w:pBdr/>
              <w:spacing/>
              <w:ind/>
              <w:rPr>
                <w:rFonts w:cs="Times New Roman"/>
              </w:rPr>
            </w:pPr>
            <w:r>
              <w:rPr>
                <w:rFonts w:cs="Times New Roman"/>
              </w:rPr>
              <w:t xml:space="preserve">Год ввода в эксплуатацию</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289" w:type="dxa"/>
            <w:vAlign w:val="bottom"/>
          </w:tcPr>
          <w:p>
            <w:pPr>
              <w:pStyle w:val="12385"/>
              <w:pBdr/>
              <w:spacing/>
              <w:ind/>
              <w:rPr>
                <w:rFonts w:cs="Times New Roman"/>
              </w:rPr>
            </w:pPr>
            <w:r>
              <w:rPr>
                <w:color w:val="000000"/>
                <w:szCs w:val="20"/>
              </w:rPr>
              <w:t xml:space="preserve">Котельная №5 д. Ясенки</w:t>
            </w:r>
            <w:r>
              <w:rPr>
                <w:rFonts w:cs="Times New Roman"/>
              </w:rPr>
            </w:r>
          </w:p>
        </w:tc>
        <w:tc>
          <w:tcPr>
            <w:tcBorders>
              <w:top w:val="single" w:color="000000" w:sz="4" w:space="0"/>
              <w:left w:val="single" w:color="000000" w:sz="4" w:space="0"/>
              <w:bottom w:val="single" w:color="000000" w:sz="4" w:space="0"/>
              <w:right w:val="single" w:color="000000" w:sz="4" w:space="0"/>
            </w:tcBorders>
            <w:tcW w:w="286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3205" w:type="dxa"/>
          </w:tcPr>
          <w:p>
            <w:pPr>
              <w:pStyle w:val="12385"/>
              <w:pBdr/>
              <w:spacing/>
              <w:ind/>
              <w:rPr>
                <w:rFonts w:cs="Times New Roman"/>
              </w:rPr>
            </w:pPr>
            <w:r>
              <w:rPr>
                <w:rFonts w:cs="Times New Roman"/>
              </w:rPr>
              <w:t xml:space="preserve">-</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289" w:type="dxa"/>
            <w:vAlign w:val="bottom"/>
          </w:tcPr>
          <w:p>
            <w:pPr>
              <w:pStyle w:val="12385"/>
              <w:pBdr/>
              <w:spacing/>
              <w:ind/>
              <w:rPr>
                <w:rFonts w:cs="Times New Roman"/>
              </w:rPr>
            </w:pPr>
            <w:r>
              <w:rPr>
                <w:color w:val="000000"/>
                <w:szCs w:val="20"/>
              </w:rPr>
              <w:t xml:space="preserve">Котельная №6 п. Первомайский</w:t>
            </w:r>
            <w:r>
              <w:rPr>
                <w:rFonts w:cs="Times New Roman"/>
              </w:rPr>
            </w:r>
          </w:p>
        </w:tc>
        <w:tc>
          <w:tcPr>
            <w:tcBorders>
              <w:top w:val="single" w:color="000000" w:sz="4" w:space="0"/>
              <w:left w:val="single" w:color="000000" w:sz="4" w:space="0"/>
              <w:bottom w:val="single" w:color="000000" w:sz="4" w:space="0"/>
              <w:right w:val="single" w:color="000000" w:sz="4" w:space="0"/>
            </w:tcBorders>
            <w:tcW w:w="286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3205" w:type="dxa"/>
          </w:tcPr>
          <w:p>
            <w:pPr>
              <w:pStyle w:val="12385"/>
              <w:pBdr/>
              <w:spacing/>
              <w:ind/>
              <w:rPr>
                <w:rFonts w:cs="Times New Roman"/>
              </w:rPr>
            </w:pPr>
            <w:r>
              <w:rPr>
                <w:rFonts w:cs="Times New Roman"/>
              </w:rPr>
              <w:t xml:space="preserve">-</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289" w:type="dxa"/>
            <w:vAlign w:val="bottom"/>
          </w:tcPr>
          <w:p>
            <w:pPr>
              <w:pStyle w:val="12385"/>
              <w:pBdr/>
              <w:spacing/>
              <w:ind/>
              <w:rPr>
                <w:rFonts w:cs="Times New Roman"/>
              </w:rPr>
            </w:pPr>
            <w:r>
              <w:rPr>
                <w:color w:val="000000"/>
                <w:szCs w:val="20"/>
              </w:rPr>
              <w:t xml:space="preserve">Котельная №7 с. Белый Колодезь</w:t>
            </w:r>
            <w:r>
              <w:rPr>
                <w:rFonts w:cs="Times New Roman"/>
              </w:rPr>
            </w:r>
          </w:p>
        </w:tc>
        <w:tc>
          <w:tcPr>
            <w:tcBorders>
              <w:top w:val="single" w:color="000000" w:sz="4" w:space="0"/>
              <w:left w:val="single" w:color="000000" w:sz="4" w:space="0"/>
              <w:bottom w:val="single" w:color="000000" w:sz="4" w:space="0"/>
              <w:right w:val="single" w:color="000000" w:sz="4" w:space="0"/>
            </w:tcBorders>
            <w:tcW w:w="286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3205" w:type="dxa"/>
          </w:tcPr>
          <w:p>
            <w:pPr>
              <w:pStyle w:val="12385"/>
              <w:pBdr/>
              <w:spacing/>
              <w:ind/>
              <w:rPr>
                <w:rFonts w:cs="Times New Roman"/>
              </w:rPr>
            </w:pPr>
            <w:r>
              <w:rPr>
                <w:rFonts w:cs="Times New Roman"/>
              </w:rPr>
              <w:t xml:space="preserve">-</w:t>
            </w:r>
            <w:r>
              <w:rPr>
                <w:rFonts w:cs="Times New Roman"/>
              </w:rPr>
            </w:r>
          </w:p>
        </w:tc>
      </w:tr>
    </w:tbl>
    <w:p>
      <w:pPr>
        <w:pStyle w:val="12960"/>
        <w:pBdr/>
        <w:spacing/>
        <w:ind/>
        <w:rPr/>
      </w:pPr>
      <w:r/>
      <w:r/>
    </w:p>
    <w:p>
      <w:pPr>
        <w:pStyle w:val="10535"/>
        <w:widowControl w:val="false"/>
        <w:numPr>
          <w:ilvl w:val="1"/>
          <w:numId w:val="13"/>
        </w:numPr>
        <w:pBdr/>
        <w:spacing w:after="240" w:before="240" w:line="240" w:lineRule="auto"/>
        <w:ind/>
        <w:rPr>
          <w:rFonts w:cs="Times New Roman"/>
        </w:rPr>
      </w:pPr>
      <w:r>
        <w:rPr>
          <w:rFonts w:cs="Times New Roman"/>
        </w:rPr>
        <w:t xml:space="preserve">Статистика отказов и восстановлений оборудования источников тепловой энергии</w:t>
      </w:r>
      <w:r>
        <w:rPr>
          <w:rFonts w:cs="Times New Roman"/>
        </w:rPr>
      </w:r>
    </w:p>
    <w:p>
      <w:pPr>
        <w:pStyle w:val="12960"/>
        <w:pBdr/>
        <w:spacing/>
        <w:ind/>
        <w:rPr/>
      </w:pPr>
      <w:r>
        <w:t xml:space="preserve">В Муниципальном образовании Астаповское в период с 2020 по 2025 гг. энергоисточники работали в безаварийном режиме.</w:t>
      </w:r>
      <w:r/>
    </w:p>
    <w:p>
      <w:pPr>
        <w:pStyle w:val="12960"/>
        <w:pBdr/>
        <w:spacing/>
        <w:ind/>
        <w:rPr/>
      </w:pPr>
      <w:r>
        <w:t xml:space="preserve">За период с 2020 по 2025 годы отказов оборудования источников тепловой энергии, повлекших к перерыву в теплоснабжении, не было зафиксировано. Все возникающие неисправности основного</w:t>
      </w:r>
      <w:r/>
    </w:p>
    <w:p>
      <w:pPr>
        <w:pStyle w:val="12960"/>
        <w:pBdr/>
        <w:spacing/>
        <w:ind/>
        <w:rPr/>
      </w:pPr>
      <w:r>
        <w:t xml:space="preserve">и вспомогательного оборудования не повлияли на качество теплоснабжения и устранились во время текущих ремонт в неотопительный период.</w:t>
      </w:r>
      <w:r/>
    </w:p>
    <w:p>
      <w:pPr>
        <w:pStyle w:val="12960"/>
        <w:pBdr/>
        <w:spacing/>
        <w:ind/>
        <w:rPr>
          <w:b/>
        </w:rPr>
      </w:pPr>
      <w:r>
        <w:rPr>
          <w:b/>
        </w:rPr>
        <w:t xml:space="preserve">Таблица 1.2.10.1 - Статистика отказов отпуска тепловой энергии с коллекторов котельной за 2025 год</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86"/>
        <w:gridCol w:w="1401"/>
        <w:gridCol w:w="1621"/>
        <w:gridCol w:w="1620"/>
        <w:gridCol w:w="1372"/>
        <w:gridCol w:w="1621"/>
        <w:gridCol w:w="1232"/>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86" w:type="dxa"/>
            <w:vAlign w:val="center"/>
          </w:tcPr>
          <w:p>
            <w:pPr>
              <w:pStyle w:val="12385"/>
              <w:pBdr/>
              <w:spacing/>
              <w:ind/>
              <w:rPr>
                <w:rFonts w:cs="Times New Roman"/>
                <w:lang w:val="en-US"/>
              </w:rPr>
            </w:pPr>
            <w:r>
              <w:rPr>
                <w:rFonts w:cs="Times New Roman"/>
              </w:rPr>
              <w:t xml:space="preserve">№ </w:t>
            </w:r>
            <w:r>
              <w:rPr>
                <w:rFonts w:cs="Times New Roman"/>
              </w:rPr>
              <w:t xml:space="preserve">п/п</w:t>
            </w:r>
            <w:r>
              <w:rPr>
                <w:rFonts w:cs="Times New Roman"/>
                <w:lang w:val="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01" w:type="dxa"/>
            <w:vAlign w:val="center"/>
          </w:tcPr>
          <w:p>
            <w:pPr>
              <w:pStyle w:val="12385"/>
              <w:pBdr/>
              <w:spacing/>
              <w:ind/>
              <w:rPr>
                <w:rFonts w:cs="Times New Roman"/>
              </w:rPr>
            </w:pPr>
            <w:r>
              <w:rPr>
                <w:rFonts w:cs="Times New Roman"/>
              </w:rPr>
              <w:t xml:space="preserve">Номер вывода тепловой мощности </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21" w:type="dxa"/>
            <w:vAlign w:val="center"/>
          </w:tcPr>
          <w:p>
            <w:pPr>
              <w:pStyle w:val="12385"/>
              <w:pBdr/>
              <w:spacing/>
              <w:ind/>
              <w:rPr>
                <w:rFonts w:cs="Times New Roman"/>
              </w:rPr>
            </w:pPr>
            <w:r>
              <w:rPr>
                <w:rFonts w:cs="Times New Roman"/>
              </w:rPr>
              <w:t xml:space="preserve">Прекращение теплоснабжения (время)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20" w:type="dxa"/>
            <w:vAlign w:val="center"/>
          </w:tcPr>
          <w:p>
            <w:pPr>
              <w:pStyle w:val="12385"/>
              <w:pBdr/>
              <w:spacing/>
              <w:ind/>
              <w:rPr>
                <w:rFonts w:cs="Times New Roman"/>
              </w:rPr>
            </w:pPr>
            <w:r>
              <w:rPr>
                <w:rFonts w:cs="Times New Roman"/>
              </w:rPr>
              <w:t xml:space="preserve">Восстановление теплоснабжения (время)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72" w:type="dxa"/>
            <w:vAlign w:val="center"/>
          </w:tcPr>
          <w:p>
            <w:pPr>
              <w:pStyle w:val="12385"/>
              <w:pBdr/>
              <w:spacing/>
              <w:ind/>
              <w:rPr>
                <w:rFonts w:cs="Times New Roman"/>
              </w:rPr>
            </w:pPr>
            <w:r>
              <w:rPr>
                <w:rFonts w:cs="Times New Roman"/>
              </w:rPr>
              <w:t xml:space="preserve">Причина прекращения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21" w:type="dxa"/>
            <w:vAlign w:val="center"/>
          </w:tcPr>
          <w:p>
            <w:pPr>
              <w:pStyle w:val="12385"/>
              <w:pBdr/>
              <w:spacing/>
              <w:ind/>
              <w:rPr>
                <w:rFonts w:cs="Times New Roman"/>
              </w:rPr>
            </w:pPr>
            <w:r>
              <w:rPr>
                <w:rFonts w:cs="Times New Roman"/>
              </w:rPr>
              <w:t xml:space="preserve">Режим теплоснабжения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32" w:type="dxa"/>
            <w:vAlign w:val="center"/>
          </w:tcPr>
          <w:p>
            <w:pPr>
              <w:pStyle w:val="12385"/>
              <w:pBdr/>
              <w:spacing/>
              <w:ind/>
              <w:rPr>
                <w:rFonts w:cs="Times New Roman"/>
              </w:rPr>
            </w:pPr>
            <w:r>
              <w:rPr>
                <w:rFonts w:cs="Times New Roman"/>
              </w:rPr>
              <w:t xml:space="preserve">Недоотпуск тепловой энергии, Гкал</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401"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21"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20"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372"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21"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232" w:type="dxa"/>
            <w:vAlign w:val="center"/>
          </w:tcPr>
          <w:p>
            <w:pPr>
              <w:pStyle w:val="12385"/>
              <w:pBdr/>
              <w:spacing/>
              <w:ind/>
              <w:rPr>
                <w:rFonts w:cs="Times New Roman"/>
              </w:rPr>
            </w:pPr>
            <w:r>
              <w:rPr>
                <w:rFonts w:cs="Times New Roman"/>
              </w:rPr>
              <w:t xml:space="preserve">-</w:t>
            </w:r>
            <w:r>
              <w:rPr>
                <w:rFonts w:cs="Times New Roman"/>
              </w:rPr>
            </w:r>
          </w:p>
        </w:tc>
      </w:tr>
    </w:tbl>
    <w:p>
      <w:pPr>
        <w:pStyle w:val="12960"/>
        <w:pBdr/>
        <w:spacing/>
        <w:ind/>
        <w:rPr>
          <w:b/>
        </w:rPr>
      </w:pPr>
      <w:r>
        <w:rPr>
          <w:b/>
        </w:rPr>
      </w:r>
      <w:r>
        <w:rPr>
          <w:b/>
        </w:rPr>
      </w:r>
    </w:p>
    <w:p>
      <w:pPr>
        <w:pStyle w:val="12960"/>
        <w:pBdr/>
        <w:spacing/>
        <w:ind/>
        <w:rPr>
          <w:b/>
        </w:rPr>
      </w:pPr>
      <w:r/>
      <w:bookmarkStart w:id="135" w:name="sub_11106"/>
      <w:r>
        <w:rPr>
          <w:b/>
        </w:rPr>
        <w:t xml:space="preserve">Таблица 1.2.10.2 - Динамика теплоснабжения котельных (изменение количества прекращений подачи тепловой энергии потребителям) </w:t>
      </w:r>
      <w:bookmarkEnd w:id="135"/>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716"/>
        <w:gridCol w:w="2011"/>
        <w:gridCol w:w="2608"/>
        <w:gridCol w:w="401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Год</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011" w:type="dxa"/>
            <w:vAlign w:val="center"/>
          </w:tcPr>
          <w:p>
            <w:pPr>
              <w:pStyle w:val="12385"/>
              <w:pBdr/>
              <w:spacing/>
              <w:ind/>
              <w:rPr>
                <w:rFonts w:cs="Times New Roman"/>
              </w:rPr>
            </w:pPr>
            <w:r>
              <w:rPr>
                <w:rFonts w:cs="Times New Roman"/>
              </w:rPr>
              <w:t xml:space="preserve">Количество прекращений</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608" w:type="dxa"/>
            <w:vAlign w:val="center"/>
          </w:tcPr>
          <w:p>
            <w:pPr>
              <w:pStyle w:val="12385"/>
              <w:pBdr/>
              <w:spacing/>
              <w:ind/>
              <w:rPr>
                <w:rFonts w:cs="Times New Roman"/>
              </w:rPr>
            </w:pPr>
            <w:r>
              <w:rPr>
                <w:rFonts w:cs="Times New Roman"/>
              </w:rPr>
              <w:t xml:space="preserve">Среднее время восстановления, ч</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4018" w:type="dxa"/>
            <w:vAlign w:val="center"/>
          </w:tcPr>
          <w:p>
            <w:pPr>
              <w:pStyle w:val="12385"/>
              <w:pBdr/>
              <w:spacing/>
              <w:ind/>
              <w:rPr>
                <w:rFonts w:cs="Times New Roman"/>
              </w:rPr>
            </w:pPr>
            <w:r>
              <w:rPr>
                <w:rFonts w:cs="Times New Roman"/>
              </w:rPr>
              <w:t xml:space="preserve">Средний недоотпуск тепла на одно прекращение подачи тепловой энергии, Гкал/ед.</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2020</w:t>
            </w:r>
            <w:r>
              <w:rPr>
                <w:rFonts w:cs="Times New Roman"/>
              </w:rPr>
            </w:r>
          </w:p>
        </w:tc>
        <w:tc>
          <w:tcPr>
            <w:tcBorders>
              <w:bottom w:val="single" w:color="000000" w:sz="4" w:space="0"/>
              <w:right w:val="single" w:color="000000" w:sz="4" w:space="0"/>
            </w:tcBorders>
            <w:tcW w:w="2011" w:type="dxa"/>
            <w:vAlign w:val="center"/>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2021</w:t>
            </w:r>
            <w:r>
              <w:rPr>
                <w:rFonts w:cs="Times New Roman"/>
              </w:rPr>
            </w:r>
          </w:p>
        </w:tc>
        <w:tc>
          <w:tcPr>
            <w:tcBorders>
              <w:bottom w:val="single" w:color="000000" w:sz="4" w:space="0"/>
              <w:right w:val="single" w:color="000000" w:sz="4" w:space="0"/>
            </w:tcBorders>
            <w:tcW w:w="2011" w:type="dxa"/>
            <w:vAlign w:val="center"/>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2022</w:t>
            </w:r>
            <w:r>
              <w:rPr>
                <w:rFonts w:cs="Times New Roman"/>
              </w:rPr>
            </w:r>
          </w:p>
        </w:tc>
        <w:tc>
          <w:tcPr>
            <w:tcBorders>
              <w:bottom w:val="single" w:color="000000" w:sz="4" w:space="0"/>
              <w:right w:val="single" w:color="000000" w:sz="4" w:space="0"/>
            </w:tcBorders>
            <w:tcW w:w="2011" w:type="dxa"/>
            <w:vAlign w:val="center"/>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2023</w:t>
            </w:r>
            <w:r>
              <w:rPr>
                <w:rFonts w:cs="Times New Roman"/>
              </w:rPr>
            </w:r>
          </w:p>
        </w:tc>
        <w:tc>
          <w:tcPr>
            <w:tcBorders>
              <w:bottom w:val="single" w:color="000000" w:sz="4" w:space="0"/>
              <w:right w:val="single" w:color="000000" w:sz="4" w:space="0"/>
            </w:tcBorders>
            <w:tcW w:w="2011" w:type="dxa"/>
            <w:vAlign w:val="center"/>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2024</w:t>
            </w:r>
            <w:r>
              <w:rPr>
                <w:rFonts w:cs="Times New Roman"/>
              </w:rPr>
            </w:r>
          </w:p>
        </w:tc>
        <w:tc>
          <w:tcPr>
            <w:tcBorders>
              <w:bottom w:val="single" w:color="000000" w:sz="4" w:space="0"/>
              <w:right w:val="single" w:color="000000" w:sz="4" w:space="0"/>
            </w:tcBorders>
            <w:tcW w:w="2011" w:type="dxa"/>
            <w:vAlign w:val="center"/>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2025</w:t>
            </w:r>
            <w:r>
              <w:rPr>
                <w:rFonts w:cs="Times New Roman"/>
              </w:rPr>
            </w:r>
          </w:p>
        </w:tc>
        <w:tc>
          <w:tcPr>
            <w:tcBorders>
              <w:bottom w:val="single" w:color="000000" w:sz="4" w:space="0"/>
              <w:right w:val="single" w:color="000000" w:sz="4" w:space="0"/>
            </w:tcBorders>
            <w:tcW w:w="2011" w:type="dxa"/>
            <w:vAlign w:val="center"/>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bl>
    <w:p>
      <w:pPr>
        <w:pStyle w:val="12960"/>
        <w:pBdr/>
        <w:spacing/>
        <w:ind/>
        <w:rPr>
          <w:lang w:val="en-US"/>
        </w:rPr>
      </w:pPr>
      <w:r>
        <w:rPr>
          <w:lang w:val="en-US"/>
        </w:rPr>
      </w:r>
      <w:r>
        <w:rPr>
          <w:lang w:val="en-US"/>
        </w:rPr>
      </w:r>
    </w:p>
    <w:p>
      <w:pPr>
        <w:pStyle w:val="12960"/>
        <w:pBdr/>
        <w:spacing/>
        <w:ind/>
        <w:rPr>
          <w:b/>
          <w:bCs w:val="0"/>
        </w:rPr>
      </w:pPr>
      <w:r>
        <w:rPr>
          <w:b/>
          <w:bCs w:val="0"/>
        </w:rPr>
        <w:t xml:space="preserve">Таблица 1.2.10.3 - Динамика теплоснабжения котельных (изменение количества прекращений подачи тепловой энергии потребителям)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716"/>
        <w:gridCol w:w="2011"/>
        <w:gridCol w:w="2608"/>
        <w:gridCol w:w="401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Год</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011" w:type="dxa"/>
            <w:vAlign w:val="center"/>
          </w:tcPr>
          <w:p>
            <w:pPr>
              <w:pStyle w:val="12385"/>
              <w:pBdr/>
              <w:spacing/>
              <w:ind/>
              <w:rPr>
                <w:rFonts w:cs="Times New Roman"/>
              </w:rPr>
            </w:pPr>
            <w:r>
              <w:rPr>
                <w:rFonts w:cs="Times New Roman"/>
              </w:rPr>
              <w:t xml:space="preserve">Количество прекращений</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608" w:type="dxa"/>
            <w:vAlign w:val="center"/>
          </w:tcPr>
          <w:p>
            <w:pPr>
              <w:pStyle w:val="12385"/>
              <w:pBdr/>
              <w:spacing/>
              <w:ind/>
              <w:rPr>
                <w:rFonts w:cs="Times New Roman"/>
              </w:rPr>
            </w:pPr>
            <w:r>
              <w:rPr>
                <w:rFonts w:cs="Times New Roman"/>
              </w:rPr>
              <w:t xml:space="preserve">Среднее время восстановления, ч</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4018" w:type="dxa"/>
            <w:vAlign w:val="center"/>
          </w:tcPr>
          <w:p>
            <w:pPr>
              <w:pStyle w:val="12385"/>
              <w:pBdr/>
              <w:spacing/>
              <w:ind/>
              <w:rPr>
                <w:rFonts w:cs="Times New Roman"/>
              </w:rPr>
            </w:pPr>
            <w:r>
              <w:rPr>
                <w:rFonts w:cs="Times New Roman"/>
              </w:rPr>
              <w:t xml:space="preserve">Средний недоотпуск тепла на одно прекращение подачи тепловой энергии, Гкал/ед.</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2020</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2021</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2022</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2023</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2024</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2025</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szCs w:val="20"/>
              </w:rPr>
              <w:t xml:space="preserve">Отказы отсутствуют</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szCs w:val="20"/>
              </w:rPr>
              <w:t xml:space="preserve">-</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szCs w:val="20"/>
              </w:rPr>
              <w:t xml:space="preserve">-</w:t>
            </w:r>
            <w:r>
              <w:rPr>
                <w:rFonts w:cs="Times New Roman"/>
              </w:rPr>
            </w:r>
          </w:p>
        </w:tc>
      </w:tr>
    </w:tbl>
    <w:p>
      <w:pPr>
        <w:pStyle w:val="12960"/>
        <w:pBdr/>
        <w:spacing/>
        <w:ind/>
        <w:rPr>
          <w:b/>
          <w:bCs w:val="0"/>
        </w:rPr>
      </w:pPr>
      <w:r>
        <w:rPr>
          <w:b/>
          <w:bCs w:val="0"/>
        </w:rPr>
      </w:r>
      <w:r>
        <w:rPr>
          <w:b/>
          <w:bCs w:val="0"/>
        </w:rP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136" w:name="_Toc198483488"/>
      <w:r/>
      <w:bookmarkStart w:id="137" w:name="_Toc78674699"/>
      <w:r/>
      <w:bookmarkStart w:id="138" w:name="_Toc166767150"/>
      <w:r/>
      <w:bookmarkStart w:id="139" w:name="_Toc84970936"/>
      <w:r>
        <w:rPr>
          <w:rFonts w:cs="Times New Roman"/>
        </w:rPr>
        <w:t xml:space="preserve">Предписания надзорных органов по запрещению дальнейшей эксплуатации источников тепловой энергии</w:t>
      </w:r>
      <w:bookmarkEnd w:id="136"/>
      <w:r/>
      <w:bookmarkEnd w:id="137"/>
      <w:r/>
      <w:bookmarkEnd w:id="138"/>
      <w:r/>
      <w:bookmarkEnd w:id="139"/>
      <w:r/>
      <w:r>
        <w:rPr>
          <w:rFonts w:cs="Times New Roman"/>
        </w:rPr>
      </w:r>
    </w:p>
    <w:p>
      <w:pPr>
        <w:pStyle w:val="12960"/>
        <w:pBdr/>
        <w:spacing/>
        <w:ind/>
        <w:rPr/>
      </w:pPr>
      <w:r>
        <w:t xml:space="preserve">Предписания надзорных органов по запрещению дальнейшей эксплуатации источников тепловой энергии на территории муниципального образования Астаповское теплоснабжающим организациям по состоянию на 2025 г. не выдавались.</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40" w:name="_Toc198483489"/>
      <w:r>
        <w:rPr>
          <w:rFonts w:cs="Times New Roman"/>
        </w:rPr>
        <w:t xml:space="preserve">Характеристика водоподготовки и подпиточных устройств</w:t>
      </w:r>
      <w:bookmarkEnd w:id="140"/>
      <w:r/>
      <w:r>
        <w:rPr>
          <w:rFonts w:cs="Times New Roman"/>
        </w:rPr>
      </w:r>
    </w:p>
    <w:p>
      <w:pPr>
        <w:pStyle w:val="12960"/>
        <w:pBdr/>
        <w:spacing/>
        <w:ind/>
        <w:rPr/>
      </w:pPr>
      <w:r>
        <w:t xml:space="preserve">В качестве исходной воды для подпитки теплосети на котельной используется вода из хозяйственно-питьевого водопровода.</w:t>
      </w:r>
      <w:r/>
    </w:p>
    <w:p>
      <w:pPr>
        <w:pStyle w:val="12960"/>
        <w:pBdr/>
        <w:spacing/>
        <w:ind/>
        <w:rPr/>
      </w:pPr>
      <w:r>
        <w:t xml:space="preserve">Технология подготовки исходной и подпиточной воды отсутствует.</w:t>
      </w: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141" w:name="_Toc78674700"/>
      <w:r/>
      <w:bookmarkStart w:id="142" w:name="_Toc166767151"/>
      <w:r/>
      <w:bookmarkStart w:id="143" w:name="_Toc198483490"/>
      <w:r/>
      <w:bookmarkStart w:id="144" w:name="_Toc84970937"/>
      <w:r>
        <w:rPr>
          <w:rFonts w:cs="Times New Roman"/>
        </w:rPr>
        <w:t xml:space="preserve">Конкурентный отбор мощности источников с комбинированной выработкой тепловой и электрической энергии</w:t>
      </w:r>
      <w:bookmarkEnd w:id="141"/>
      <w:r/>
      <w:bookmarkEnd w:id="142"/>
      <w:r/>
      <w:bookmarkEnd w:id="143"/>
      <w:r/>
      <w:bookmarkEnd w:id="144"/>
      <w:r/>
      <w:r>
        <w:rPr>
          <w:rFonts w:cs="Times New Roman"/>
        </w:rPr>
      </w:r>
    </w:p>
    <w:p>
      <w:pPr>
        <w:pStyle w:val="12960"/>
        <w:pBdr/>
        <w:spacing/>
        <w:ind/>
        <w:rPr/>
      </w:pPr>
      <w:r/>
      <w:bookmarkStart w:id="145" w:name="_Toc475879458"/>
      <w:r/>
      <w:bookmarkEnd w:id="145"/>
      <w:r>
        <w:t xml:space="preserve">На территории муниципа</w:t>
      </w:r>
      <w:r>
        <w:t xml:space="preserve">льного образования Астаповское источники тепловой энергии и (или) оборудования (турбоагрегатов),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46" w:name="_Toc198483491"/>
      <w:r>
        <w:rPr>
          <w:rFonts w:cs="Times New Roman"/>
        </w:rPr>
        <w:t xml:space="preserve">Проектный и установленный топливный режим котельной</w:t>
      </w:r>
      <w:bookmarkEnd w:id="146"/>
      <w:r/>
      <w:r>
        <w:rPr>
          <w:rFonts w:cs="Times New Roman"/>
        </w:rPr>
      </w:r>
    </w:p>
    <w:p>
      <w:pPr>
        <w:pStyle w:val="12960"/>
        <w:pBdr/>
        <w:spacing/>
        <w:ind/>
        <w:rPr/>
      </w:pPr>
      <w:r>
        <w:t xml:space="preserve">На территории </w:t>
      </w:r>
      <w:r>
        <w:t xml:space="preserve">муниципального образования Астаповское функционируют 3 котельных. На котельных основным топливом является природный газ со средней теплотворной способностью 8312 Ккал/кг. Доля установленной мощности котельных, работающих на природном газе, составляет 100%.</w:t>
      </w:r>
      <w:r/>
    </w:p>
    <w:p>
      <w:pPr>
        <w:pStyle w:val="12960"/>
        <w:pBdr/>
        <w:spacing/>
        <w:ind/>
        <w:rPr/>
      </w:pPr>
      <w:r>
        <w:t xml:space="preserve">Основные усредненные характеристики топлива приведены в таблице. </w:t>
      </w:r>
      <w:r/>
    </w:p>
    <w:p>
      <w:pPr>
        <w:pStyle w:val="12960"/>
        <w:pBdr/>
        <w:spacing/>
        <w:ind/>
        <w:rPr>
          <w:b/>
          <w:bCs w:val="0"/>
        </w:rPr>
      </w:pPr>
      <w:r>
        <w:rPr>
          <w:b/>
          <w:bCs w:val="0"/>
        </w:rPr>
        <w:t xml:space="preserve">Таблица 1.2.14.1 - Установленный топливный режим котельных за 2025 год</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338"/>
        <w:gridCol w:w="4334"/>
        <w:gridCol w:w="1220"/>
        <w:gridCol w:w="1371"/>
        <w:gridCol w:w="1091"/>
      </w:tblGrid>
      <w:tr>
        <w:trPr>
          <w:trHeight w:val="1596"/>
        </w:trPr>
        <w:tc>
          <w:tcPr>
            <w:shd w:val="clear" w:color="000000" w:fill="d9d9d9"/>
            <w:tcBorders>
              <w:top w:val="single" w:color="000000" w:sz="4" w:space="0"/>
              <w:left w:val="single" w:color="000000" w:sz="4" w:space="0"/>
              <w:bottom w:val="single" w:color="000000" w:sz="4" w:space="0"/>
              <w:right w:val="single" w:color="000000" w:sz="4" w:space="0"/>
            </w:tcBorders>
            <w:tcW w:w="1338" w:type="dxa"/>
            <w:vAlign w:val="center"/>
          </w:tcPr>
          <w:p>
            <w:pPr>
              <w:pStyle w:val="12385"/>
              <w:pBdr/>
              <w:spacing/>
              <w:ind/>
              <w:rPr/>
            </w:pPr>
            <w:r>
              <w:t xml:space="preserve">№ </w:t>
            </w:r>
            <w:r>
              <w:t xml:space="preserve">котельной</w:t>
            </w:r>
            <w:r/>
          </w:p>
        </w:tc>
        <w:tc>
          <w:tcPr>
            <w:shd w:val="clear" w:color="000000" w:fill="d9d9d9"/>
            <w:tcBorders>
              <w:top w:val="single" w:color="000000" w:sz="4" w:space="0"/>
              <w:bottom w:val="single" w:color="000000" w:sz="4" w:space="0"/>
              <w:right w:val="single" w:color="000000" w:sz="4" w:space="0"/>
            </w:tcBorders>
            <w:tcW w:w="4334"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1220" w:type="dxa"/>
            <w:vAlign w:val="center"/>
          </w:tcPr>
          <w:p>
            <w:pPr>
              <w:pStyle w:val="12385"/>
              <w:pBdr/>
              <w:spacing/>
              <w:ind/>
              <w:rPr/>
            </w:pPr>
            <w:r>
              <w:t xml:space="preserve">Вид топлива</w:t>
            </w:r>
            <w:r/>
          </w:p>
        </w:tc>
        <w:tc>
          <w:tcPr>
            <w:shd w:val="clear" w:color="000000" w:fill="d9d9d9"/>
            <w:tcBorders>
              <w:top w:val="single" w:color="000000" w:sz="4" w:space="0"/>
              <w:bottom w:val="single" w:color="000000" w:sz="4" w:space="0"/>
              <w:right w:val="single" w:color="000000" w:sz="4" w:space="0"/>
            </w:tcBorders>
            <w:tcW w:w="1371" w:type="dxa"/>
            <w:vAlign w:val="center"/>
          </w:tcPr>
          <w:p>
            <w:pPr>
              <w:pStyle w:val="12385"/>
              <w:pBdr/>
              <w:spacing/>
              <w:ind/>
              <w:rPr/>
            </w:pPr>
            <w:r>
              <w:t xml:space="preserve">Средняя теплотворная способность топлива, ккал/кг</w:t>
            </w:r>
            <w:r/>
          </w:p>
        </w:tc>
        <w:tc>
          <w:tcPr>
            <w:shd w:val="clear" w:color="000000" w:fill="d9d9d9"/>
            <w:tcBorders>
              <w:top w:val="single" w:color="000000" w:sz="4" w:space="0"/>
              <w:bottom w:val="single" w:color="000000" w:sz="4" w:space="0"/>
              <w:right w:val="single" w:color="000000" w:sz="4" w:space="0"/>
            </w:tcBorders>
            <w:tcW w:w="1091" w:type="dxa"/>
            <w:vAlign w:val="center"/>
          </w:tcPr>
          <w:p>
            <w:pPr>
              <w:pStyle w:val="12385"/>
              <w:pBdr/>
              <w:spacing/>
              <w:ind/>
              <w:rPr/>
            </w:pPr>
            <w:r>
              <w:t xml:space="preserve">Расход условного топлива, т.у.т. </w:t>
            </w:r>
            <w:r/>
          </w:p>
        </w:tc>
      </w:tr>
      <w:tr>
        <w:trPr>
          <w:trHeight w:val="276"/>
        </w:trPr>
        <w:tc>
          <w:tcPr>
            <w:tcBorders>
              <w:left w:val="single" w:color="000000" w:sz="4" w:space="0"/>
              <w:bottom w:val="single" w:color="000000" w:sz="4" w:space="0"/>
              <w:right w:val="single" w:color="000000" w:sz="4" w:space="0"/>
            </w:tcBorders>
            <w:tcW w:w="1338" w:type="dxa"/>
            <w:vAlign w:val="center"/>
          </w:tcPr>
          <w:p>
            <w:pPr>
              <w:pStyle w:val="12385"/>
              <w:pBdr/>
              <w:spacing/>
              <w:ind/>
              <w:rPr/>
            </w:pPr>
            <w:r>
              <w:t xml:space="preserve">1</w:t>
            </w:r>
            <w:r/>
          </w:p>
        </w:tc>
        <w:tc>
          <w:tcPr>
            <w:tcBorders>
              <w:bottom w:val="single" w:color="000000" w:sz="4" w:space="0"/>
              <w:right w:val="single" w:color="000000" w:sz="4" w:space="0"/>
            </w:tcBorders>
            <w:tcW w:w="4334" w:type="dxa"/>
            <w:vAlign w:val="center"/>
          </w:tcPr>
          <w:p>
            <w:pPr>
              <w:pStyle w:val="12385"/>
              <w:pBdr/>
              <w:spacing/>
              <w:ind/>
              <w:rPr/>
            </w:pPr>
            <w:r>
              <w:rPr>
                <w:rFonts w:cs="Times New Roman"/>
                <w:szCs w:val="20"/>
              </w:rPr>
              <w:t xml:space="preserve">Арсеньевский р-н, н.п. Ясенки, ул. Центральная 24</w:t>
            </w:r>
            <w:r/>
          </w:p>
        </w:tc>
        <w:tc>
          <w:tcPr>
            <w:tcBorders>
              <w:bottom w:val="single" w:color="000000" w:sz="4" w:space="0"/>
              <w:right w:val="single" w:color="000000" w:sz="4" w:space="0"/>
            </w:tcBorders>
            <w:tcW w:w="1220" w:type="dxa"/>
            <w:vAlign w:val="center"/>
          </w:tcPr>
          <w:p>
            <w:pPr>
              <w:pStyle w:val="12385"/>
              <w:pBdr/>
              <w:spacing/>
              <w:ind/>
              <w:rPr/>
            </w:pPr>
            <w:r>
              <w:rPr>
                <w:rFonts w:cs="Times New Roman"/>
                <w:szCs w:val="20"/>
              </w:rPr>
              <w:t xml:space="preserve">природный газ</w:t>
            </w:r>
            <w:r/>
          </w:p>
        </w:tc>
        <w:tc>
          <w:tcPr>
            <w:tcBorders>
              <w:bottom w:val="single" w:color="000000" w:sz="4" w:space="0"/>
              <w:right w:val="single" w:color="000000" w:sz="4" w:space="0"/>
            </w:tcBorders>
            <w:tcW w:w="1371" w:type="dxa"/>
            <w:vAlign w:val="center"/>
          </w:tcPr>
          <w:p>
            <w:pPr>
              <w:pStyle w:val="12385"/>
              <w:pBdr/>
              <w:spacing/>
              <w:ind/>
              <w:rPr/>
            </w:pPr>
            <w:r>
              <w:rPr>
                <w:rFonts w:cs="Times New Roman"/>
                <w:szCs w:val="20"/>
              </w:rPr>
              <w:t xml:space="preserve">8312</w:t>
            </w:r>
            <w:r/>
          </w:p>
        </w:tc>
        <w:tc>
          <w:tcPr>
            <w:tcBorders>
              <w:bottom w:val="single" w:color="000000" w:sz="4" w:space="0"/>
              <w:right w:val="single" w:color="000000" w:sz="4" w:space="0"/>
            </w:tcBorders>
            <w:tcW w:w="1091" w:type="dxa"/>
            <w:vAlign w:val="center"/>
          </w:tcPr>
          <w:p>
            <w:pPr>
              <w:pStyle w:val="12385"/>
              <w:pBdr/>
              <w:spacing/>
              <w:ind/>
              <w:rPr/>
            </w:pPr>
            <w:r>
              <w:rPr>
                <w:rFonts w:cs="Times New Roman"/>
                <w:szCs w:val="20"/>
              </w:rPr>
              <w:t xml:space="preserve">13,32995</w:t>
            </w:r>
            <w:r/>
          </w:p>
        </w:tc>
      </w:tr>
      <w:tr>
        <w:trPr>
          <w:trHeight w:val="288"/>
        </w:trPr>
        <w:tc>
          <w:tcPr>
            <w:tcBorders>
              <w:left w:val="single" w:color="000000" w:sz="4" w:space="0"/>
              <w:bottom w:val="single" w:color="000000" w:sz="4" w:space="0"/>
              <w:right w:val="single" w:color="000000" w:sz="4" w:space="0"/>
            </w:tcBorders>
            <w:tcW w:w="1338" w:type="dxa"/>
            <w:vAlign w:val="center"/>
          </w:tcPr>
          <w:p>
            <w:pPr>
              <w:pStyle w:val="12385"/>
              <w:pBdr/>
              <w:spacing/>
              <w:ind/>
              <w:rPr/>
            </w:pPr>
            <w:r>
              <w:t xml:space="preserve">2</w:t>
            </w:r>
            <w:r/>
          </w:p>
        </w:tc>
        <w:tc>
          <w:tcPr>
            <w:tcBorders>
              <w:bottom w:val="single" w:color="000000" w:sz="4" w:space="0"/>
              <w:right w:val="single" w:color="000000" w:sz="4" w:space="0"/>
            </w:tcBorders>
            <w:tcW w:w="4334" w:type="dxa"/>
            <w:vAlign w:val="center"/>
          </w:tcPr>
          <w:p>
            <w:pPr>
              <w:pStyle w:val="12385"/>
              <w:pBdr/>
              <w:spacing/>
              <w:ind/>
              <w:rPr/>
            </w:pPr>
            <w:r>
              <w:rPr>
                <w:rFonts w:cs="Times New Roman"/>
                <w:szCs w:val="20"/>
              </w:rPr>
              <w:t xml:space="preserve">Арсеньевский р-н, н.п. Первомайский, Школьная 3а</w:t>
            </w:r>
            <w:r/>
          </w:p>
        </w:tc>
        <w:tc>
          <w:tcPr>
            <w:tcBorders>
              <w:bottom w:val="single" w:color="000000" w:sz="4" w:space="0"/>
              <w:right w:val="single" w:color="000000" w:sz="4" w:space="0"/>
            </w:tcBorders>
            <w:tcW w:w="1220" w:type="dxa"/>
            <w:vAlign w:val="center"/>
          </w:tcPr>
          <w:p>
            <w:pPr>
              <w:pStyle w:val="12385"/>
              <w:pBdr/>
              <w:spacing/>
              <w:ind/>
              <w:rPr/>
            </w:pPr>
            <w:r>
              <w:rPr>
                <w:rFonts w:cs="Times New Roman"/>
                <w:szCs w:val="20"/>
              </w:rPr>
              <w:t xml:space="preserve">природный газ</w:t>
            </w:r>
            <w:r/>
          </w:p>
        </w:tc>
        <w:tc>
          <w:tcPr>
            <w:tcBorders>
              <w:bottom w:val="single" w:color="000000" w:sz="4" w:space="0"/>
              <w:right w:val="single" w:color="000000" w:sz="4" w:space="0"/>
            </w:tcBorders>
            <w:tcW w:w="1371" w:type="dxa"/>
            <w:vAlign w:val="center"/>
          </w:tcPr>
          <w:p>
            <w:pPr>
              <w:pStyle w:val="12385"/>
              <w:pBdr/>
              <w:spacing/>
              <w:ind/>
              <w:rPr/>
            </w:pPr>
            <w:r>
              <w:rPr>
                <w:rFonts w:cs="Times New Roman"/>
                <w:szCs w:val="20"/>
              </w:rPr>
              <w:t xml:space="preserve">8312</w:t>
            </w:r>
            <w:r/>
          </w:p>
        </w:tc>
        <w:tc>
          <w:tcPr>
            <w:tcBorders>
              <w:bottom w:val="single" w:color="000000" w:sz="4" w:space="0"/>
              <w:right w:val="single" w:color="000000" w:sz="4" w:space="0"/>
            </w:tcBorders>
            <w:tcW w:w="1091" w:type="dxa"/>
            <w:vAlign w:val="center"/>
          </w:tcPr>
          <w:p>
            <w:pPr>
              <w:pStyle w:val="12385"/>
              <w:pBdr/>
              <w:spacing/>
              <w:ind/>
              <w:rPr/>
            </w:pPr>
            <w:r>
              <w:rPr>
                <w:rFonts w:cs="Times New Roman"/>
                <w:szCs w:val="20"/>
              </w:rPr>
              <w:t xml:space="preserve">44,11332</w:t>
            </w:r>
            <w:r/>
          </w:p>
        </w:tc>
      </w:tr>
      <w:tr>
        <w:trPr>
          <w:trHeight w:val="540"/>
        </w:trPr>
        <w:tc>
          <w:tcPr>
            <w:tcBorders>
              <w:left w:val="single" w:color="000000" w:sz="4" w:space="0"/>
              <w:bottom w:val="single" w:color="000000" w:sz="4" w:space="0"/>
              <w:right w:val="single" w:color="000000" w:sz="4" w:space="0"/>
            </w:tcBorders>
            <w:tcW w:w="1338" w:type="dxa"/>
            <w:vAlign w:val="center"/>
          </w:tcPr>
          <w:p>
            <w:pPr>
              <w:pStyle w:val="12385"/>
              <w:pBdr/>
              <w:spacing/>
              <w:ind/>
              <w:rPr/>
            </w:pPr>
            <w:r>
              <w:t xml:space="preserve">3</w:t>
            </w:r>
            <w:r/>
          </w:p>
        </w:tc>
        <w:tc>
          <w:tcPr>
            <w:tcBorders>
              <w:bottom w:val="single" w:color="000000" w:sz="4" w:space="0"/>
              <w:right w:val="single" w:color="000000" w:sz="4" w:space="0"/>
            </w:tcBorders>
            <w:tcW w:w="4334" w:type="dxa"/>
            <w:vAlign w:val="center"/>
          </w:tcPr>
          <w:p>
            <w:pPr>
              <w:pStyle w:val="12385"/>
              <w:pBdr/>
              <w:spacing/>
              <w:ind/>
              <w:rPr/>
            </w:pPr>
            <w:r>
              <w:rPr>
                <w:rFonts w:cs="Times New Roman"/>
                <w:szCs w:val="20"/>
              </w:rPr>
              <w:t xml:space="preserve">Арсеньевский р-н, н.п. Белый Колодезь, ул. Школьная 24</w:t>
            </w:r>
            <w:r/>
          </w:p>
        </w:tc>
        <w:tc>
          <w:tcPr>
            <w:tcBorders>
              <w:bottom w:val="single" w:color="000000" w:sz="4" w:space="0"/>
              <w:right w:val="single" w:color="000000" w:sz="4" w:space="0"/>
            </w:tcBorders>
            <w:tcW w:w="1220" w:type="dxa"/>
            <w:vAlign w:val="center"/>
          </w:tcPr>
          <w:p>
            <w:pPr>
              <w:pStyle w:val="12385"/>
              <w:pBdr/>
              <w:spacing/>
              <w:ind/>
              <w:rPr/>
            </w:pPr>
            <w:r>
              <w:rPr>
                <w:rFonts w:cs="Times New Roman"/>
                <w:szCs w:val="20"/>
              </w:rPr>
              <w:t xml:space="preserve">природный газ</w:t>
            </w:r>
            <w:r/>
          </w:p>
        </w:tc>
        <w:tc>
          <w:tcPr>
            <w:tcBorders>
              <w:bottom w:val="single" w:color="000000" w:sz="4" w:space="0"/>
              <w:right w:val="single" w:color="000000" w:sz="4" w:space="0"/>
            </w:tcBorders>
            <w:tcW w:w="1371" w:type="dxa"/>
            <w:vAlign w:val="center"/>
          </w:tcPr>
          <w:p>
            <w:pPr>
              <w:pStyle w:val="12385"/>
              <w:pBdr/>
              <w:spacing/>
              <w:ind/>
              <w:rPr/>
            </w:pPr>
            <w:r>
              <w:rPr>
                <w:rFonts w:cs="Times New Roman"/>
                <w:szCs w:val="20"/>
              </w:rPr>
              <w:t xml:space="preserve">8312</w:t>
            </w:r>
            <w:r/>
          </w:p>
        </w:tc>
        <w:tc>
          <w:tcPr>
            <w:tcBorders>
              <w:bottom w:val="single" w:color="000000" w:sz="4" w:space="0"/>
              <w:right w:val="single" w:color="000000" w:sz="4" w:space="0"/>
            </w:tcBorders>
            <w:tcW w:w="1091" w:type="dxa"/>
            <w:vAlign w:val="center"/>
          </w:tcPr>
          <w:p>
            <w:pPr>
              <w:pStyle w:val="12385"/>
              <w:pBdr/>
              <w:spacing/>
              <w:ind/>
              <w:rPr/>
            </w:pPr>
            <w:r>
              <w:rPr>
                <w:rFonts w:cs="Times New Roman"/>
                <w:szCs w:val="20"/>
              </w:rPr>
              <w:t xml:space="preserve">24,55639</w:t>
            </w:r>
            <w:r/>
          </w:p>
        </w:tc>
      </w:tr>
    </w:tbl>
    <w:p>
      <w:pPr>
        <w:pStyle w:val="12960"/>
        <w:pBdr/>
        <w:spacing/>
        <w:ind/>
        <w:rPr>
          <w:b/>
          <w:bCs w:val="0"/>
        </w:rPr>
      </w:pPr>
      <w:r>
        <w:rPr>
          <w:b/>
          <w:bCs w:val="0"/>
        </w:rPr>
      </w:r>
      <w:r>
        <w:rPr>
          <w:b/>
          <w:bCs w:val="0"/>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rPr>
          <w:rFonts w:cs="Times New Roman"/>
        </w:rPr>
        <w:t xml:space="preserve">Сведения о резервном топливе котельной</w:t>
      </w:r>
      <w:r>
        <w:rPr>
          <w:rFonts w:cs="Times New Roman"/>
        </w:rPr>
      </w:r>
    </w:p>
    <w:p>
      <w:pPr>
        <w:pStyle w:val="12960"/>
        <w:pBdr/>
        <w:spacing/>
        <w:ind/>
        <w:rPr/>
      </w:pPr>
      <w:r>
        <w:t xml:space="preserve">Аварийное и резервное топливо на всех котельных на территории муниципального образования Астаповское не предусмотрено.</w:t>
      </w:r>
      <w:r/>
    </w:p>
    <w:p>
      <w:pPr>
        <w:pStyle w:val="12960"/>
        <w:pBdr/>
        <w:spacing/>
        <w:ind/>
        <w:rPr>
          <w:b/>
          <w:bCs w:val="0"/>
        </w:rPr>
      </w:pPr>
      <w:r>
        <w:rPr>
          <w:b/>
          <w:bCs w:val="0"/>
        </w:rPr>
        <w:t xml:space="preserve">Таблица 2.15.1 - Вид и количество используемого топлива для каждого источника тепловой энергии</w:t>
      </w:r>
      <w:r>
        <w:rPr>
          <w:b/>
          <w:bCs w:val="0"/>
        </w:rPr>
      </w:r>
    </w:p>
    <w:tbl>
      <w:tblPr>
        <w:tblInd w:w="0" w:type="dxa"/>
        <w:tblW w:w="5000" w:type="pct"/>
        <w:tblCellMar>
          <w:left w:w="40" w:type="dxa"/>
          <w:top w:w="0" w:type="dxa"/>
          <w:right w:w="40" w:type="dxa"/>
          <w:bottom w:w="0" w:type="dxa"/>
        </w:tblCellMar>
        <w:tblBorders/>
        <w:tblLayout w:type="fixed"/>
        <w:tblLook w:val="0000" w:firstRow="0" w:lastRow="0" w:firstColumn="0" w:lastColumn="0" w:noHBand="0" w:noVBand="0"/>
      </w:tblPr>
      <w:tblGrid>
        <w:gridCol w:w="3182"/>
        <w:gridCol w:w="2058"/>
        <w:gridCol w:w="2057"/>
        <w:gridCol w:w="2056"/>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Показатели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Основное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rFonts w:cs="Times New Roman"/>
              </w:rPr>
            </w:pPr>
            <w:r>
              <w:rPr>
                <w:rFonts w:cs="Times New Roman"/>
                <w:color w:val="000000"/>
                <w:szCs w:val="20"/>
              </w:rPr>
              <w:t xml:space="preserve">Резервное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rPr>
            </w:pPr>
            <w:r>
              <w:rPr>
                <w:rFonts w:cs="Times New Roman"/>
                <w:color w:val="000000"/>
                <w:szCs w:val="20"/>
              </w:rPr>
              <w:t xml:space="preserve">Аварийное топливо</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Вид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pPr>
            <w:r>
              <w:rPr>
                <w:rFonts w:cs="Times New Roman"/>
                <w:szCs w:val="20"/>
              </w:rPr>
              <w:t xml:space="preserve">природный газ</w:t>
            </w: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pPr>
            <w:r>
              <w:rPr>
                <w:rFonts w:cs="Times New Roman"/>
                <w:szCs w:val="20"/>
              </w:rPr>
              <w:t xml:space="preserve">нет</w:t>
            </w: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szCs w:val="20"/>
              </w:rPr>
            </w:pPr>
            <w:r>
              <w:rPr>
                <w:rFonts w:cs="Times New Roman"/>
                <w:szCs w:val="20"/>
              </w:rPr>
              <w:t xml:space="preserve">нет</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Марка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szCs w:val="20"/>
              </w:rPr>
            </w:pPr>
            <w:r>
              <w:rPr>
                <w:rFonts w:cs="Times New Roman"/>
                <w:szCs w:val="20"/>
              </w:rPr>
              <w:t xml:space="preserve">-</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Поставщик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szCs w:val="20"/>
              </w:rPr>
            </w:pPr>
            <w:r>
              <w:rPr>
                <w:rFonts w:cs="Times New Roman"/>
                <w:szCs w:val="20"/>
              </w:rPr>
              <w:t xml:space="preserve">-</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Способ доставки на котельную</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szCs w:val="20"/>
              </w:rPr>
            </w:pPr>
            <w:r>
              <w:rPr>
                <w:rFonts w:cs="Times New Roman"/>
                <w:szCs w:val="20"/>
              </w:rPr>
              <w:t xml:space="preserve">-</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Откуда осуществляется поставка (место)</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szCs w:val="20"/>
              </w:rPr>
            </w:pPr>
            <w:r>
              <w:rPr>
                <w:rFonts w:cs="Times New Roman"/>
                <w:szCs w:val="20"/>
              </w:rPr>
              <w:t xml:space="preserve">-</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Периодичность поставки</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pPr>
            <w:r>
              <w:rPr>
                <w:rFonts w:cs="Times New Roman"/>
                <w:szCs w:val="20"/>
              </w:rPr>
              <w:t xml:space="preserve">-</w:t>
            </w: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szCs w:val="20"/>
              </w:rPr>
            </w:pPr>
            <w:r>
              <w:rPr>
                <w:rFonts w:cs="Times New Roman"/>
                <w:szCs w:val="20"/>
              </w:rPr>
              <w:t xml:space="preserve">-</w:t>
            </w:r>
            <w:r>
              <w:rPr>
                <w:rFonts w:cs="Times New Roman"/>
                <w:szCs w:val="20"/>
              </w:rPr>
            </w:r>
          </w:p>
        </w:tc>
      </w:tr>
    </w:tbl>
    <w:p>
      <w:pPr>
        <w:pStyle w:val="12960"/>
        <w:pBdr/>
        <w:spacing/>
        <w:ind/>
        <w:rPr>
          <w:b/>
          <w:bCs w:val="0"/>
        </w:rPr>
        <w:sectPr>
          <w:headerReference w:type="default" r:id="rId22"/>
          <w:headerReference w:type="first" r:id="rId23"/>
          <w:footerReference w:type="default" r:id="rId287"/>
          <w:footerReference w:type="even" r:id="rId288"/>
          <w:footerReference w:type="first" r:id="rId289"/>
          <w:footnotePr/>
          <w:endnotePr/>
          <w:type w:val="nextPage"/>
          <w:pgSz w:h="16838" w:orient="portrait" w:w="11906"/>
          <w:pgMar w:top="1134" w:right="851" w:bottom="1134" w:left="1701" w:header="567" w:footer="454" w:gutter="0"/>
          <w:cols w:num="1" w:sep="0" w:space="1701" w:equalWidth="1"/>
        </w:sectPr>
      </w:pPr>
      <w:r>
        <w:rPr>
          <w:b/>
          <w:bCs w:val="0"/>
        </w:rPr>
      </w:r>
      <w:r>
        <w:rPr>
          <w:b/>
          <w:bCs w:val="0"/>
        </w:rPr>
      </w:r>
    </w:p>
    <w:p>
      <w:pPr>
        <w:pStyle w:val="10534"/>
        <w:numPr>
          <w:ilvl w:val="0"/>
          <w:numId w:val="13"/>
        </w:numPr>
        <w:pBdr/>
        <w:spacing/>
        <w:ind/>
        <w:rPr>
          <w:spacing w:val="0"/>
        </w:rPr>
      </w:pPr>
      <w:r/>
      <w:bookmarkStart w:id="152" w:name="_Toc78674701"/>
      <w:r/>
      <w:bookmarkStart w:id="153" w:name="_Toc166767152"/>
      <w:r/>
      <w:bookmarkStart w:id="154" w:name="_Toc198483492"/>
      <w:r/>
      <w:bookmarkStart w:id="155" w:name="_Toc27425211"/>
      <w:r/>
      <w:bookmarkStart w:id="156" w:name="_Toc84970938"/>
      <w:r>
        <w:rPr>
          <w:spacing w:val="0"/>
        </w:rPr>
        <w:t xml:space="preserve">Тепловые сети, сооружения на них</w:t>
      </w:r>
      <w:bookmarkEnd w:id="152"/>
      <w:r/>
      <w:bookmarkEnd w:id="153"/>
      <w:r/>
      <w:bookmarkEnd w:id="154"/>
      <w:r/>
      <w:bookmarkEnd w:id="155"/>
      <w:r/>
      <w:bookmarkEnd w:id="156"/>
      <w:r/>
      <w:r>
        <w:rPr>
          <w:spacing w:val="0"/>
        </w:rPr>
      </w:r>
    </w:p>
    <w:p>
      <w:pPr>
        <w:pStyle w:val="10535"/>
        <w:keepNext w:val="true"/>
        <w:widowControl w:val="true"/>
        <w:numPr>
          <w:ilvl w:val="1"/>
          <w:numId w:val="102"/>
        </w:numPr>
        <w:pBdr/>
        <w:bidi w:val="false"/>
        <w:spacing w:after="240" w:before="360" w:line="360" w:lineRule="auto"/>
        <w:ind w:right="0" w:hanging="737" w:left="737"/>
        <w:jc w:val="center"/>
        <w:rPr>
          <w:rFonts w:cs="Times New Roman"/>
        </w:rPr>
      </w:pPr>
      <w:r/>
      <w:bookmarkStart w:id="157" w:name="_Toc198483493"/>
      <w:r/>
      <w:bookmarkStart w:id="158" w:name="_Toc166767153"/>
      <w:r>
        <w:rPr>
          <w:rFonts w:cs="Times New Roman"/>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57"/>
      <w:r/>
      <w:bookmarkEnd w:id="158"/>
      <w:r/>
      <w:r>
        <w:rPr>
          <w:rFonts w:cs="Times New Roman"/>
        </w:rPr>
      </w:r>
    </w:p>
    <w:p>
      <w:pPr>
        <w:pStyle w:val="12960"/>
        <w:pBdr/>
        <w:spacing/>
        <w:ind/>
        <w:rPr/>
      </w:pPr>
      <w:r>
        <w:t xml:space="preserve">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w:t>
      </w:r>
      <w:r/>
    </w:p>
    <w:p>
      <w:pPr>
        <w:pStyle w:val="12960"/>
        <w:pBdr/>
        <w:spacing/>
        <w:ind/>
        <w:rPr/>
      </w:pPr>
      <w:r>
        <w:t xml:space="preserve">Схема теплоснабжения закрытая. Параметры теплоносителя 95/70 ºС. </w:t>
      </w:r>
      <w:r/>
    </w:p>
    <w:p>
      <w:pPr>
        <w:pStyle w:val="12960"/>
        <w:pBdr/>
        <w:spacing/>
        <w:ind/>
        <w:rPr/>
      </w:pPr>
      <w:r>
        <w:t xml:space="preserve">Прокладка тепловых сетей 2-х трубная. </w:t>
      </w:r>
      <w:r/>
    </w:p>
    <w:p>
      <w:pPr>
        <w:pStyle w:val="12960"/>
        <w:pBdr/>
        <w:spacing/>
        <w:ind/>
        <w:rPr/>
      </w:pPr>
      <w:r>
        <w:t xml:space="preserve">Компенсация температурных удлинений трубопроводов осуществляется за счет естественных изменений направления трассы, а также применения П-образных компенсаторов. На сетях установлена стальная арматура. </w:t>
      </w:r>
      <w:r/>
    </w:p>
    <w:p>
      <w:pPr>
        <w:pStyle w:val="12960"/>
        <w:pBdr/>
        <w:spacing/>
        <w:ind/>
        <w:rPr/>
      </w:pPr>
      <w:r>
        <w:t xml:space="preserve">Давление в сети регулируется предохранительными клапанами в здании котельной. Тип присоедине</w:t>
      </w:r>
      <w:r>
        <w:t xml:space="preserve">ния потребителей к тепловым сетям - непосредственное, без смешения, по параллельной схеме включения потребителей с качественным регулированием температуры теплоносителя по температуре наружного воздуха. Центральных тепловых пунктов и насосных станций нет. </w:t>
      </w:r>
      <w:r/>
    </w:p>
    <w:p>
      <w:pPr>
        <w:pStyle w:val="12960"/>
        <w:pBdr/>
        <w:spacing/>
        <w:ind/>
        <w:rPr/>
      </w:pPr>
      <w:r>
        <w:t xml:space="preserve">Бесхозяйных тепловых сетей не выявлено.</w:t>
      </w:r>
      <w:r/>
    </w:p>
    <w:p>
      <w:pPr>
        <w:pStyle w:val="12960"/>
        <w:pBdr/>
        <w:spacing/>
        <w:ind/>
        <w:rPr/>
      </w:pPr>
      <w:r>
        <w:t xml:space="preserve">Система центрального теплоснабжения охватывает не всю территорию муниципального образования Астаповское. Теплоснабжение остальной части жилищного фонда осуществляется за счет индивидуальных источников тепловой энергии.</w:t>
      </w:r>
      <w:r/>
    </w:p>
    <w:p>
      <w:pPr>
        <w:pStyle w:val="12960"/>
        <w:pBdr/>
        <w:spacing/>
        <w:ind/>
        <w:rPr/>
      </w:pPr>
      <w:r>
        <w:t xml:space="preserve">Уровень потерь тепловой энергии напрямую зависит от уровня износа и протяженности тепловой сети от исто</w:t>
      </w:r>
      <w:r>
        <w:t xml:space="preserve">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r/>
    </w:p>
    <w:p>
      <w:pPr>
        <w:pStyle w:val="12960"/>
        <w:pBdr/>
        <w:spacing/>
        <w:ind/>
        <w:rPr/>
        <w:sectPr>
          <w:headerReference w:type="default" r:id="rId24"/>
          <w:headerReference w:type="first" r:id="rId25"/>
          <w:footerReference w:type="default" r:id="rId290"/>
          <w:footerReference w:type="first" r:id="rId291"/>
          <w:footnotePr/>
          <w:endnotePr/>
          <w:type w:val="nextPage"/>
          <w:pgSz w:h="16838" w:orient="portrait" w:w="11906"/>
          <w:pgMar w:top="1134" w:right="850" w:bottom="1134" w:left="1701" w:header="567" w:footer="454" w:gutter="0"/>
          <w:cols w:num="1" w:sep="0" w:space="1701" w:equalWidth="1"/>
        </w:sectPr>
      </w:pPr>
      <w:r>
        <w:t xml:space="preserve">Характеристики тепловых сетей представлены в таблице ниже.</w:t>
      </w:r>
      <w:r/>
    </w:p>
    <w:p>
      <w:pPr>
        <w:pStyle w:val="12960"/>
        <w:pBdr/>
        <w:spacing/>
        <w:ind/>
        <w:rPr>
          <w:b/>
          <w:bCs w:val="0"/>
          <w:color w:val="auto"/>
        </w:rPr>
      </w:pPr>
      <w:r>
        <w:rPr>
          <w:b/>
          <w:bCs w:val="0"/>
          <w:color w:val="auto"/>
        </w:rPr>
        <w:t xml:space="preserve">Таблица 1.3.1 – Протяженность трубопроводов в зависимости от периода эксплуатации</w:t>
      </w:r>
      <w:r>
        <w:rPr>
          <w:b/>
          <w:bCs w:val="0"/>
          <w:color w:val="auto"/>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715"/>
        <w:gridCol w:w="1116"/>
        <w:gridCol w:w="122"/>
        <w:gridCol w:w="1326"/>
        <w:gridCol w:w="70"/>
        <w:gridCol w:w="1271"/>
        <w:gridCol w:w="1390"/>
        <w:gridCol w:w="58"/>
        <w:gridCol w:w="1503"/>
        <w:gridCol w:w="44"/>
        <w:gridCol w:w="930"/>
        <w:gridCol w:w="38"/>
        <w:gridCol w:w="1002"/>
        <w:gridCol w:w="830"/>
        <w:gridCol w:w="21"/>
        <w:gridCol w:w="1984"/>
        <w:gridCol w:w="359"/>
        <w:gridCol w:w="616"/>
        <w:gridCol w:w="7"/>
        <w:gridCol w:w="1167"/>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15" w:type="dxa"/>
            <w:vAlign w:val="center"/>
            <w:vMerge w:val="restart"/>
          </w:tcPr>
          <w:p>
            <w:pPr>
              <w:pStyle w:val="12385"/>
              <w:pBdr/>
              <w:spacing/>
              <w:ind/>
              <w:rPr/>
            </w:pPr>
            <w:r>
              <w:t xml:space="preserve">№№ </w:t>
            </w:r>
            <w:r>
              <w:t xml:space="preserve">СЦТ</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16" w:type="dxa"/>
            <w:vAlign w:val="center"/>
            <w:vMerge w:val="restart"/>
          </w:tcPr>
          <w:p>
            <w:pPr>
              <w:pStyle w:val="12385"/>
              <w:pBdr/>
              <w:spacing/>
              <w:ind/>
              <w:rPr/>
            </w:pPr>
            <w:r>
              <w:t xml:space="preserve">Тип прокладки сетей</w:t>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48" w:type="dxa"/>
            <w:vAlign w:val="center"/>
            <w:vMerge w:val="restart"/>
          </w:tcPr>
          <w:p>
            <w:pPr>
              <w:pStyle w:val="12385"/>
              <w:pBdr/>
              <w:spacing/>
              <w:ind/>
              <w:rPr/>
            </w:pPr>
            <w:r>
              <w:t xml:space="preserve">Диаметр трубопровода, Дн, мм</w:t>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41" w:type="dxa"/>
            <w:vAlign w:val="center"/>
            <w:vMerge w:val="restart"/>
          </w:tcPr>
          <w:p>
            <w:pPr>
              <w:pStyle w:val="12385"/>
              <w:pBdr/>
              <w:spacing/>
              <w:ind/>
              <w:rPr/>
            </w:pPr>
            <w:r>
              <w:t xml:space="preserve">Длина теплотрассы, L, м</w:t>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48" w:type="dxa"/>
            <w:vAlign w:val="center"/>
            <w:vMerge w:val="restart"/>
          </w:tcPr>
          <w:p>
            <w:pPr>
              <w:pStyle w:val="12385"/>
              <w:pBdr/>
              <w:spacing/>
              <w:ind/>
              <w:rPr/>
            </w:pPr>
            <w:r>
              <w:t xml:space="preserve">Длина трубопровода, 2L, м</w:t>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47" w:type="dxa"/>
            <w:vAlign w:val="center"/>
            <w:vMerge w:val="restart"/>
          </w:tcPr>
          <w:p>
            <w:pPr>
              <w:pStyle w:val="12385"/>
              <w:pBdr/>
              <w:spacing/>
              <w:ind/>
              <w:rPr/>
            </w:pPr>
            <w:r>
              <w:t xml:space="preserve">Материальная характеристика сети М, м</w:t>
            </w:r>
            <w:r>
              <w:rPr>
                <w:vertAlign w:val="superscript"/>
              </w:rPr>
              <w:t xml:space="preserve">2</w:t>
            </w:r>
            <w:r/>
          </w:p>
        </w:tc>
        <w:tc>
          <w:tcPr>
            <w:gridSpan w:val="5"/>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821" w:type="dxa"/>
            <w:vAlign w:val="center"/>
          </w:tcPr>
          <w:p>
            <w:pPr>
              <w:pStyle w:val="12385"/>
              <w:pBdr/>
              <w:spacing/>
              <w:ind/>
              <w:rPr/>
            </w:pPr>
            <w:r>
              <w:t xml:space="preserve">Объем тепловой сети V, м</w:t>
            </w:r>
            <w:r>
              <w:rPr>
                <w:vertAlign w:val="superscript"/>
              </w:rPr>
              <w:t xml:space="preserve">3</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984" w:type="dxa"/>
            <w:vAlign w:val="center"/>
            <w:vMerge w:val="restart"/>
          </w:tcPr>
          <w:p>
            <w:pPr>
              <w:pStyle w:val="12385"/>
              <w:pBdr/>
              <w:spacing/>
              <w:ind/>
              <w:rPr/>
            </w:pPr>
            <w:r>
              <w:t xml:space="preserve">Теплоизоляционный материал</w:t>
            </w:r>
            <w:r/>
          </w:p>
        </w:tc>
        <w:tc>
          <w:tcPr>
            <w:gridSpan w:val="3"/>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982" w:type="dxa"/>
            <w:vAlign w:val="center"/>
            <w:vMerge w:val="restart"/>
          </w:tcPr>
          <w:p>
            <w:pPr>
              <w:pStyle w:val="12385"/>
              <w:pBdr/>
              <w:spacing/>
              <w:ind/>
              <w:rPr/>
            </w:pPr>
            <w:r>
              <w:t xml:space="preserve">Год ввода в экспл.</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67" w:type="dxa"/>
            <w:vAlign w:val="center"/>
            <w:vMerge w:val="restart"/>
          </w:tcPr>
          <w:p>
            <w:pPr>
              <w:pStyle w:val="12385"/>
              <w:pBdr/>
              <w:spacing/>
              <w:ind/>
              <w:rPr/>
            </w:pPr>
            <w:r>
              <w:t xml:space="preserve">Средняя глубина заложения, м</w:t>
            </w:r>
            <w:r/>
          </w:p>
        </w:tc>
      </w:tr>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16" w:type="dxa"/>
            <w:vAlign w:val="center"/>
            <w:vMerge w:val="continue"/>
          </w:tcPr>
          <w:p>
            <w:pPr>
              <w:pStyle w:val="12385"/>
              <w:pBdr/>
              <w:spacing/>
              <w:ind/>
              <w:rPr/>
            </w:pPr>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48" w:type="dxa"/>
            <w:vAlign w:val="center"/>
            <w:vMerge w:val="continue"/>
          </w:tcPr>
          <w:p>
            <w:pPr>
              <w:pStyle w:val="12385"/>
              <w:pBdr/>
              <w:spacing/>
              <w:ind/>
              <w:rPr/>
            </w:pPr>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41" w:type="dxa"/>
            <w:vAlign w:val="center"/>
            <w:vMerge w:val="continue"/>
          </w:tcPr>
          <w:p>
            <w:pPr>
              <w:pStyle w:val="12385"/>
              <w:pBdr/>
              <w:spacing/>
              <w:ind/>
              <w:rPr/>
            </w:pPr>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48" w:type="dxa"/>
            <w:vAlign w:val="center"/>
            <w:vMerge w:val="continue"/>
          </w:tcPr>
          <w:p>
            <w:pPr>
              <w:pStyle w:val="12385"/>
              <w:pBdr/>
              <w:spacing/>
              <w:ind/>
              <w:rPr/>
            </w:pPr>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47" w:type="dxa"/>
            <w:vAlign w:val="center"/>
            <w:vMerge w:val="continue"/>
          </w:tcPr>
          <w:p>
            <w:pPr>
              <w:pStyle w:val="12385"/>
              <w:pBdr/>
              <w:spacing/>
              <w:ind/>
              <w:rPr/>
            </w:pPr>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968" w:type="dxa"/>
            <w:vAlign w:val="center"/>
          </w:tcPr>
          <w:p>
            <w:pPr>
              <w:pStyle w:val="12385"/>
              <w:pBdr/>
              <w:spacing/>
              <w:ind/>
              <w:rPr/>
            </w:pPr>
            <w:r>
              <w:t xml:space="preserve">м</w:t>
            </w:r>
            <w:r>
              <w:rPr>
                <w:vertAlign w:val="superscript"/>
              </w:rPr>
              <w:t xml:space="preserve">3</w:t>
            </w:r>
            <w:r>
              <w:t xml:space="preserve">/км</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02" w:type="dxa"/>
            <w:vAlign w:val="center"/>
          </w:tcPr>
          <w:p>
            <w:pPr>
              <w:pStyle w:val="12385"/>
              <w:pBdr/>
              <w:spacing/>
              <w:ind/>
              <w:rPr/>
            </w:pPr>
            <w:r>
              <w:t xml:space="preserve">Отопит, период</w:t>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51" w:type="dxa"/>
            <w:vAlign w:val="center"/>
          </w:tcPr>
          <w:p>
            <w:pPr>
              <w:pStyle w:val="12385"/>
              <w:pBdr/>
              <w:spacing/>
              <w:ind/>
              <w:rPr/>
            </w:pPr>
            <w:r>
              <w:t xml:space="preserve">Летний период</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984" w:type="dxa"/>
            <w:vAlign w:val="center"/>
            <w:vMerge w:val="continue"/>
          </w:tcPr>
          <w:p>
            <w:pPr>
              <w:pStyle w:val="12385"/>
              <w:pBdr/>
              <w:spacing/>
              <w:ind/>
              <w:rPr/>
            </w:pPr>
            <w:r/>
            <w:r/>
          </w:p>
        </w:tc>
        <w:tc>
          <w:tcPr>
            <w:gridSpan w:val="3"/>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982" w:type="dxa"/>
            <w:vAlign w:val="center"/>
            <w:vMerge w:val="continue"/>
          </w:tcPr>
          <w:p>
            <w:pPr>
              <w:pStyle w:val="12385"/>
              <w:pBdr/>
              <w:spacing/>
              <w:ind/>
              <w:rPr/>
            </w:pPr>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67" w:type="dxa"/>
            <w:vAlign w:val="center"/>
            <w:vMerge w:val="continue"/>
          </w:tcPr>
          <w:p>
            <w:pPr>
              <w:pStyle w:val="12385"/>
              <w:pBdr/>
              <w:spacing/>
              <w:ind/>
              <w:rPr/>
            </w:pPr>
            <w:r/>
            <w:r/>
          </w:p>
        </w:tc>
      </w:tr>
      <w:tr>
        <w:trPr>
          <w:trHeight w:val="20"/>
        </w:trPr>
        <w:tc>
          <w:tcPr>
            <w:shd w:val="clear" w:color="ffffcc" w:fill="ffffff"/>
            <w:tcBorders>
              <w:top w:val="single" w:color="000000" w:sz="4" w:space="0"/>
              <w:left w:val="single" w:color="000000" w:sz="4" w:space="0"/>
              <w:bottom w:val="single" w:color="000000" w:sz="4" w:space="0"/>
              <w:right w:val="single" w:color="000000" w:sz="4" w:space="0"/>
            </w:tcBorders>
            <w:tcW w:w="715" w:type="dxa"/>
            <w:vAlign w:val="center"/>
          </w:tcPr>
          <w:p>
            <w:pPr>
              <w:pStyle w:val="12385"/>
              <w:pBdr/>
              <w:spacing/>
              <w:ind/>
              <w:rPr/>
            </w:pPr>
            <w:r/>
            <w:bookmarkStart w:id="159" w:name="RANGE!A6%3AL39"/>
            <w:r>
              <w:t xml:space="preserve">1</w:t>
            </w:r>
            <w:bookmarkEnd w:id="159"/>
            <w:r/>
            <w:r/>
          </w:p>
        </w:tc>
        <w:tc>
          <w:tcPr>
            <w:shd w:val="clear" w:color="ffffcc" w:fill="ffffff"/>
            <w:tcBorders>
              <w:top w:val="single" w:color="000000" w:sz="4" w:space="0"/>
              <w:left w:val="single" w:color="000000" w:sz="4" w:space="0"/>
              <w:bottom w:val="single" w:color="000000" w:sz="4" w:space="0"/>
              <w:right w:val="single" w:color="000000" w:sz="4" w:space="0"/>
            </w:tcBorders>
            <w:tcW w:w="1116" w:type="dxa"/>
            <w:vAlign w:val="center"/>
          </w:tcPr>
          <w:p>
            <w:pPr>
              <w:pStyle w:val="12385"/>
              <w:pBdr/>
              <w:spacing/>
              <w:ind/>
              <w:rPr/>
            </w:pPr>
            <w:r>
              <w:t xml:space="preserve">2</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448" w:type="dxa"/>
            <w:vAlign w:val="center"/>
          </w:tcPr>
          <w:p>
            <w:pPr>
              <w:pStyle w:val="12385"/>
              <w:pBdr/>
              <w:spacing/>
              <w:ind/>
              <w:rPr/>
            </w:pPr>
            <w:r>
              <w:t xml:space="preserve">3</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41" w:type="dxa"/>
            <w:vAlign w:val="center"/>
          </w:tcPr>
          <w:p>
            <w:pPr>
              <w:pStyle w:val="12385"/>
              <w:pBdr/>
              <w:spacing/>
              <w:ind/>
              <w:rPr/>
            </w:pPr>
            <w:r>
              <w:t xml:space="preserve">4</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448" w:type="dxa"/>
            <w:vAlign w:val="center"/>
          </w:tcPr>
          <w:p>
            <w:pPr>
              <w:pStyle w:val="12385"/>
              <w:pBdr/>
              <w:spacing/>
              <w:ind/>
              <w:rPr/>
            </w:pPr>
            <w:r>
              <w:t xml:space="preserve">5</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547" w:type="dxa"/>
            <w:vAlign w:val="center"/>
          </w:tcPr>
          <w:p>
            <w:pPr>
              <w:pStyle w:val="12385"/>
              <w:pBdr/>
              <w:spacing/>
              <w:ind/>
              <w:rPr/>
            </w:pPr>
            <w:r>
              <w:t xml:space="preserve">6</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968" w:type="dxa"/>
            <w:vAlign w:val="center"/>
          </w:tcPr>
          <w:p>
            <w:pPr>
              <w:pStyle w:val="12385"/>
              <w:pBdr/>
              <w:spacing/>
              <w:ind/>
              <w:rPr/>
            </w:pPr>
            <w:r>
              <w:t xml:space="preserve">7</w:t>
            </w:r>
            <w:r/>
          </w:p>
        </w:tc>
        <w:tc>
          <w:tcPr>
            <w:shd w:val="clear" w:color="ffffcc" w:fill="ffffff"/>
            <w:tcBorders>
              <w:top w:val="single" w:color="000000" w:sz="4" w:space="0"/>
              <w:left w:val="single" w:color="000000" w:sz="4" w:space="0"/>
              <w:bottom w:val="single" w:color="000000" w:sz="4" w:space="0"/>
              <w:right w:val="single" w:color="000000" w:sz="4" w:space="0"/>
            </w:tcBorders>
            <w:tcW w:w="1002" w:type="dxa"/>
            <w:vAlign w:val="center"/>
          </w:tcPr>
          <w:p>
            <w:pPr>
              <w:pStyle w:val="12385"/>
              <w:pBdr/>
              <w:spacing/>
              <w:ind/>
              <w:rPr/>
            </w:pPr>
            <w:r>
              <w:t xml:space="preserve">8</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851" w:type="dxa"/>
            <w:vAlign w:val="center"/>
          </w:tcPr>
          <w:p>
            <w:pPr>
              <w:pStyle w:val="12385"/>
              <w:pBdr/>
              <w:spacing/>
              <w:ind/>
              <w:rPr/>
            </w:pPr>
            <w:r>
              <w:t xml:space="preserve">9</w:t>
            </w:r>
            <w:r/>
          </w:p>
        </w:tc>
        <w:tc>
          <w:tcPr>
            <w:shd w:val="clear" w:color="ffffcc" w:fill="ffffff"/>
            <w:tcBorders>
              <w:top w:val="single" w:color="000000" w:sz="4" w:space="0"/>
              <w:left w:val="single" w:color="000000" w:sz="4" w:space="0"/>
              <w:bottom w:val="single" w:color="000000" w:sz="4" w:space="0"/>
              <w:right w:val="single" w:color="000000" w:sz="4" w:space="0"/>
            </w:tcBorders>
            <w:tcW w:w="1984" w:type="dxa"/>
            <w:vAlign w:val="center"/>
          </w:tcPr>
          <w:p>
            <w:pPr>
              <w:pStyle w:val="12385"/>
              <w:pBdr/>
              <w:spacing/>
              <w:ind/>
              <w:rPr/>
            </w:pPr>
            <w:r>
              <w:t xml:space="preserve">10</w:t>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982" w:type="dxa"/>
            <w:vAlign w:val="center"/>
          </w:tcPr>
          <w:p>
            <w:pPr>
              <w:pStyle w:val="12385"/>
              <w:pBdr/>
              <w:spacing/>
              <w:ind/>
              <w:rPr/>
            </w:pPr>
            <w:r>
              <w:t xml:space="preserve">11</w:t>
            </w:r>
            <w:r/>
          </w:p>
        </w:tc>
        <w:tc>
          <w:tcPr>
            <w:shd w:val="clear" w:color="ffffcc" w:fill="ffffff"/>
            <w:tcBorders>
              <w:top w:val="single" w:color="000000" w:sz="4" w:space="0"/>
              <w:left w:val="single" w:color="000000" w:sz="4" w:space="0"/>
              <w:bottom w:val="single" w:color="000000" w:sz="4" w:space="0"/>
              <w:right w:val="single" w:color="000000" w:sz="4" w:space="0"/>
            </w:tcBorders>
            <w:tcW w:w="1167" w:type="dxa"/>
            <w:vAlign w:val="center"/>
          </w:tcPr>
          <w:p>
            <w:pPr>
              <w:pStyle w:val="12385"/>
              <w:pBdr/>
              <w:spacing/>
              <w:ind/>
              <w:rPr/>
            </w:pPr>
            <w:r>
              <w:t xml:space="preserve">12</w:t>
            </w:r>
            <w:r/>
          </w:p>
        </w:tc>
      </w:tr>
      <w:tr>
        <w:trPr>
          <w:trHeight w:val="20"/>
        </w:trPr>
        <w:tc>
          <w:tcPr>
            <w:shd w:val="clear" w:color="ffffcc" w:fill="ffffff"/>
            <w:tcBorders>
              <w:top w:val="single" w:color="000000" w:sz="4" w:space="0"/>
              <w:left w:val="single" w:color="000000" w:sz="4" w:space="0"/>
              <w:bottom w:val="single" w:color="000000" w:sz="4" w:space="0"/>
              <w:right w:val="single" w:color="000000" w:sz="4" w:space="0"/>
            </w:tcBorders>
            <w:tcW w:w="715" w:type="dxa"/>
            <w:vAlign w:val="center"/>
            <w:vMerge w:val="restart"/>
          </w:tcPr>
          <w:p>
            <w:pPr>
              <w:pStyle w:val="12385"/>
              <w:pBdr/>
              <w:spacing/>
              <w:ind/>
              <w:rPr/>
            </w:pPr>
            <w:r>
              <w:t xml:space="preserve">СЦТ-1</w:t>
            </w:r>
            <w:r/>
          </w:p>
        </w:tc>
        <w:tc>
          <w:tcPr>
            <w:gridSpan w:val="19"/>
            <w:shd w:val="clear" w:color="ffffcc" w:fill="ffffff"/>
            <w:tcBorders>
              <w:top w:val="single" w:color="000000" w:sz="4" w:space="0"/>
              <w:left w:val="single" w:color="000000" w:sz="4" w:space="0"/>
              <w:bottom w:val="single" w:color="000000" w:sz="4" w:space="0"/>
              <w:right w:val="single" w:color="000000" w:sz="4" w:space="0"/>
            </w:tcBorders>
            <w:tcW w:w="13854" w:type="dxa"/>
            <w:vAlign w:val="center"/>
          </w:tcPr>
          <w:p>
            <w:pPr>
              <w:pStyle w:val="12385"/>
              <w:pBdr/>
              <w:spacing/>
              <w:ind/>
              <w:rPr/>
            </w:pPr>
            <w:r>
              <w:t xml:space="preserve">Котельная п. Первомайский, ул. Школьная, 3</w:t>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19"/>
            <w:shd w:val="clear" w:color="ffffcc" w:fill="ffffff"/>
            <w:tcBorders>
              <w:top w:val="single" w:color="000000" w:sz="4" w:space="0"/>
              <w:left w:val="single" w:color="000000" w:sz="4" w:space="0"/>
              <w:bottom w:val="single" w:color="000000" w:sz="4" w:space="0"/>
              <w:right w:val="single" w:color="000000" w:sz="4" w:space="0"/>
            </w:tcBorders>
            <w:tcW w:w="13854" w:type="dxa"/>
            <w:vAlign w:val="center"/>
          </w:tcPr>
          <w:p>
            <w:pPr>
              <w:pStyle w:val="12385"/>
              <w:pBdr/>
              <w:spacing/>
              <w:ind/>
              <w:rPr/>
            </w:pPr>
            <w:r>
              <w:t xml:space="preserve">Отопление  М = Дн * 2L V = v * 2L График 95-70</w:t>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238" w:type="dxa"/>
            <w:vAlign w:val="center"/>
          </w:tcPr>
          <w:p>
            <w:pPr>
              <w:pStyle w:val="12385"/>
              <w:pBdr/>
              <w:spacing/>
              <w:ind/>
              <w:rPr/>
            </w:pPr>
            <w:r>
              <w:t xml:space="preserve">надземная</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96" w:type="dxa"/>
            <w:vAlign w:val="center"/>
          </w:tcPr>
          <w:p>
            <w:pPr>
              <w:pStyle w:val="12385"/>
              <w:pBdr/>
              <w:spacing/>
              <w:ind/>
              <w:rPr/>
            </w:pPr>
            <w:r>
              <w:t xml:space="preserve">40</w:t>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70</w:t>
            </w:r>
            <w:r/>
          </w:p>
        </w:tc>
        <w:tc>
          <w:tcPr>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rFonts w:ascii="Arial Narrow" w:hAnsi="Arial Narrow"/>
              </w:rPr>
            </w:pPr>
            <w:r>
              <w:rPr>
                <w:rFonts w:ascii="Arial Narrow" w:hAnsi="Arial Narrow"/>
              </w:rPr>
              <w:t xml:space="preserve">140,0</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rFonts w:ascii="Arial Narrow" w:hAnsi="Arial Narrow"/>
              </w:rPr>
            </w:pPr>
            <w:r>
              <w:rPr>
                <w:rFonts w:ascii="Arial Narrow" w:hAnsi="Arial Narrow"/>
              </w:rPr>
              <w:t xml:space="preserve">5,60</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rFonts w:ascii="Arial Narrow" w:hAnsi="Arial Narrow"/>
              </w:rPr>
            </w:pPr>
            <w:r>
              <w:rPr>
                <w:rFonts w:ascii="Arial Narrow" w:hAnsi="Arial Narrow"/>
              </w:rPr>
              <w:t xml:space="preserve">0,2</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rFonts w:ascii="Arial Narrow" w:hAnsi="Arial Narrow"/>
              </w:rPr>
            </w:pPr>
            <w:r>
              <w:rPr>
                <w:rFonts w:ascii="Arial Narrow" w:hAnsi="Arial Narrow"/>
              </w:rPr>
              <w:t xml:space="preserve">0,03</w:t>
            </w:r>
            <w:r>
              <w:rPr>
                <w:rFonts w:ascii="Arial Narrow" w:hAnsi="Arial Narrow"/>
              </w:rP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t xml:space="preserve">мин. вата</w:t>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238" w:type="dxa"/>
            <w:vAlign w:val="center"/>
          </w:tcPr>
          <w:p>
            <w:pPr>
              <w:pStyle w:val="12385"/>
              <w:pBdr/>
              <w:spacing/>
              <w:ind/>
              <w:rPr/>
            </w:pPr>
            <w:r>
              <w:t xml:space="preserve">Итого отопление</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96"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70</w:t>
            </w:r>
            <w:r/>
          </w:p>
        </w:tc>
        <w:tc>
          <w:tcPr>
            <w:shd w:val="clear" w:color="ffffcc" w:fill="ffffff"/>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pPr>
            <w:r>
              <w:t xml:space="preserve">140,0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pPr>
            <w:r>
              <w:t xml:space="preserve">5,60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pPr>
            <w:r>
              <w:t xml:space="preserve">0,2</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0,03</w:t>
            </w: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r>
        <w:trPr>
          <w:trHeight w:val="20"/>
        </w:trPr>
        <w:tc>
          <w:tcPr>
            <w:shd w:val="clear" w:color="ffffcc" w:fill="ffffff"/>
            <w:tcBorders>
              <w:top w:val="single" w:color="000000" w:sz="4" w:space="0"/>
              <w:left w:val="single" w:color="000000" w:sz="4" w:space="0"/>
              <w:bottom w:val="single" w:color="000000" w:sz="4" w:space="0"/>
              <w:right w:val="single" w:color="000000" w:sz="4" w:space="0"/>
            </w:tcBorders>
            <w:tcW w:w="715" w:type="dxa"/>
            <w:vAlign w:val="center"/>
            <w:vMerge w:val="restart"/>
          </w:tcPr>
          <w:p>
            <w:pPr>
              <w:pStyle w:val="12385"/>
              <w:pBdr/>
              <w:spacing/>
              <w:ind/>
              <w:rPr/>
            </w:pPr>
            <w:r>
              <w:t xml:space="preserve">СЦТ-1</w:t>
            </w:r>
            <w:r/>
          </w:p>
        </w:tc>
        <w:tc>
          <w:tcPr>
            <w:gridSpan w:val="19"/>
            <w:shd w:val="clear" w:color="ffffcc" w:fill="ffffff"/>
            <w:tcBorders>
              <w:top w:val="single" w:color="000000" w:sz="4" w:space="0"/>
              <w:left w:val="single" w:color="000000" w:sz="4" w:space="0"/>
              <w:bottom w:val="single" w:color="000000" w:sz="4" w:space="0"/>
              <w:right w:val="single" w:color="000000" w:sz="4" w:space="0"/>
            </w:tcBorders>
            <w:tcW w:w="13854" w:type="dxa"/>
            <w:vAlign w:val="center"/>
          </w:tcPr>
          <w:p>
            <w:pPr>
              <w:pStyle w:val="12385"/>
              <w:pBdr/>
              <w:spacing/>
              <w:ind/>
              <w:rPr/>
            </w:pPr>
            <w:r>
              <w:t xml:space="preserve">Котельная д. Ясенки,ул. Центральная, 24</w:t>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19"/>
            <w:shd w:val="clear" w:color="ffffcc" w:fill="ffffff"/>
            <w:tcBorders>
              <w:top w:val="single" w:color="000000" w:sz="4" w:space="0"/>
              <w:left w:val="single" w:color="000000" w:sz="4" w:space="0"/>
              <w:bottom w:val="single" w:color="000000" w:sz="4" w:space="0"/>
              <w:right w:val="single" w:color="000000" w:sz="4" w:space="0"/>
            </w:tcBorders>
            <w:tcW w:w="13854" w:type="dxa"/>
            <w:vAlign w:val="center"/>
          </w:tcPr>
          <w:p>
            <w:pPr>
              <w:pStyle w:val="12385"/>
              <w:pBdr/>
              <w:spacing/>
              <w:ind/>
              <w:rPr/>
            </w:pPr>
            <w:r>
              <w:t xml:space="preserve">Отопление  М = Дн * 2L V = v * 2L График 95-70</w:t>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238" w:type="dxa"/>
            <w:vAlign w:val="center"/>
          </w:tcPr>
          <w:p>
            <w:pPr>
              <w:pStyle w:val="12385"/>
              <w:pBdr/>
              <w:spacing/>
              <w:ind/>
              <w:rPr/>
            </w:pPr>
            <w:r>
              <w:t xml:space="preserve">подземная</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96" w:type="dxa"/>
            <w:vAlign w:val="center"/>
          </w:tcPr>
          <w:p>
            <w:pPr>
              <w:pStyle w:val="12385"/>
              <w:pBdr/>
              <w:spacing/>
              <w:ind/>
              <w:rPr/>
            </w:pPr>
            <w:r>
              <w:t xml:space="preserve">40</w:t>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40</w:t>
            </w:r>
            <w:r/>
          </w:p>
        </w:tc>
        <w:tc>
          <w:tcPr>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rFonts w:ascii="Arial Narrow" w:hAnsi="Arial Narrow"/>
              </w:rPr>
            </w:pPr>
            <w:r>
              <w:rPr>
                <w:rFonts w:ascii="Arial Narrow" w:hAnsi="Arial Narrow"/>
              </w:rPr>
              <w:t xml:space="preserve">80,0</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rFonts w:ascii="Arial Narrow" w:hAnsi="Arial Narrow"/>
              </w:rPr>
            </w:pPr>
            <w:r>
              <w:rPr>
                <w:rFonts w:ascii="Arial Narrow" w:hAnsi="Arial Narrow"/>
              </w:rPr>
              <w:t xml:space="preserve">3,20</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rFonts w:ascii="Arial Narrow" w:hAnsi="Arial Narrow"/>
              </w:rPr>
            </w:pPr>
            <w:r>
              <w:rPr>
                <w:rFonts w:ascii="Arial Narrow" w:hAnsi="Arial Narrow"/>
              </w:rPr>
              <w:t xml:space="preserve">0,1</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rFonts w:ascii="Arial Narrow" w:hAnsi="Arial Narrow"/>
              </w:rPr>
            </w:pPr>
            <w:r>
              <w:rPr>
                <w:rFonts w:ascii="Arial Narrow" w:hAnsi="Arial Narrow"/>
              </w:rPr>
              <w:t xml:space="preserve">0,01</w:t>
            </w:r>
            <w:r>
              <w:rPr>
                <w:rFonts w:ascii="Arial Narrow" w:hAnsi="Arial Narrow"/>
              </w:rP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t xml:space="preserve">мин. вата</w:t>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238" w:type="dxa"/>
            <w:vAlign w:val="center"/>
          </w:tcPr>
          <w:p>
            <w:pPr>
              <w:pStyle w:val="12385"/>
              <w:pBdr/>
              <w:spacing/>
              <w:ind/>
              <w:rPr/>
            </w:pPr>
            <w:r>
              <w:t xml:space="preserve">Итого отопление</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96"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40</w:t>
            </w:r>
            <w:r/>
          </w:p>
        </w:tc>
        <w:tc>
          <w:tcPr>
            <w:shd w:val="clear" w:color="ffffcc" w:fill="ffffff"/>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pPr>
            <w:r>
              <w:t xml:space="preserve">80,0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pPr>
            <w:r>
              <w:t xml:space="preserve">3,20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pPr>
            <w:r>
              <w:t xml:space="preserve">0,1</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0,01</w:t>
            </w: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r>
        <w:trPr>
          <w:trHeight w:val="20"/>
        </w:trPr>
        <w:tc>
          <w:tcPr>
            <w:shd w:val="clear" w:color="ffffcc" w:fill="ffffff"/>
            <w:tcBorders>
              <w:top w:val="single" w:color="000000" w:sz="4" w:space="0"/>
              <w:left w:val="single" w:color="000000" w:sz="4" w:space="0"/>
              <w:bottom w:val="single" w:color="000000" w:sz="4" w:space="0"/>
              <w:right w:val="single" w:color="000000" w:sz="4" w:space="0"/>
            </w:tcBorders>
            <w:tcW w:w="715" w:type="dxa"/>
            <w:vAlign w:val="center"/>
            <w:vMerge w:val="restart"/>
          </w:tcPr>
          <w:p>
            <w:pPr>
              <w:pStyle w:val="12385"/>
              <w:pBdr/>
              <w:spacing/>
              <w:ind/>
              <w:rPr/>
            </w:pPr>
            <w:r>
              <w:t xml:space="preserve">СЦТ-1</w:t>
            </w:r>
            <w:r/>
          </w:p>
        </w:tc>
        <w:tc>
          <w:tcPr>
            <w:gridSpan w:val="19"/>
            <w:shd w:val="clear" w:color="ffffcc" w:fill="ffffff"/>
            <w:tcBorders>
              <w:top w:val="single" w:color="000000" w:sz="4" w:space="0"/>
              <w:left w:val="single" w:color="000000" w:sz="4" w:space="0"/>
              <w:bottom w:val="single" w:color="000000" w:sz="4" w:space="0"/>
              <w:right w:val="single" w:color="000000" w:sz="4" w:space="0"/>
            </w:tcBorders>
            <w:tcW w:w="13854" w:type="dxa"/>
            <w:vAlign w:val="center"/>
          </w:tcPr>
          <w:p>
            <w:pPr>
              <w:pStyle w:val="12385"/>
              <w:pBdr/>
              <w:spacing/>
              <w:ind/>
              <w:rPr/>
            </w:pPr>
            <w:r>
              <w:t xml:space="preserve">Котельная д. Белый Колодезь, ул. Школьная</w:t>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19"/>
            <w:shd w:val="clear" w:color="ffffcc" w:fill="ffffff"/>
            <w:tcBorders>
              <w:top w:val="single" w:color="000000" w:sz="4" w:space="0"/>
              <w:left w:val="single" w:color="000000" w:sz="4" w:space="0"/>
              <w:bottom w:val="single" w:color="000000" w:sz="4" w:space="0"/>
              <w:right w:val="single" w:color="000000" w:sz="4" w:space="0"/>
            </w:tcBorders>
            <w:tcW w:w="13854" w:type="dxa"/>
            <w:vAlign w:val="center"/>
          </w:tcPr>
          <w:p>
            <w:pPr>
              <w:pStyle w:val="12385"/>
              <w:pBdr/>
              <w:spacing/>
              <w:ind/>
              <w:rPr/>
            </w:pPr>
            <w:r>
              <w:t xml:space="preserve">Отопление  М = Дн * 2L V = v * 2L График 95-70</w:t>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238" w:type="dxa"/>
            <w:vAlign w:val="center"/>
          </w:tcPr>
          <w:p>
            <w:pPr>
              <w:pStyle w:val="12385"/>
              <w:pBdr/>
              <w:spacing/>
              <w:ind/>
              <w:rPr/>
            </w:pPr>
            <w:r>
              <w:t xml:space="preserve">надземная</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96" w:type="dxa"/>
            <w:vAlign w:val="center"/>
          </w:tcPr>
          <w:p>
            <w:pPr>
              <w:pStyle w:val="12385"/>
              <w:pBdr/>
              <w:spacing/>
              <w:ind/>
              <w:rPr/>
            </w:pPr>
            <w:r>
              <w:t xml:space="preserve">40</w:t>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70</w:t>
            </w:r>
            <w:r/>
          </w:p>
        </w:tc>
        <w:tc>
          <w:tcPr>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rFonts w:ascii="Arial Narrow" w:hAnsi="Arial Narrow"/>
              </w:rPr>
            </w:pPr>
            <w:r>
              <w:rPr>
                <w:rFonts w:ascii="Arial Narrow" w:hAnsi="Arial Narrow"/>
              </w:rPr>
              <w:t xml:space="preserve">140,0</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rFonts w:ascii="Arial Narrow" w:hAnsi="Arial Narrow"/>
              </w:rPr>
            </w:pPr>
            <w:r>
              <w:rPr>
                <w:rFonts w:ascii="Arial Narrow" w:hAnsi="Arial Narrow"/>
              </w:rPr>
              <w:t xml:space="preserve">5,60</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rFonts w:ascii="Arial Narrow" w:hAnsi="Arial Narrow"/>
              </w:rPr>
            </w:pPr>
            <w:r>
              <w:rPr>
                <w:rFonts w:ascii="Arial Narrow" w:hAnsi="Arial Narrow"/>
              </w:rPr>
              <w:t xml:space="preserve">0,2</w:t>
            </w:r>
            <w:r>
              <w:rPr>
                <w:rFonts w:ascii="Arial Narrow" w:hAnsi="Arial Narrow"/>
              </w:rPr>
            </w:r>
          </w:p>
        </w:tc>
        <w:tc>
          <w:tcPr>
            <w:gridSpan w:val="2"/>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rFonts w:ascii="Arial Narrow" w:hAnsi="Arial Narrow"/>
              </w:rPr>
            </w:pPr>
            <w:r>
              <w:rPr>
                <w:rFonts w:ascii="Arial Narrow" w:hAnsi="Arial Narrow"/>
              </w:rPr>
              <w:t xml:space="preserve">0,03</w:t>
            </w:r>
            <w:r>
              <w:rPr>
                <w:rFonts w:ascii="Arial Narrow" w:hAnsi="Arial Narrow"/>
              </w:rP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t xml:space="preserve">мин. вата</w:t>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15" w:type="dxa"/>
            <w:vAlign w:val="center"/>
            <w:vMerge w:val="continue"/>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238" w:type="dxa"/>
            <w:vAlign w:val="center"/>
          </w:tcPr>
          <w:p>
            <w:pPr>
              <w:pStyle w:val="12385"/>
              <w:pBdr/>
              <w:spacing/>
              <w:ind/>
              <w:rPr/>
            </w:pPr>
            <w:r>
              <w:t xml:space="preserve">Итого отопление</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396"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70</w:t>
            </w:r>
            <w:r/>
          </w:p>
        </w:tc>
        <w:tc>
          <w:tcPr>
            <w:shd w:val="clear" w:color="ffffcc" w:fill="ffffff"/>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pPr>
            <w:r>
              <w:t xml:space="preserve">140,0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pPr>
            <w:r>
              <w:t xml:space="preserve">5,60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pPr>
            <w:r>
              <w:t xml:space="preserve">0,2</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0,03</w:t>
            </w: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r>
        <w:trPr>
          <w:trHeight w:val="20"/>
        </w:trPr>
        <w:tc>
          <w:tcPr>
            <w:gridSpan w:val="5"/>
            <w:tcBorders>
              <w:top w:val="single" w:color="000000" w:sz="4" w:space="0"/>
              <w:left w:val="single" w:color="000000" w:sz="4" w:space="0"/>
              <w:bottom w:val="single" w:color="000000" w:sz="4" w:space="0"/>
              <w:right w:val="single" w:color="000000" w:sz="4" w:space="0"/>
            </w:tcBorders>
            <w:tcW w:w="3349" w:type="dxa"/>
            <w:vAlign w:val="center"/>
          </w:tcPr>
          <w:p>
            <w:pPr>
              <w:pStyle w:val="12385"/>
              <w:pBdr/>
              <w:spacing/>
              <w:ind/>
              <w:rPr/>
            </w:pPr>
            <w:r>
              <w:t xml:space="preserve">Всего по ЭСО</w:t>
            </w:r>
            <w:r/>
          </w:p>
        </w:tc>
        <w:tc>
          <w:tcPr>
            <w:shd w:val="clear" w:color="ffffcc" w:fill="ffffff"/>
            <w:tcBorders>
              <w:top w:val="single" w:color="000000" w:sz="4" w:space="0"/>
              <w:left w:val="single" w:color="000000" w:sz="4" w:space="0"/>
              <w:bottom w:val="single" w:color="000000" w:sz="4" w:space="0"/>
              <w:right w:val="single" w:color="000000" w:sz="4" w:space="0"/>
            </w:tcBorders>
            <w:tcW w:w="1271" w:type="dxa"/>
            <w:vAlign w:val="center"/>
          </w:tcPr>
          <w:p>
            <w:pPr>
              <w:pStyle w:val="12385"/>
              <w:pBdr/>
              <w:spacing/>
              <w:ind/>
              <w:rPr/>
            </w:pPr>
            <w:r>
              <w:t xml:space="preserve">300</w:t>
            </w:r>
            <w:r/>
          </w:p>
        </w:tc>
        <w:tc>
          <w:tcPr>
            <w:shd w:val="clear" w:color="ffffcc" w:fill="ffffff"/>
            <w:tcBorders>
              <w:top w:val="single" w:color="000000" w:sz="4" w:space="0"/>
              <w:left w:val="single" w:color="000000" w:sz="4" w:space="0"/>
              <w:bottom w:val="single" w:color="000000" w:sz="4" w:space="0"/>
              <w:right w:val="single" w:color="000000" w:sz="4" w:space="0"/>
            </w:tcBorders>
            <w:tcW w:w="1390" w:type="dxa"/>
            <w:vAlign w:val="center"/>
          </w:tcPr>
          <w:p>
            <w:pPr>
              <w:pStyle w:val="12385"/>
              <w:pBdr/>
              <w:spacing/>
              <w:ind/>
              <w:rPr/>
            </w:pPr>
            <w:r>
              <w:t xml:space="preserve">600</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561" w:type="dxa"/>
            <w:vAlign w:val="center"/>
          </w:tcPr>
          <w:p>
            <w:pPr>
              <w:pStyle w:val="12385"/>
              <w:pBdr/>
              <w:spacing/>
              <w:ind/>
              <w:rPr/>
            </w:pPr>
            <w:r>
              <w:t xml:space="preserve">24</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974" w:type="dxa"/>
            <w:vAlign w:val="center"/>
          </w:tcPr>
          <w:p>
            <w:pPr>
              <w:pStyle w:val="12385"/>
              <w:pBdr/>
              <w:spacing/>
              <w:ind/>
              <w:rPr/>
            </w:pPr>
            <w:r>
              <w:t xml:space="preserve">0,8</w:t>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0,1</w:t>
            </w:r>
            <w:r/>
          </w:p>
        </w:tc>
        <w:tc>
          <w:tcPr>
            <w:shd w:val="clear" w:color="ffffcc" w:fill="ffffff"/>
            <w:tcBorders>
              <w:top w:val="single" w:color="000000" w:sz="4" w:space="0"/>
              <w:left w:val="single" w:color="000000" w:sz="4" w:space="0"/>
              <w:bottom w:val="single" w:color="000000" w:sz="4" w:space="0"/>
              <w:right w:val="single" w:color="000000" w:sz="4" w:space="0"/>
            </w:tcBorders>
            <w:tcW w:w="830" w:type="dxa"/>
            <w:vAlign w:val="center"/>
          </w:tcPr>
          <w:p>
            <w:pPr>
              <w:pStyle w:val="12385"/>
              <w:pBdr/>
              <w:spacing/>
              <w:ind/>
              <w:rPr/>
            </w:pPr>
            <w:r/>
            <w:r/>
          </w:p>
        </w:tc>
        <w:tc>
          <w:tcPr>
            <w:gridSpan w:val="3"/>
            <w:shd w:val="clear" w:color="ffffcc" w:fill="ffffff"/>
            <w:tcBorders>
              <w:top w:val="single" w:color="000000" w:sz="4" w:space="0"/>
              <w:left w:val="single" w:color="000000" w:sz="4" w:space="0"/>
              <w:bottom w:val="single" w:color="000000" w:sz="4" w:space="0"/>
              <w:right w:val="single" w:color="000000" w:sz="4" w:space="0"/>
            </w:tcBorders>
            <w:tcW w:w="2364" w:type="dxa"/>
            <w:vAlign w:val="center"/>
          </w:tcPr>
          <w:p>
            <w:pPr>
              <w:pStyle w:val="12385"/>
              <w:pBdr/>
              <w:spacing/>
              <w:ind/>
              <w:rPr/>
            </w:pPr>
            <w:r/>
            <w:r/>
          </w:p>
        </w:tc>
        <w:tc>
          <w:tcPr>
            <w:shd w:val="clear" w:color="ffffcc" w:fill="ffffff"/>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pPr>
            <w:r/>
            <w:r/>
          </w:p>
        </w:tc>
        <w:tc>
          <w:tcPr>
            <w:gridSpan w:val="2"/>
            <w:shd w:val="clear" w:color="ffffcc" w:fill="ffffff"/>
            <w:tcBorders>
              <w:top w:val="single" w:color="000000" w:sz="4" w:space="0"/>
              <w:left w:val="single" w:color="000000" w:sz="4" w:space="0"/>
              <w:bottom w:val="single" w:color="000000" w:sz="4" w:space="0"/>
              <w:right w:val="single" w:color="000000" w:sz="4" w:space="0"/>
            </w:tcBorders>
            <w:tcW w:w="1174" w:type="dxa"/>
            <w:vAlign w:val="center"/>
          </w:tcPr>
          <w:p>
            <w:pPr>
              <w:pStyle w:val="12385"/>
              <w:pBdr/>
              <w:spacing/>
              <w:ind/>
              <w:rPr/>
            </w:pPr>
            <w:r/>
            <w:r/>
          </w:p>
        </w:tc>
      </w:tr>
    </w:tbl>
    <w:p>
      <w:pPr>
        <w:pBdr/>
        <w:spacing/>
        <w:ind/>
        <w:rPr/>
        <w:sectPr>
          <w:headerReference w:type="default" r:id="rId26"/>
          <w:headerReference w:type="first" r:id="rId27"/>
          <w:footerReference w:type="default" r:id="rId292"/>
          <w:footerReference w:type="first" r:id="rId293"/>
          <w:footnotePr/>
          <w:endnotePr/>
          <w:type w:val="nextPage"/>
          <w:pgSz w:h="11906" w:orient="landscape" w:w="16838"/>
          <w:pgMar w:top="1701" w:right="1134" w:bottom="851" w:left="1134" w:header="567" w:footer="454" w:gutter="0"/>
          <w:cols w:num="1" w:sep="0" w:space="1701" w:equalWidth="1"/>
        </w:sectPr>
      </w:pPr>
      <w:r/>
      <w:r/>
    </w:p>
    <w:p>
      <w:pPr>
        <w:pStyle w:val="10533"/>
        <w:pBdr/>
        <w:tabs>
          <w:tab w:val="clear" w:leader="none" w:pos="708"/>
          <w:tab w:val="left" w:leader="none" w:pos="4527"/>
          <w:tab w:val="left" w:leader="none" w:pos="5213"/>
          <w:tab w:val="left" w:leader="none" w:pos="5901"/>
          <w:tab w:val="left" w:leader="none" w:pos="6658"/>
          <w:tab w:val="left" w:leader="none" w:pos="7346"/>
          <w:tab w:val="left" w:leader="none" w:pos="8107"/>
          <w:tab w:val="left" w:leader="none" w:pos="8726"/>
        </w:tabs>
        <w:spacing w:after="200" w:before="0"/>
        <w:ind w:left="5"/>
        <w:rPr>
          <w:bCs/>
          <w:sz w:val="20"/>
          <w:szCs w:val="26"/>
          <w:lang w:eastAsia="ru-RU"/>
        </w:rPr>
      </w:pPr>
      <w:r>
        <w:rPr>
          <w:rFonts w:eastAsia="Calibri"/>
          <w:bCs/>
          <w:sz w:val="20"/>
          <w:szCs w:val="26"/>
        </w:rPr>
        <w:tab/>
        <w:tab/>
      </w:r>
      <w:r>
        <w:rPr>
          <w:rFonts w:eastAsia="Calibri"/>
          <w:bCs/>
          <w:color w:val="006000"/>
          <w:sz w:val="20"/>
          <w:szCs w:val="26"/>
        </w:rPr>
        <w:tab/>
        <w:tab/>
      </w:r>
      <w:r>
        <w:rPr>
          <w:rFonts w:eastAsia="Calibri"/>
          <w:bCs/>
          <w:sz w:val="20"/>
          <w:szCs w:val="26"/>
        </w:rPr>
        <w:tab/>
      </w:r>
      <w:r>
        <w:rPr>
          <w:rFonts w:eastAsia="Calibri"/>
          <w:bCs/>
          <w:color w:val="006000"/>
          <w:sz w:val="20"/>
          <w:szCs w:val="26"/>
        </w:rPr>
        <w:tab/>
      </w:r>
      <w:r>
        <w:rPr>
          <w:bCs/>
          <w:sz w:val="20"/>
          <w:szCs w:val="26"/>
          <w:lang w:eastAsia="ru-RU"/>
        </w:rPr>
      </w:r>
    </w:p>
    <w:p>
      <w:pPr>
        <w:pStyle w:val="10535"/>
        <w:numPr>
          <w:ilvl w:val="1"/>
          <w:numId w:val="13"/>
        </w:numPr>
        <w:pBdr/>
        <w:tabs>
          <w:tab w:val="left" w:leader="none" w:pos="567"/>
          <w:tab w:val="clear" w:leader="none" w:pos="708"/>
        </w:tabs>
        <w:spacing w:after="0" w:before="0" w:line="240" w:lineRule="auto"/>
        <w:ind/>
        <w:jc w:val="both"/>
        <w:rPr>
          <w:rFonts w:cs="Times New Roman"/>
        </w:rPr>
      </w:pPr>
      <w:r/>
      <w:bookmarkStart w:id="165" w:name="_Toc84970940"/>
      <w:r/>
      <w:bookmarkStart w:id="166" w:name="_Toc475879436"/>
      <w:r/>
      <w:bookmarkStart w:id="167" w:name="_Toc78674703"/>
      <w:r/>
      <w:bookmarkStart w:id="168" w:name="_Toc166767154"/>
      <w:r/>
      <w:bookmarkStart w:id="169" w:name="_Toc198483494"/>
      <w:r>
        <w:rPr>
          <w:rFonts w:cs="Times New Roman"/>
        </w:rPr>
        <w:t xml:space="preserve">Электронные и бумажные схемы тепловых сетей в зонах действия источников тепловой энергии</w:t>
      </w:r>
      <w:bookmarkEnd w:id="165"/>
      <w:r/>
      <w:bookmarkEnd w:id="166"/>
      <w:r/>
      <w:bookmarkEnd w:id="167"/>
      <w:r/>
      <w:bookmarkEnd w:id="168"/>
      <w:r/>
      <w:bookmarkEnd w:id="169"/>
      <w:r/>
      <w:r>
        <w:rPr>
          <w:rFonts w:cs="Times New Roman"/>
        </w:rPr>
      </w:r>
    </w:p>
    <w:p>
      <w:pPr>
        <w:pStyle w:val="12960"/>
        <w:pBdr/>
        <w:spacing/>
        <w:ind/>
        <w:rPr/>
      </w:pPr>
      <w:r/>
      <w:r/>
    </w:p>
    <w:p>
      <w:pPr>
        <w:pStyle w:val="10533"/>
        <w:pBdr/>
        <w:spacing w:after="120" w:before="0"/>
        <w:ind w:firstLine="567"/>
        <w:jc w:val="both"/>
        <w:rPr>
          <w:rFonts w:eastAsia="Calibri"/>
          <w:lang w:eastAsia="en-US"/>
        </w:rPr>
      </w:pPr>
      <w:r>
        <w:rPr>
          <w:rFonts w:eastAsia="Calibri"/>
          <w:lang w:eastAsia="en-US"/>
        </w:rPr>
        <w:t xml:space="preserve">Схема тепловых сетей централизованного теплоснабжения представлена на рисунке.</w:t>
        <w:br/>
        <w:br/>
      </w:r>
      <w:r>
        <w:rPr>
          <w:rFonts w:eastAsia="Calibri"/>
          <w:lang w:eastAsia="en-US"/>
        </w:rPr>
      </w:r>
    </w:p>
    <w:p>
      <w:pPr>
        <w:pStyle w:val="10533"/>
        <w:pBdr/>
        <w:spacing w:after="120" w:before="0"/>
        <w:ind/>
        <w:jc w:val="center"/>
        <w:rPr>
          <w:rFonts w:eastAsia="Calibri"/>
          <w:lang w:eastAsia="en-US"/>
        </w:rPr>
      </w:pPr>
      <w:r>
        <mc:AlternateContent>
          <mc:Choice Requires="wpg">
            <w:drawing>
              <wp:inline xmlns:wp="http://schemas.openxmlformats.org/drawingml/2006/wordprocessingDrawing" distT="0" distB="0" distL="0" distR="0">
                <wp:extent cx="5972175" cy="3476625"/>
                <wp:effectExtent l="0" t="0" r="0" b="0"/>
                <wp:docPr id="5"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4" descr=""/>
                        <pic:cNvPicPr>
                          <a:picLocks noChangeAspect="1"/>
                        </pic:cNvPicPr>
                        <pic:nvPr/>
                      </pic:nvPicPr>
                      <pic:blipFill rotWithShape="1">
                        <a:blip r:embed="rId554"/>
                        <a:srcRect l="14753" t="19186" r="16941" b="7635"/>
                        <a:stretch/>
                      </pic:blipFill>
                      <pic:spPr bwMode="auto">
                        <a:xfrm>
                          <a:off x="0" y="0"/>
                          <a:ext cx="5972175" cy="347662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70.25pt;height:273.75pt;mso-wrap-distance-left:0.00pt;mso-wrap-distance-top:0.00pt;mso-wrap-distance-right:0.00pt;mso-wrap-distance-bottom:0.00pt;z-index:1;" stroked="false">
                <v:imagedata r:id="rId554" o:title="" croptop="12574f" cropleft="9669f" cropbottom="5004f" cropright="11102f"/>
                <o:lock v:ext="edit" rotation="t"/>
              </v:shape>
            </w:pict>
          </mc:Fallback>
        </mc:AlternateContent>
      </w:r>
      <w:r>
        <w:rPr>
          <w:rFonts w:eastAsia="Calibri"/>
          <w:lang w:eastAsia="en-US"/>
        </w:rPr>
        <w:t xml:space="preserve">Рисунок 1.3.2.1. – Схема тепловых сетей </w:t>
      </w:r>
      <w:r>
        <w:rPr>
          <w:rFonts w:eastAsia="Calibri"/>
          <w:lang w:eastAsia="en-US"/>
        </w:rPr>
      </w:r>
    </w:p>
    <w:p>
      <w:pPr>
        <w:pStyle w:val="10533"/>
        <w:pBdr/>
        <w:spacing w:after="120" w:before="0"/>
        <w:ind/>
        <w:jc w:val="center"/>
        <w:rPr>
          <w:rFonts w:eastAsia="Calibri"/>
          <w:lang w:eastAsia="en-US"/>
        </w:rPr>
      </w:pPr>
      <w:r>
        <mc:AlternateContent>
          <mc:Choice Requires="wpg">
            <w:drawing>
              <wp:inline xmlns:wp="http://schemas.openxmlformats.org/drawingml/2006/wordprocessingDrawing" distT="0" distB="0" distL="0" distR="0">
                <wp:extent cx="5940425" cy="3227705"/>
                <wp:effectExtent l="0" t="0" r="0" b="0"/>
                <wp:docPr id="6"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 descr=""/>
                        <pic:cNvPicPr>
                          <a:picLocks noChangeAspect="1"/>
                        </pic:cNvPicPr>
                        <pic:nvPr/>
                      </pic:nvPicPr>
                      <pic:blipFill rotWithShape="1">
                        <a:blip r:embed="rId555"/>
                        <a:stretch/>
                      </pic:blipFill>
                      <pic:spPr bwMode="auto">
                        <a:xfrm>
                          <a:off x="0" y="0"/>
                          <a:ext cx="5940425" cy="322770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67.75pt;height:254.15pt;mso-wrap-distance-left:0.00pt;mso-wrap-distance-top:0.00pt;mso-wrap-distance-right:0.00pt;mso-wrap-distance-bottom:0.00pt;z-index:1;" stroked="false">
                <v:imagedata r:id="rId555" o:title=""/>
                <o:lock v:ext="edit" rotation="t"/>
              </v:shape>
            </w:pict>
          </mc:Fallback>
        </mc:AlternateContent>
      </w:r>
      <w:r>
        <w:rPr>
          <w:rFonts w:eastAsia="Calibri"/>
          <w:lang w:eastAsia="en-US"/>
        </w:rPr>
      </w:r>
    </w:p>
    <w:p>
      <w:pPr>
        <w:pStyle w:val="10533"/>
        <w:pBdr/>
        <w:spacing w:after="120" w:before="0"/>
        <w:ind w:firstLine="567"/>
        <w:jc w:val="center"/>
        <w:rPr>
          <w:rFonts w:eastAsia="Calibri"/>
          <w:lang w:eastAsia="en-US"/>
        </w:rPr>
      </w:pPr>
      <w:r>
        <w:rPr>
          <w:rFonts w:eastAsia="Calibri"/>
          <w:lang w:eastAsia="en-US"/>
        </w:rPr>
        <w:t xml:space="preserve">Рисунок 1.3.2.2. – Схема тепловых сетей </w:t>
      </w:r>
      <w:r>
        <w:rPr>
          <w:rFonts w:eastAsia="Calibri"/>
          <w:lang w:eastAsia="en-US"/>
        </w:rPr>
      </w:r>
    </w:p>
    <w:p>
      <w:pPr>
        <w:pStyle w:val="10533"/>
        <w:pBdr/>
        <w:spacing w:after="120" w:before="0"/>
        <w:ind w:firstLine="567"/>
        <w:jc w:val="center"/>
        <w:rPr>
          <w:rFonts w:eastAsia="Calibri"/>
          <w:lang w:eastAsia="en-US"/>
        </w:rPr>
      </w:pPr>
      <w:r>
        <w:rPr>
          <w:rFonts w:eastAsia="Calibri"/>
          <w:lang w:eastAsia="en-US"/>
        </w:rPr>
      </w:r>
      <w:r>
        <w:rPr>
          <w:rFonts w:eastAsia="Calibri"/>
          <w:lang w:eastAsia="en-US"/>
        </w:rPr>
      </w:r>
    </w:p>
    <w:p>
      <w:pPr>
        <w:pStyle w:val="10533"/>
        <w:pBdr/>
        <w:spacing w:after="120" w:before="0"/>
        <w:ind w:firstLine="567"/>
        <w:jc w:val="center"/>
        <w:rPr>
          <w:rFonts w:eastAsia="Calibri"/>
          <w:lang w:eastAsia="en-US"/>
        </w:rPr>
      </w:pPr>
      <w:r>
        <w:rPr>
          <w:rFonts w:eastAsia="Calibri"/>
          <w:lang w:eastAsia="en-US"/>
        </w:rPr>
      </w:r>
      <w:r>
        <w:rPr>
          <w:rFonts w:eastAsia="Calibri"/>
          <w:lang w:eastAsia="en-US"/>
        </w:rPr>
      </w:r>
    </w:p>
    <w:p>
      <w:pPr>
        <w:pStyle w:val="10533"/>
        <w:pBdr/>
        <w:spacing w:after="120" w:before="0"/>
        <w:ind/>
        <w:jc w:val="center"/>
        <w:rPr>
          <w:rFonts w:eastAsia="Calibri"/>
          <w:lang w:eastAsia="en-US"/>
        </w:rPr>
      </w:pPr>
      <w:r>
        <mc:AlternateContent>
          <mc:Choice Requires="wpg">
            <w:drawing>
              <wp:inline xmlns:wp="http://schemas.openxmlformats.org/drawingml/2006/wordprocessingDrawing" distT="0" distB="0" distL="0" distR="0">
                <wp:extent cx="5940425" cy="3227705"/>
                <wp:effectExtent l="0" t="0" r="0" b="0"/>
                <wp:docPr id="7" name="Изображение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6" descr=""/>
                        <pic:cNvPicPr>
                          <a:picLocks noChangeAspect="1"/>
                        </pic:cNvPicPr>
                        <pic:nvPr/>
                      </pic:nvPicPr>
                      <pic:blipFill rotWithShape="1">
                        <a:blip r:embed="rId556"/>
                        <a:stretch/>
                      </pic:blipFill>
                      <pic:spPr bwMode="auto">
                        <a:xfrm>
                          <a:off x="0" y="0"/>
                          <a:ext cx="5940425" cy="322770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67.75pt;height:254.15pt;mso-wrap-distance-left:0.00pt;mso-wrap-distance-top:0.00pt;mso-wrap-distance-right:0.00pt;mso-wrap-distance-bottom:0.00pt;z-index:1;" stroked="false">
                <v:imagedata r:id="rId556" o:title=""/>
                <o:lock v:ext="edit" rotation="t"/>
              </v:shape>
            </w:pict>
          </mc:Fallback>
        </mc:AlternateContent>
      </w:r>
      <w:r>
        <w:rPr>
          <w:rFonts w:eastAsia="Calibri"/>
          <w:lang w:eastAsia="en-US"/>
        </w:rPr>
      </w:r>
    </w:p>
    <w:p>
      <w:pPr>
        <w:pStyle w:val="10533"/>
        <w:pBdr/>
        <w:spacing w:after="120" w:before="0"/>
        <w:ind w:firstLine="567"/>
        <w:jc w:val="center"/>
        <w:rPr>
          <w:rFonts w:eastAsia="Calibri"/>
          <w:lang w:eastAsia="en-US"/>
        </w:rPr>
      </w:pPr>
      <w:r>
        <w:rPr>
          <w:rFonts w:eastAsia="Calibri"/>
          <w:lang w:eastAsia="en-US"/>
        </w:rPr>
        <w:t xml:space="preserve">Рисунок 1.3.2.3. – Схема тепловых сетей </w:t>
      </w:r>
      <w:r>
        <w:rPr>
          <w:rFonts w:eastAsia="Calibri"/>
          <w:lang w:eastAsia="en-US"/>
        </w:rPr>
      </w:r>
    </w:p>
    <w:p>
      <w:pPr>
        <w:pStyle w:val="10533"/>
        <w:pBdr/>
        <w:spacing w:after="120" w:before="0"/>
        <w:ind w:firstLine="567"/>
        <w:jc w:val="center"/>
        <w:rPr>
          <w:rFonts w:eastAsia="Calibri"/>
          <w:lang w:eastAsia="en-US"/>
        </w:rPr>
      </w:pPr>
      <w:r>
        <w:rPr>
          <w:rFonts w:eastAsia="Calibri"/>
          <w:lang w:eastAsia="en-US"/>
        </w:rPr>
      </w:r>
      <w:r>
        <w:rPr>
          <w:rFonts w:eastAsia="Calibri"/>
          <w:lang w:eastAsia="en-US"/>
        </w:rPr>
      </w:r>
    </w:p>
    <w:p>
      <w:pPr>
        <w:pStyle w:val="10535"/>
        <w:keepNext w:val="true"/>
        <w:widowControl w:val="true"/>
        <w:numPr>
          <w:ilvl w:val="1"/>
          <w:numId w:val="13"/>
        </w:numPr>
        <w:pBdr/>
        <w:tabs>
          <w:tab w:val="left" w:leader="none" w:pos="567"/>
          <w:tab w:val="clear" w:leader="none" w:pos="708"/>
        </w:tabs>
        <w:bidi w:val="false"/>
        <w:spacing w:after="240" w:before="360" w:line="360" w:lineRule="auto"/>
        <w:ind w:right="0" w:hanging="737" w:left="737"/>
        <w:jc w:val="both"/>
        <w:rPr>
          <w:rFonts w:cs="Times New Roman"/>
        </w:rPr>
      </w:pPr>
      <w:r/>
      <w:bookmarkStart w:id="170" w:name="_Toc198483495"/>
      <w:r/>
      <w:bookmarkStart w:id="171" w:name="_Toc166767155"/>
      <w:r/>
      <w:bookmarkStart w:id="172" w:name="_bookmark168"/>
      <w:r/>
      <w:bookmarkEnd w:id="172"/>
      <w:r>
        <w:rPr>
          <w:rFonts w:cs="Times New Roman"/>
        </w:rPr>
        <w:t xml:space="preserve">Параметры тепловых сетей, включая год начала эксплуатации, т</w:t>
      </w:r>
      <w:r>
        <w:rPr>
          <w:rFonts w:cs="Times New Roman"/>
        </w:rPr>
        <w:t xml:space="preserve">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70"/>
      <w:r/>
      <w:bookmarkEnd w:id="171"/>
      <w:r/>
      <w:r>
        <w:rPr>
          <w:rFonts w:cs="Times New Roman"/>
        </w:rPr>
      </w:r>
    </w:p>
    <w:p>
      <w:pPr>
        <w:pStyle w:val="12960"/>
        <w:pBdr/>
        <w:spacing/>
        <w:ind/>
        <w:rPr/>
      </w:pPr>
      <w:r/>
      <w:r>
        <w:t xml:space="preserve">Тепловые сети муниципального образования Астаповское эксплуатирует ООО «АГК» Параметры тепловых се</w:t>
      </w:r>
      <w:r>
        <w:t xml:space="preserve">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представлены в таблицах.</w:t>
      </w:r>
      <w:r/>
    </w:p>
    <w:p>
      <w:pPr>
        <w:pStyle w:val="12960"/>
        <w:pBdr/>
        <w:spacing/>
        <w:ind/>
        <w:rPr/>
      </w:pPr>
      <w:r>
        <w:t xml:space="preserve">Прокладка тепловых сетей смешанная, осуществлена надземным и подземным способом, в двухтрубном исполнении, тупиковая.</w:t>
      </w:r>
      <w:r/>
    </w:p>
    <w:p>
      <w:pPr>
        <w:pStyle w:val="12960"/>
        <w:pBdr/>
        <w:spacing/>
        <w:ind/>
        <w:rPr/>
      </w:pPr>
      <w:r>
        <w:t xml:space="preserve">Система теплопотребления подключена по зависимой схеме. </w:t>
      </w:r>
      <w:r/>
    </w:p>
    <w:p>
      <w:pPr>
        <w:pStyle w:val="12960"/>
        <w:pBdr/>
        <w:spacing/>
        <w:ind/>
        <w:rPr/>
      </w:pPr>
      <w:r>
        <w:t xml:space="preserve">Транспорт тепла от теплоисточников осуществляется по магистральным и распределительным сетям.</w:t>
      </w:r>
      <w:r/>
    </w:p>
    <w:p>
      <w:pPr>
        <w:pStyle w:val="12960"/>
        <w:pBdr/>
        <w:spacing/>
        <w:ind/>
        <w:rPr/>
        <w:sectPr>
          <w:headerReference w:type="default" r:id="rId28"/>
          <w:headerReference w:type="first" r:id="rId29"/>
          <w:footerReference w:type="default" r:id="rId294"/>
          <w:footerReference w:type="first" r:id="rId295"/>
          <w:footnotePr/>
          <w:endnotePr/>
          <w:type w:val="nextPage"/>
          <w:pgSz w:h="16838" w:orient="portrait" w:w="11906"/>
          <w:pgMar w:top="1134" w:right="851" w:bottom="1134" w:left="1701" w:header="567" w:footer="454" w:gutter="0"/>
          <w:cols w:num="1" w:sep="0" w:space="1701" w:equalWidth="1"/>
        </w:sectPr>
      </w:pPr>
      <w:r>
        <w:t xml:space="preserve">Для восприятия температурных удлинений теплопровода и разгрузки труб от температурных напряжений и деформаций используются естественные изменения направления трассы (самокомпенсация) и П-образные компенсаторы.</w:t>
      </w:r>
      <w:r/>
    </w:p>
    <w:p>
      <w:pPr>
        <w:pStyle w:val="10533"/>
        <w:pBdr/>
        <w:spacing w:line="360" w:lineRule="auto"/>
        <w:ind w:firstLine="709"/>
        <w:jc w:val="both"/>
        <w:rPr>
          <w:rFonts w:eastAsia="Calibri"/>
          <w:b/>
          <w:iCs/>
          <w:color w:val="0a0a0c"/>
          <w:lang w:eastAsia="en-US"/>
        </w:rPr>
      </w:pPr>
      <w:r>
        <w:rPr>
          <w:rFonts w:eastAsia="Calibri"/>
          <w:b/>
          <w:iCs/>
          <w:color w:val="0a0a0c"/>
          <w:lang w:eastAsia="en-US"/>
        </w:rPr>
        <w:t xml:space="preserve">Таблица 1.3.3.1 - Общая характеристика тепловых сетей теплосетевых организаций ООО «АГК» в зоне деятельности единой теплоснабжающей организации ООО «АГК» за 2025 год актуализации схемы теплоснабжения</w:t>
      </w:r>
      <w:r>
        <w:rPr>
          <w:rFonts w:eastAsia="Calibri"/>
          <w:b/>
          <w:iCs/>
          <w:color w:val="0a0a0c"/>
          <w:lang w:eastAsia="en-US"/>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494"/>
        <w:gridCol w:w="2721"/>
        <w:gridCol w:w="790"/>
        <w:gridCol w:w="790"/>
        <w:gridCol w:w="790"/>
        <w:gridCol w:w="789"/>
        <w:gridCol w:w="788"/>
        <w:gridCol w:w="790"/>
        <w:gridCol w:w="790"/>
        <w:gridCol w:w="874"/>
        <w:gridCol w:w="876"/>
        <w:gridCol w:w="874"/>
        <w:gridCol w:w="1203"/>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494"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2721" w:type="dxa"/>
            <w:vAlign w:val="center"/>
          </w:tcPr>
          <w:p>
            <w:pPr>
              <w:pStyle w:val="12385"/>
              <w:pBdr/>
              <w:spacing/>
              <w:ind/>
              <w:rPr>
                <w:rFonts w:cs="Times New Roman"/>
                <w:szCs w:val="20"/>
              </w:rPr>
            </w:pPr>
            <w:r>
              <w:rPr>
                <w:szCs w:val="20"/>
              </w:rPr>
              <w:t xml:space="preserve">Условный диаметр, мм</w:t>
            </w:r>
            <w:r>
              <w:rPr>
                <w:rFonts w:cs="Times New Roman"/>
                <w:szCs w:val="20"/>
              </w:rPr>
            </w:r>
          </w:p>
        </w:tc>
        <w:tc>
          <w:tcPr>
            <w:shd w:val="clear" w:color="000000" w:fill="d9d9d9"/>
            <w:tcBorders>
              <w:top w:val="single" w:color="000000" w:sz="4" w:space="0"/>
              <w:bottom w:val="single" w:color="000000" w:sz="4" w:space="0"/>
              <w:right w:val="single" w:color="000000" w:sz="4" w:space="0"/>
            </w:tcBorders>
            <w:tcW w:w="790" w:type="dxa"/>
            <w:vAlign w:val="center"/>
          </w:tcPr>
          <w:p>
            <w:pPr>
              <w:pStyle w:val="12385"/>
              <w:pBdr/>
              <w:spacing/>
              <w:ind/>
              <w:rPr>
                <w:szCs w:val="20"/>
              </w:rPr>
            </w:pPr>
            <w:r>
              <w:rPr>
                <w:szCs w:val="20"/>
              </w:rPr>
              <w:t xml:space="preserve">32</w:t>
            </w:r>
            <w:r>
              <w:rPr>
                <w:szCs w:val="20"/>
              </w:rPr>
            </w:r>
          </w:p>
        </w:tc>
        <w:tc>
          <w:tcPr>
            <w:shd w:val="clear" w:color="000000" w:fill="d9d9d9"/>
            <w:tcBorders>
              <w:top w:val="single" w:color="000000" w:sz="4" w:space="0"/>
              <w:bottom w:val="single" w:color="000000" w:sz="4" w:space="0"/>
              <w:right w:val="single" w:color="000000" w:sz="4" w:space="0"/>
            </w:tcBorders>
            <w:tcW w:w="790" w:type="dxa"/>
            <w:vAlign w:val="center"/>
          </w:tcPr>
          <w:p>
            <w:pPr>
              <w:pStyle w:val="12385"/>
              <w:pBdr/>
              <w:spacing/>
              <w:ind/>
              <w:rPr>
                <w:szCs w:val="20"/>
              </w:rPr>
            </w:pPr>
            <w:r>
              <w:rPr>
                <w:szCs w:val="20"/>
              </w:rPr>
              <w:t xml:space="preserve">40</w:t>
            </w:r>
            <w:r>
              <w:rPr>
                <w:szCs w:val="20"/>
              </w:rPr>
            </w:r>
          </w:p>
        </w:tc>
        <w:tc>
          <w:tcPr>
            <w:shd w:val="clear" w:color="000000" w:fill="d9d9d9"/>
            <w:tcBorders>
              <w:top w:val="single" w:color="000000" w:sz="4" w:space="0"/>
              <w:bottom w:val="single" w:color="000000" w:sz="4" w:space="0"/>
              <w:right w:val="single" w:color="000000" w:sz="4" w:space="0"/>
            </w:tcBorders>
            <w:tcW w:w="790" w:type="dxa"/>
            <w:vAlign w:val="center"/>
          </w:tcPr>
          <w:p>
            <w:pPr>
              <w:pStyle w:val="12385"/>
              <w:pBdr/>
              <w:spacing/>
              <w:ind/>
              <w:rPr/>
            </w:pPr>
            <w:r>
              <w:t xml:space="preserve">45</w:t>
            </w:r>
            <w:r/>
          </w:p>
        </w:tc>
        <w:tc>
          <w:tcPr>
            <w:shd w:val="clear" w:color="000000" w:fill="d9d9d9"/>
            <w:tcBorders>
              <w:top w:val="single" w:color="000000" w:sz="4" w:space="0"/>
              <w:bottom w:val="single" w:color="000000" w:sz="4" w:space="0"/>
              <w:right w:val="single" w:color="000000" w:sz="4" w:space="0"/>
            </w:tcBorders>
            <w:tcW w:w="789" w:type="dxa"/>
            <w:vAlign w:val="center"/>
          </w:tcPr>
          <w:p>
            <w:pPr>
              <w:pStyle w:val="12385"/>
              <w:pBdr/>
              <w:spacing/>
              <w:ind/>
              <w:rPr>
                <w:rFonts w:cs="Times New Roman"/>
                <w:szCs w:val="20"/>
              </w:rPr>
            </w:pPr>
            <w:r>
              <w:rPr>
                <w:szCs w:val="20"/>
              </w:rPr>
              <w:t xml:space="preserve">50</w:t>
            </w:r>
            <w:r>
              <w:rPr>
                <w:rFonts w:cs="Times New Roman"/>
                <w:szCs w:val="20"/>
              </w:rPr>
            </w:r>
          </w:p>
        </w:tc>
        <w:tc>
          <w:tcPr>
            <w:shd w:val="clear" w:color="000000" w:fill="d9d9d9"/>
            <w:tcBorders>
              <w:top w:val="single" w:color="000000" w:sz="4" w:space="0"/>
              <w:bottom w:val="single" w:color="000000" w:sz="4" w:space="0"/>
              <w:right w:val="single" w:color="000000" w:sz="4" w:space="0"/>
            </w:tcBorders>
            <w:tcW w:w="788" w:type="dxa"/>
            <w:vAlign w:val="center"/>
          </w:tcPr>
          <w:p>
            <w:pPr>
              <w:pStyle w:val="12385"/>
              <w:pBdr/>
              <w:spacing/>
              <w:ind/>
              <w:rPr>
                <w:szCs w:val="20"/>
              </w:rPr>
            </w:pPr>
            <w:r>
              <w:rPr>
                <w:szCs w:val="20"/>
              </w:rPr>
              <w:t xml:space="preserve">60</w:t>
            </w:r>
            <w:r>
              <w:rPr>
                <w:szCs w:val="20"/>
              </w:rPr>
            </w:r>
          </w:p>
        </w:tc>
        <w:tc>
          <w:tcPr>
            <w:shd w:val="clear" w:color="000000" w:fill="d9d9d9"/>
            <w:tcBorders>
              <w:top w:val="single" w:color="000000" w:sz="4" w:space="0"/>
              <w:bottom w:val="single" w:color="000000" w:sz="4" w:space="0"/>
              <w:right w:val="single" w:color="000000" w:sz="4" w:space="0"/>
            </w:tcBorders>
            <w:tcW w:w="790" w:type="dxa"/>
            <w:vAlign w:val="center"/>
          </w:tcPr>
          <w:p>
            <w:pPr>
              <w:pStyle w:val="12385"/>
              <w:pBdr/>
              <w:spacing/>
              <w:ind/>
              <w:rPr>
                <w:szCs w:val="20"/>
              </w:rPr>
            </w:pPr>
            <w:r>
              <w:rPr>
                <w:szCs w:val="20"/>
              </w:rPr>
              <w:t xml:space="preserve">65</w:t>
            </w:r>
            <w:r>
              <w:rPr>
                <w:szCs w:val="20"/>
              </w:rPr>
            </w:r>
          </w:p>
        </w:tc>
        <w:tc>
          <w:tcPr>
            <w:shd w:val="clear" w:color="000000" w:fill="d9d9d9"/>
            <w:tcBorders>
              <w:top w:val="single" w:color="000000" w:sz="4" w:space="0"/>
              <w:bottom w:val="single" w:color="000000" w:sz="4" w:space="0"/>
              <w:right w:val="single" w:color="000000" w:sz="4" w:space="0"/>
            </w:tcBorders>
            <w:tcW w:w="790" w:type="dxa"/>
            <w:vAlign w:val="center"/>
          </w:tcPr>
          <w:p>
            <w:pPr>
              <w:pStyle w:val="12385"/>
              <w:pBdr/>
              <w:spacing/>
              <w:ind/>
              <w:rPr>
                <w:szCs w:val="20"/>
              </w:rPr>
            </w:pPr>
            <w:r>
              <w:rPr>
                <w:szCs w:val="20"/>
              </w:rPr>
              <w:t xml:space="preserve">80</w:t>
            </w:r>
            <w:r>
              <w:rPr>
                <w:szCs w:val="20"/>
              </w:rPr>
            </w:r>
          </w:p>
        </w:tc>
        <w:tc>
          <w:tcPr>
            <w:shd w:val="clear" w:color="000000" w:fill="d9d9d9"/>
            <w:tcBorders>
              <w:top w:val="single" w:color="000000" w:sz="4" w:space="0"/>
              <w:bottom w:val="single" w:color="000000" w:sz="4" w:space="0"/>
              <w:right w:val="single" w:color="000000" w:sz="4" w:space="0"/>
            </w:tcBorders>
            <w:tcW w:w="874" w:type="dxa"/>
            <w:vAlign w:val="center"/>
          </w:tcPr>
          <w:p>
            <w:pPr>
              <w:pStyle w:val="12385"/>
              <w:pBdr/>
              <w:spacing/>
              <w:ind/>
              <w:rPr>
                <w:szCs w:val="20"/>
              </w:rPr>
            </w:pPr>
            <w:r>
              <w:rPr>
                <w:szCs w:val="20"/>
              </w:rPr>
              <w:t xml:space="preserve">100</w:t>
            </w:r>
            <w:r>
              <w:rPr>
                <w:szCs w:val="20"/>
              </w:rPr>
            </w:r>
          </w:p>
        </w:tc>
        <w:tc>
          <w:tcPr>
            <w:shd w:val="clear" w:color="000000" w:fill="d9d9d9"/>
            <w:tcBorders>
              <w:top w:val="single" w:color="000000" w:sz="4" w:space="0"/>
              <w:bottom w:val="single" w:color="000000" w:sz="4" w:space="0"/>
              <w:right w:val="single" w:color="000000" w:sz="4" w:space="0"/>
            </w:tcBorders>
            <w:tcW w:w="876" w:type="dxa"/>
            <w:vAlign w:val="center"/>
          </w:tcPr>
          <w:p>
            <w:pPr>
              <w:pStyle w:val="12385"/>
              <w:pBdr/>
              <w:spacing/>
              <w:ind/>
              <w:rPr>
                <w:szCs w:val="20"/>
              </w:rPr>
            </w:pPr>
            <w:r>
              <w:rPr>
                <w:szCs w:val="20"/>
              </w:rPr>
              <w:t xml:space="preserve">125</w:t>
            </w:r>
            <w:r>
              <w:rPr>
                <w:szCs w:val="20"/>
              </w:rPr>
            </w:r>
          </w:p>
        </w:tc>
        <w:tc>
          <w:tcPr>
            <w:shd w:val="clear" w:color="000000" w:fill="d9d9d9"/>
            <w:tcBorders>
              <w:top w:val="single" w:color="000000" w:sz="4" w:space="0"/>
              <w:bottom w:val="single" w:color="000000" w:sz="4" w:space="0"/>
              <w:right w:val="single" w:color="000000" w:sz="4" w:space="0"/>
            </w:tcBorders>
            <w:tcW w:w="874" w:type="dxa"/>
            <w:vAlign w:val="center"/>
          </w:tcPr>
          <w:p>
            <w:pPr>
              <w:pStyle w:val="12385"/>
              <w:pBdr/>
              <w:spacing/>
              <w:ind/>
              <w:rPr>
                <w:szCs w:val="20"/>
              </w:rPr>
            </w:pPr>
            <w:r>
              <w:rPr>
                <w:szCs w:val="20"/>
              </w:rPr>
              <w:t xml:space="preserve">150</w:t>
            </w:r>
            <w:r>
              <w:rPr>
                <w:szCs w:val="20"/>
              </w:rPr>
            </w:r>
          </w:p>
        </w:tc>
        <w:tc>
          <w:tcPr>
            <w:shd w:val="clear" w:color="000000" w:fill="d9d9d9"/>
            <w:tcBorders>
              <w:top w:val="single" w:color="000000" w:sz="4" w:space="0"/>
              <w:bottom w:val="single" w:color="000000" w:sz="4" w:space="0"/>
              <w:right w:val="single" w:color="000000" w:sz="4" w:space="0"/>
            </w:tcBorders>
            <w:tcW w:w="1203" w:type="dxa"/>
            <w:vAlign w:val="center"/>
          </w:tcPr>
          <w:p>
            <w:pPr>
              <w:pStyle w:val="12385"/>
              <w:pBdr/>
              <w:spacing/>
              <w:ind/>
              <w:rPr>
                <w:szCs w:val="20"/>
              </w:rPr>
            </w:pPr>
            <w:r>
              <w:rPr>
                <w:szCs w:val="20"/>
              </w:rPr>
              <w:t xml:space="preserve">Всего</w:t>
            </w:r>
            <w:r>
              <w:rPr>
                <w:szCs w:val="20"/>
              </w:rPr>
            </w:r>
          </w:p>
        </w:tc>
      </w:tr>
      <w:tr>
        <w:trPr>
          <w:trHeight w:val="20"/>
        </w:trPr>
        <w:tc>
          <w:tcPr>
            <w:shd w:val="clear" w:color="000000" w:fill="ffffff"/>
            <w:tcBorders>
              <w:left w:val="single" w:color="000000" w:sz="4" w:space="0"/>
              <w:bottom w:val="single" w:color="000000" w:sz="4" w:space="0"/>
              <w:right w:val="single" w:color="000000" w:sz="4" w:space="0"/>
            </w:tcBorders>
            <w:tcW w:w="2494" w:type="dxa"/>
            <w:vAlign w:val="center"/>
            <w:vMerge w:val="restart"/>
          </w:tcPr>
          <w:p>
            <w:pPr>
              <w:pStyle w:val="12385"/>
              <w:pBdr/>
              <w:spacing/>
              <w:ind/>
              <w:rPr>
                <w:szCs w:val="20"/>
              </w:rPr>
            </w:pPr>
            <w:r>
              <w:rPr>
                <w:szCs w:val="20"/>
              </w:rPr>
              <w:t xml:space="preserve">Котельная №5 д. Ясенки</w:t>
            </w:r>
            <w:r>
              <w:rPr>
                <w:szCs w:val="20"/>
              </w:rPr>
            </w:r>
          </w:p>
        </w:tc>
        <w:tc>
          <w:tcPr>
            <w:shd w:val="clear" w:color="000000" w:fill="ffffff"/>
            <w:tcBorders>
              <w:bottom w:val="single" w:color="000000" w:sz="4" w:space="0"/>
              <w:right w:val="single" w:color="000000" w:sz="4" w:space="0"/>
            </w:tcBorders>
            <w:tcW w:w="2721" w:type="dxa"/>
            <w:vAlign w:val="center"/>
          </w:tcPr>
          <w:p>
            <w:pPr>
              <w:pStyle w:val="12385"/>
              <w:pBdr/>
              <w:spacing/>
              <w:ind/>
              <w:rPr>
                <w:szCs w:val="20"/>
              </w:rPr>
            </w:pPr>
            <w:r>
              <w:rPr>
                <w:szCs w:val="20"/>
              </w:rPr>
              <w:t xml:space="preserve">Протяженность, м</w:t>
            </w:r>
            <w:r>
              <w:rPr>
                <w:szCs w:val="20"/>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40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9"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8"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6"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1203" w:type="dxa"/>
            <w:vAlign w:val="center"/>
          </w:tcPr>
          <w:p>
            <w:pPr>
              <w:pStyle w:val="12385"/>
              <w:pBdr/>
              <w:spacing/>
              <w:ind/>
              <w:rPr>
                <w:sz w:val="18"/>
                <w:szCs w:val="18"/>
              </w:rPr>
            </w:pPr>
            <w:r>
              <w:rPr>
                <w:sz w:val="18"/>
                <w:szCs w:val="18"/>
              </w:rPr>
              <w:t xml:space="preserve">40</w:t>
            </w:r>
            <w:r>
              <w:rPr>
                <w:sz w:val="18"/>
                <w:szCs w:val="18"/>
              </w:rPr>
            </w:r>
          </w:p>
        </w:tc>
      </w:tr>
      <w:tr>
        <w:trPr>
          <w:trHeight w:val="20"/>
        </w:trPr>
        <w:tc>
          <w:tcPr>
            <w:tcBorders>
              <w:left w:val="single" w:color="000000" w:sz="4" w:space="0"/>
              <w:bottom w:val="single" w:color="000000" w:sz="4" w:space="0"/>
              <w:right w:val="single" w:color="000000" w:sz="4" w:space="0"/>
            </w:tcBorders>
            <w:tcW w:w="2494" w:type="dxa"/>
            <w:vAlign w:val="center"/>
            <w:vMerge w:val="continue"/>
          </w:tcPr>
          <w:p>
            <w:pPr>
              <w:pStyle w:val="12385"/>
              <w:pBdr/>
              <w:spacing/>
              <w:ind/>
              <w:rPr>
                <w:szCs w:val="20"/>
              </w:rPr>
            </w:pPr>
            <w:r>
              <w:rPr>
                <w:szCs w:val="20"/>
              </w:rPr>
            </w:r>
            <w:r>
              <w:rPr>
                <w:szCs w:val="20"/>
              </w:rPr>
            </w:r>
          </w:p>
        </w:tc>
        <w:tc>
          <w:tcPr>
            <w:shd w:val="clear" w:color="000000" w:fill="ffffff"/>
            <w:tcBorders>
              <w:bottom w:val="single" w:color="000000" w:sz="4" w:space="0"/>
              <w:right w:val="single" w:color="000000" w:sz="4" w:space="0"/>
            </w:tcBorders>
            <w:tcW w:w="2721" w:type="dxa"/>
            <w:vAlign w:val="center"/>
          </w:tcPr>
          <w:p>
            <w:pPr>
              <w:pStyle w:val="12385"/>
              <w:pBdr/>
              <w:spacing/>
              <w:ind/>
              <w:rPr>
                <w:szCs w:val="20"/>
              </w:rPr>
            </w:pPr>
            <w:r>
              <w:rPr>
                <w:szCs w:val="20"/>
              </w:rPr>
              <w:t xml:space="preserve">Материальная характеристика, м</w:t>
            </w:r>
            <w:r>
              <w:rPr>
                <w:szCs w:val="20"/>
                <w:vertAlign w:val="superscript"/>
              </w:rPr>
              <w:t xml:space="preserve">2</w:t>
            </w:r>
            <w:r>
              <w:rPr>
                <w:szCs w:val="20"/>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3,2</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9"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8"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6"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1203" w:type="dxa"/>
            <w:vAlign w:val="center"/>
          </w:tcPr>
          <w:p>
            <w:pPr>
              <w:pStyle w:val="12385"/>
              <w:pBdr/>
              <w:spacing/>
              <w:ind/>
              <w:rPr>
                <w:sz w:val="18"/>
                <w:szCs w:val="18"/>
              </w:rPr>
            </w:pPr>
            <w:r>
              <w:rPr>
                <w:sz w:val="18"/>
                <w:szCs w:val="18"/>
              </w:rPr>
              <w:t xml:space="preserve">3,2</w:t>
            </w:r>
            <w:r>
              <w:rPr>
                <w:sz w:val="18"/>
                <w:szCs w:val="18"/>
              </w:rPr>
            </w:r>
          </w:p>
        </w:tc>
      </w:tr>
      <w:tr>
        <w:trPr>
          <w:trHeight w:val="20"/>
        </w:trPr>
        <w:tc>
          <w:tcPr>
            <w:shd w:val="clear" w:color="000000" w:fill="ffffff"/>
            <w:tcBorders>
              <w:left w:val="single" w:color="000000" w:sz="4" w:space="0"/>
              <w:bottom w:val="single" w:color="000000" w:sz="4" w:space="0"/>
              <w:right w:val="single" w:color="000000" w:sz="4" w:space="0"/>
            </w:tcBorders>
            <w:tcW w:w="2494" w:type="dxa"/>
            <w:vAlign w:val="center"/>
            <w:vMerge w:val="restart"/>
          </w:tcPr>
          <w:p>
            <w:pPr>
              <w:pStyle w:val="12385"/>
              <w:pBdr/>
              <w:spacing/>
              <w:ind/>
              <w:rPr>
                <w:szCs w:val="20"/>
              </w:rPr>
            </w:pPr>
            <w:r>
              <w:rPr>
                <w:szCs w:val="20"/>
              </w:rPr>
              <w:t xml:space="preserve">Котельная №6 п. Первомайский</w:t>
            </w:r>
            <w:r>
              <w:rPr>
                <w:szCs w:val="20"/>
              </w:rPr>
            </w:r>
          </w:p>
        </w:tc>
        <w:tc>
          <w:tcPr>
            <w:shd w:val="clear" w:color="000000" w:fill="ffffff"/>
            <w:tcBorders>
              <w:bottom w:val="single" w:color="000000" w:sz="4" w:space="0"/>
              <w:right w:val="single" w:color="000000" w:sz="4" w:space="0"/>
            </w:tcBorders>
            <w:tcW w:w="2721" w:type="dxa"/>
            <w:vAlign w:val="center"/>
          </w:tcPr>
          <w:p>
            <w:pPr>
              <w:pStyle w:val="12385"/>
              <w:pBdr/>
              <w:spacing/>
              <w:ind/>
              <w:rPr>
                <w:szCs w:val="20"/>
              </w:rPr>
            </w:pPr>
            <w:r>
              <w:rPr>
                <w:szCs w:val="20"/>
              </w:rPr>
              <w:t xml:space="preserve">Протяженность, м</w:t>
            </w:r>
            <w:r>
              <w:rPr>
                <w:szCs w:val="20"/>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70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9"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8"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6"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1203" w:type="dxa"/>
            <w:vAlign w:val="center"/>
          </w:tcPr>
          <w:p>
            <w:pPr>
              <w:pStyle w:val="12385"/>
              <w:pBdr/>
              <w:spacing/>
              <w:ind/>
              <w:rPr>
                <w:sz w:val="18"/>
                <w:szCs w:val="18"/>
              </w:rPr>
            </w:pPr>
            <w:r>
              <w:rPr>
                <w:sz w:val="18"/>
                <w:szCs w:val="18"/>
              </w:rPr>
              <w:t xml:space="preserve">70</w:t>
            </w:r>
            <w:r>
              <w:rPr>
                <w:sz w:val="18"/>
                <w:szCs w:val="18"/>
              </w:rPr>
            </w:r>
          </w:p>
        </w:tc>
      </w:tr>
      <w:tr>
        <w:trPr>
          <w:trHeight w:val="20"/>
        </w:trPr>
        <w:tc>
          <w:tcPr>
            <w:tcBorders>
              <w:left w:val="single" w:color="000000" w:sz="4" w:space="0"/>
              <w:bottom w:val="single" w:color="000000" w:sz="4" w:space="0"/>
              <w:right w:val="single" w:color="000000" w:sz="4" w:space="0"/>
            </w:tcBorders>
            <w:tcW w:w="2494" w:type="dxa"/>
            <w:vAlign w:val="center"/>
            <w:vMerge w:val="continue"/>
          </w:tcPr>
          <w:p>
            <w:pPr>
              <w:pStyle w:val="12385"/>
              <w:pBdr/>
              <w:spacing/>
              <w:ind/>
              <w:rPr>
                <w:szCs w:val="20"/>
              </w:rPr>
            </w:pPr>
            <w:r>
              <w:rPr>
                <w:szCs w:val="20"/>
              </w:rPr>
            </w:r>
            <w:r>
              <w:rPr>
                <w:szCs w:val="20"/>
              </w:rPr>
            </w:r>
          </w:p>
        </w:tc>
        <w:tc>
          <w:tcPr>
            <w:shd w:val="clear" w:color="000000" w:fill="ffffff"/>
            <w:tcBorders>
              <w:bottom w:val="single" w:color="000000" w:sz="4" w:space="0"/>
              <w:right w:val="single" w:color="000000" w:sz="4" w:space="0"/>
            </w:tcBorders>
            <w:tcW w:w="2721" w:type="dxa"/>
            <w:vAlign w:val="center"/>
          </w:tcPr>
          <w:p>
            <w:pPr>
              <w:pStyle w:val="12385"/>
              <w:pBdr/>
              <w:spacing/>
              <w:ind/>
              <w:rPr>
                <w:szCs w:val="20"/>
              </w:rPr>
            </w:pPr>
            <w:r>
              <w:rPr>
                <w:szCs w:val="20"/>
              </w:rPr>
              <w:t xml:space="preserve">Материальная характеристика, м</w:t>
            </w:r>
            <w:r>
              <w:rPr>
                <w:szCs w:val="20"/>
                <w:vertAlign w:val="superscript"/>
              </w:rPr>
              <w:t xml:space="preserve">2</w:t>
            </w:r>
            <w:r>
              <w:rPr>
                <w:szCs w:val="20"/>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5,6</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9"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8"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6"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1203" w:type="dxa"/>
            <w:vAlign w:val="center"/>
          </w:tcPr>
          <w:p>
            <w:pPr>
              <w:pStyle w:val="12385"/>
              <w:pBdr/>
              <w:spacing/>
              <w:ind/>
              <w:rPr>
                <w:sz w:val="18"/>
                <w:szCs w:val="18"/>
              </w:rPr>
            </w:pPr>
            <w:r>
              <w:rPr>
                <w:sz w:val="18"/>
                <w:szCs w:val="18"/>
              </w:rPr>
              <w:t xml:space="preserve">5,6</w:t>
            </w:r>
            <w:r>
              <w:rPr>
                <w:sz w:val="18"/>
                <w:szCs w:val="18"/>
              </w:rPr>
            </w:r>
          </w:p>
        </w:tc>
      </w:tr>
      <w:tr>
        <w:trPr>
          <w:trHeight w:val="20"/>
        </w:trPr>
        <w:tc>
          <w:tcPr>
            <w:shd w:val="clear" w:color="000000" w:fill="ffffff"/>
            <w:tcBorders>
              <w:left w:val="single" w:color="000000" w:sz="4" w:space="0"/>
              <w:bottom w:val="single" w:color="000000" w:sz="4" w:space="0"/>
              <w:right w:val="single" w:color="000000" w:sz="4" w:space="0"/>
            </w:tcBorders>
            <w:tcW w:w="2494" w:type="dxa"/>
            <w:vAlign w:val="center"/>
            <w:vMerge w:val="restart"/>
          </w:tcPr>
          <w:p>
            <w:pPr>
              <w:pStyle w:val="12385"/>
              <w:pBdr/>
              <w:spacing/>
              <w:ind/>
              <w:rPr>
                <w:szCs w:val="20"/>
              </w:rPr>
            </w:pPr>
            <w:r>
              <w:rPr>
                <w:szCs w:val="20"/>
              </w:rPr>
              <w:t xml:space="preserve">Котельная №7 с. Белый Колодезь</w:t>
            </w:r>
            <w:r>
              <w:rPr>
                <w:szCs w:val="20"/>
              </w:rPr>
            </w:r>
          </w:p>
        </w:tc>
        <w:tc>
          <w:tcPr>
            <w:shd w:val="clear" w:color="000000" w:fill="ffffff"/>
            <w:tcBorders>
              <w:bottom w:val="single" w:color="000000" w:sz="4" w:space="0"/>
              <w:right w:val="single" w:color="000000" w:sz="4" w:space="0"/>
            </w:tcBorders>
            <w:tcW w:w="2721" w:type="dxa"/>
            <w:vAlign w:val="center"/>
          </w:tcPr>
          <w:p>
            <w:pPr>
              <w:pStyle w:val="12385"/>
              <w:pBdr/>
              <w:spacing/>
              <w:ind/>
              <w:rPr>
                <w:szCs w:val="20"/>
              </w:rPr>
            </w:pPr>
            <w:r>
              <w:rPr>
                <w:szCs w:val="20"/>
              </w:rPr>
              <w:t xml:space="preserve">Протяженность, м</w:t>
            </w:r>
            <w:r>
              <w:rPr>
                <w:szCs w:val="20"/>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70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9"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8"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6"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1203" w:type="dxa"/>
            <w:vAlign w:val="center"/>
          </w:tcPr>
          <w:p>
            <w:pPr>
              <w:pStyle w:val="12385"/>
              <w:pBdr/>
              <w:spacing/>
              <w:ind/>
              <w:rPr>
                <w:sz w:val="18"/>
                <w:szCs w:val="18"/>
              </w:rPr>
            </w:pPr>
            <w:r>
              <w:rPr>
                <w:sz w:val="18"/>
                <w:szCs w:val="18"/>
              </w:rPr>
              <w:t xml:space="preserve">70</w:t>
            </w:r>
            <w:r>
              <w:rPr>
                <w:sz w:val="18"/>
                <w:szCs w:val="18"/>
              </w:rPr>
            </w:r>
          </w:p>
        </w:tc>
      </w:tr>
      <w:tr>
        <w:trPr>
          <w:trHeight w:val="20"/>
        </w:trPr>
        <w:tc>
          <w:tcPr>
            <w:tcBorders>
              <w:left w:val="single" w:color="000000" w:sz="4" w:space="0"/>
              <w:bottom w:val="single" w:color="000000" w:sz="4" w:space="0"/>
              <w:right w:val="single" w:color="000000" w:sz="4" w:space="0"/>
            </w:tcBorders>
            <w:tcW w:w="2494" w:type="dxa"/>
            <w:vAlign w:val="center"/>
            <w:vMerge w:val="continue"/>
          </w:tcPr>
          <w:p>
            <w:pPr>
              <w:pStyle w:val="12385"/>
              <w:pBdr/>
              <w:spacing/>
              <w:ind/>
              <w:rPr>
                <w:szCs w:val="20"/>
              </w:rPr>
            </w:pPr>
            <w:r>
              <w:rPr>
                <w:szCs w:val="20"/>
              </w:rPr>
            </w:r>
            <w:r>
              <w:rPr>
                <w:szCs w:val="20"/>
              </w:rPr>
            </w:r>
          </w:p>
        </w:tc>
        <w:tc>
          <w:tcPr>
            <w:shd w:val="clear" w:color="000000" w:fill="ffffff"/>
            <w:tcBorders>
              <w:bottom w:val="single" w:color="000000" w:sz="4" w:space="0"/>
              <w:right w:val="single" w:color="000000" w:sz="4" w:space="0"/>
            </w:tcBorders>
            <w:tcW w:w="2721" w:type="dxa"/>
            <w:vAlign w:val="center"/>
          </w:tcPr>
          <w:p>
            <w:pPr>
              <w:pStyle w:val="12385"/>
              <w:pBdr/>
              <w:spacing/>
              <w:ind/>
              <w:rPr>
                <w:szCs w:val="20"/>
              </w:rPr>
            </w:pPr>
            <w:r>
              <w:rPr>
                <w:szCs w:val="20"/>
              </w:rPr>
              <w:t xml:space="preserve">Материальная характеристика, м</w:t>
            </w:r>
            <w:r>
              <w:rPr>
                <w:szCs w:val="20"/>
                <w:vertAlign w:val="superscript"/>
              </w:rPr>
              <w:t xml:space="preserve">2</w:t>
            </w:r>
            <w:r>
              <w:rPr>
                <w:szCs w:val="20"/>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5,6</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9"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88"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790"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6"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874" w:type="dxa"/>
            <w:vAlign w:val="center"/>
          </w:tcPr>
          <w:p>
            <w:pPr>
              <w:pStyle w:val="12385"/>
              <w:pBdr/>
              <w:spacing/>
              <w:ind/>
              <w:rPr>
                <w:sz w:val="18"/>
                <w:szCs w:val="18"/>
              </w:rPr>
            </w:pPr>
            <w:r>
              <w:rPr>
                <w:sz w:val="18"/>
                <w:szCs w:val="18"/>
              </w:rPr>
              <w:t xml:space="preserve">0</w:t>
            </w:r>
            <w:r>
              <w:rPr>
                <w:sz w:val="18"/>
                <w:szCs w:val="18"/>
              </w:rPr>
            </w:r>
          </w:p>
        </w:tc>
        <w:tc>
          <w:tcPr>
            <w:shd w:val="clear" w:color="000000" w:fill="ffffff"/>
            <w:tcBorders>
              <w:bottom w:val="single" w:color="000000" w:sz="4" w:space="0"/>
              <w:right w:val="single" w:color="000000" w:sz="4" w:space="0"/>
            </w:tcBorders>
            <w:tcW w:w="1203" w:type="dxa"/>
            <w:vAlign w:val="center"/>
          </w:tcPr>
          <w:p>
            <w:pPr>
              <w:pStyle w:val="12385"/>
              <w:pBdr/>
              <w:spacing/>
              <w:ind/>
              <w:rPr>
                <w:sz w:val="18"/>
                <w:szCs w:val="18"/>
              </w:rPr>
            </w:pPr>
            <w:r>
              <w:rPr>
                <w:sz w:val="18"/>
                <w:szCs w:val="18"/>
              </w:rPr>
              <w:t xml:space="preserve">5,6</w:t>
            </w:r>
            <w:r>
              <w:rPr>
                <w:sz w:val="18"/>
                <w:szCs w:val="18"/>
              </w:rPr>
            </w:r>
          </w:p>
        </w:tc>
      </w:tr>
    </w:tbl>
    <w:p>
      <w:pPr>
        <w:pStyle w:val="12385"/>
        <w:pBdr/>
        <w:tabs>
          <w:tab w:val="clear" w:leader="none" w:pos="708"/>
          <w:tab w:val="left" w:leader="none" w:pos="1968"/>
          <w:tab w:val="left" w:leader="none" w:pos="3928"/>
          <w:tab w:val="left" w:leader="none" w:pos="4470"/>
          <w:tab w:val="left" w:leader="none" w:pos="5122"/>
          <w:tab w:val="left" w:leader="none" w:pos="5993"/>
          <w:tab w:val="left" w:leader="none" w:pos="6756"/>
          <w:tab w:val="left" w:leader="none" w:pos="7519"/>
          <w:tab w:val="left" w:leader="none" w:pos="8227"/>
          <w:tab w:val="left" w:leader="none" w:pos="9098"/>
          <w:tab w:val="left" w:leader="none" w:pos="9861"/>
          <w:tab w:val="left" w:leader="none" w:pos="10493"/>
          <w:tab w:val="left" w:leader="none" w:pos="11125"/>
          <w:tab w:val="left" w:leader="none" w:pos="11777"/>
          <w:tab w:val="left" w:leader="none" w:pos="12409"/>
          <w:tab w:val="left" w:leader="none" w:pos="13041"/>
          <w:tab w:val="left" w:leader="none" w:pos="13693"/>
        </w:tabs>
        <w:spacing/>
        <w:ind w:firstLine="0" w:left="113"/>
        <w:jc w:val="left"/>
        <w:rPr>
          <w:rFonts w:cs="Times New Roman"/>
          <w:color w:val="22272f"/>
          <w:sz w:val="18"/>
          <w:szCs w:val="18"/>
        </w:rPr>
      </w:pPr>
      <w:r>
        <w:rPr>
          <w:rFonts w:cs="Times New Roman"/>
          <w:color w:val="464c55"/>
          <w:szCs w:val="20"/>
        </w:rPr>
        <w:tab/>
        <w:tab/>
      </w:r>
      <w:r>
        <w:rPr>
          <w:rFonts w:cs="Times New Roman"/>
          <w:color w:val="22272f"/>
          <w:sz w:val="18"/>
          <w:szCs w:val="18"/>
        </w:rPr>
        <w:tab/>
        <w:tab/>
        <w:tab/>
        <w:tab/>
        <w:tab/>
        <w:tab/>
        <w:tab/>
        <w:tab/>
        <w:tab/>
        <w:tab/>
        <w:tab/>
        <w:tab/>
        <w:tab/>
        <w:tab/>
      </w:r>
      <w:r>
        <w:rPr>
          <w:rFonts w:cs="Times New Roman"/>
          <w:color w:val="22272f"/>
          <w:sz w:val="18"/>
          <w:szCs w:val="18"/>
        </w:rPr>
      </w:r>
    </w:p>
    <w:p>
      <w:pPr>
        <w:pStyle w:val="12960"/>
        <w:pBdr/>
        <w:spacing/>
        <w:ind/>
        <w:rPr/>
      </w:pPr>
      <w:r/>
      <w:r/>
    </w:p>
    <w:p>
      <w:pPr>
        <w:pStyle w:val="12385"/>
        <w:pBdr/>
        <w:tabs>
          <w:tab w:val="clear" w:leader="none" w:pos="708"/>
          <w:tab w:val="left" w:leader="none" w:pos="3231"/>
          <w:tab w:val="left" w:leader="none" w:pos="6635"/>
          <w:tab w:val="left" w:leader="none" w:pos="8205"/>
          <w:tab w:val="left" w:leader="none" w:pos="9699"/>
          <w:tab w:val="left" w:leader="none" w:pos="11263"/>
          <w:tab w:val="left" w:leader="none" w:pos="12970"/>
        </w:tabs>
        <w:spacing/>
        <w:ind w:firstLine="0" w:left="113"/>
        <w:jc w:val="left"/>
        <w:rPr>
          <w:rFonts w:cs="Times New Roman"/>
        </w:rPr>
      </w:pPr>
      <w:r>
        <w:rPr>
          <w:rFonts w:cs="Times New Roman"/>
        </w:rPr>
        <w:tab/>
        <w:tab/>
        <w:tab/>
        <w:tab/>
        <w:tab/>
        <w:tab/>
      </w:r>
      <w:r>
        <w:rPr>
          <w:rFonts w:cs="Times New Roman"/>
        </w:rPr>
      </w:r>
    </w:p>
    <w:p>
      <w:pPr>
        <w:pStyle w:val="12960"/>
        <w:pBdr/>
        <w:spacing/>
        <w:ind/>
        <w:rPr/>
      </w:pPr>
      <w:r/>
      <w:r/>
    </w:p>
    <w:p>
      <w:pPr>
        <w:pStyle w:val="12960"/>
        <w:pBdr/>
        <w:spacing/>
        <w:ind/>
        <w:rPr>
          <w:b/>
          <w:bCs w:val="0"/>
        </w:rPr>
      </w:pPr>
      <w:r>
        <w:rPr>
          <w:b/>
          <w:bCs w:val="0"/>
        </w:rPr>
      </w:r>
      <w:r>
        <w:rPr>
          <w:b/>
          <w:bCs w:val="0"/>
        </w:rPr>
      </w:r>
    </w:p>
    <w:p>
      <w:pPr>
        <w:pStyle w:val="12960"/>
        <w:pBdr/>
        <w:spacing/>
        <w:ind/>
        <w:rPr>
          <w:b/>
          <w:bCs w:val="0"/>
        </w:rPr>
        <w:sectPr>
          <w:headerReference w:type="default" r:id="rId30"/>
          <w:headerReference w:type="first" r:id="rId31"/>
          <w:footerReference w:type="default" r:id="rId296"/>
          <w:footerReference w:type="first" r:id="rId297"/>
          <w:footnotePr/>
          <w:endnotePr/>
          <w:type w:val="nextPage"/>
          <w:pgSz w:h="11906" w:orient="landscape" w:w="16838"/>
          <w:pgMar w:top="1701" w:right="1134" w:bottom="851" w:left="1134" w:header="567" w:footer="454" w:gutter="0"/>
          <w:cols w:num="1" w:sep="0" w:space="1701" w:equalWidth="1"/>
        </w:sectPr>
      </w:pPr>
      <w:r>
        <w:rPr>
          <w:b/>
          <w:bCs w:val="0"/>
        </w:rPr>
      </w:r>
      <w:r>
        <w:rPr>
          <w:b/>
          <w:bCs w:val="0"/>
        </w:rPr>
      </w:r>
    </w:p>
    <w:p>
      <w:pPr>
        <w:pStyle w:val="10535"/>
        <w:keepNext w:val="false"/>
        <w:widowControl w:val="true"/>
        <w:numPr>
          <w:ilvl w:val="1"/>
          <w:numId w:val="13"/>
        </w:numPr>
        <w:pBdr/>
        <w:tabs>
          <w:tab w:val="left" w:leader="none" w:pos="567"/>
          <w:tab w:val="clear" w:leader="none" w:pos="708"/>
        </w:tabs>
        <w:bidi w:val="false"/>
        <w:spacing w:after="240" w:before="360" w:line="360" w:lineRule="auto"/>
        <w:ind w:right="0" w:hanging="737" w:left="737"/>
        <w:jc w:val="both"/>
        <w:rPr>
          <w:rFonts w:cs="Times New Roman"/>
        </w:rPr>
      </w:pPr>
      <w:r/>
      <w:bookmarkStart w:id="184" w:name="_Toc166767156"/>
      <w:r/>
      <w:bookmarkStart w:id="185" w:name="_Toc198483496"/>
      <w:r/>
      <w:bookmarkStart w:id="186" w:name="_Toc84970942"/>
      <w:r/>
      <w:bookmarkStart w:id="187" w:name="_Toc78674705"/>
      <w:r/>
      <w:bookmarkStart w:id="188" w:name="_bookmark180"/>
      <w:r/>
      <w:bookmarkEnd w:id="188"/>
      <w:r>
        <w:rPr>
          <w:rFonts w:cs="Times New Roman"/>
        </w:rPr>
        <w:t xml:space="preserve">Описание типов и количества секционирующей и регулирующей арматуры на тепловых сетях</w:t>
      </w:r>
      <w:bookmarkEnd w:id="184"/>
      <w:r/>
      <w:bookmarkEnd w:id="185"/>
      <w:r/>
      <w:bookmarkEnd w:id="186"/>
      <w:r/>
      <w:bookmarkEnd w:id="187"/>
      <w:r/>
      <w:r>
        <w:rPr>
          <w:rFonts w:cs="Times New Roman"/>
        </w:rPr>
      </w:r>
    </w:p>
    <w:p>
      <w:pPr>
        <w:pStyle w:val="12960"/>
        <w:pBdr/>
        <w:spacing/>
        <w:ind/>
        <w:rPr/>
      </w:pPr>
      <w:r>
        <w:t xml:space="preserve">На тепловых сетях установлена чугунная и стальная ручная клиновая запорно-регулирующая арматура. Расстояние между соседними секционирующими задвижками определяет время опоро</w:t>
      </w:r>
      <w:r>
        <w:t xml:space="preserve">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r/>
    </w:p>
    <w:p>
      <w:pPr>
        <w:pStyle w:val="12960"/>
        <w:pBdr/>
        <w:spacing/>
        <w:ind/>
        <w:rPr/>
      </w:pPr>
      <w:r>
        <w:t xml:space="preserve">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муниципального образования выступают чугунные задвижки. Их количество, соответст</w:t>
      </w:r>
      <w:r>
        <w:t xml:space="preserve">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соответствуют СП 74.13330.2023 «Тепловые сети». В качестве регулирующей арматуры применяются клапаны.</w:t>
      </w:r>
      <w:r/>
    </w:p>
    <w:p>
      <w:pPr>
        <w:pStyle w:val="12960"/>
        <w:pBdr/>
        <w:spacing/>
        <w:ind/>
        <w:rPr/>
      </w:pPr>
      <w:r>
        <w:t xml:space="preserve">В местах ответвлений трубопроводов установлена запорная арматура. Используются стальные, чугунные задвижки. При проектировании систем централизованного теплоснабжения города секционирующая и регулирующая арматура проектом не предусмотрена.</w:t>
      </w:r>
      <w:r/>
    </w:p>
    <w:p>
      <w:pPr>
        <w:pStyle w:val="12960"/>
        <w:pBdr/>
        <w:spacing/>
        <w:ind/>
        <w:rPr/>
      </w:pPr>
      <w:r>
        <w:t xml:space="preserve">Для обслуживания отключающей арматуры при подземной прокладке на сетях установлены теплофикационные камеры.</w:t>
      </w:r>
      <w:r/>
    </w:p>
    <w:p>
      <w:pPr>
        <w:pStyle w:val="12960"/>
        <w:pBdr/>
        <w:spacing/>
        <w:ind/>
        <w:rPr/>
      </w:pPr>
      <w:r>
        <w:t xml:space="preserve">По данным, полученным от р</w:t>
      </w:r>
      <w:r>
        <w:t xml:space="preserve">есурсоснабжающей организации в качестве запорной арматуры, используются – чугунные задвижки марки 30ч6бр. Задвижка чугунная 30ч6бр, фланцевая, параллельная, с выдвижным шпинделем предназначена для установки на трубопроводах в качестве запорного устройства.</w:t>
      </w:r>
      <w:r/>
    </w:p>
    <w:p>
      <w:pPr>
        <w:pStyle w:val="12960"/>
        <w:pBdr/>
        <w:spacing/>
        <w:ind/>
        <w:rPr>
          <w:b/>
        </w:rPr>
      </w:pPr>
      <w:r>
        <w:rPr>
          <w:b/>
        </w:rPr>
        <w:t xml:space="preserve">Таблица 1.3.4.1 - Описание типов и количества секционирующей и регулирующей арматуры на тепловых сетях </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779"/>
        <w:gridCol w:w="4277"/>
        <w:gridCol w:w="2298"/>
      </w:tblGrid>
      <w:tr>
        <w:trPr>
          <w:trHeight w:val="416"/>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779" w:type="dxa"/>
            <w:vAlign w:val="center"/>
          </w:tcPr>
          <w:p>
            <w:pPr>
              <w:pStyle w:val="12385"/>
              <w:pBdr/>
              <w:spacing/>
              <w:ind/>
              <w:rPr>
                <w:rFonts w:cs="Times New Roman"/>
              </w:rPr>
            </w:pPr>
            <w:r>
              <w:rPr>
                <w:rFonts w:cs="Times New Roman"/>
              </w:rPr>
              <w:t xml:space="preserve">Наименование котельной</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277" w:type="dxa"/>
            <w:vAlign w:val="center"/>
          </w:tcPr>
          <w:p>
            <w:pPr>
              <w:pStyle w:val="12385"/>
              <w:pBdr/>
              <w:spacing/>
              <w:ind/>
              <w:rPr>
                <w:rFonts w:cs="Times New Roman"/>
              </w:rPr>
            </w:pPr>
            <w:r>
              <w:rPr>
                <w:rFonts w:cs="Times New Roman"/>
              </w:rPr>
              <w:t xml:space="preserve">Тип секционирующей и регулирующей арматуры (</w:t>
            </w:r>
            <w:r>
              <w:rPr>
                <w:rFonts w:cs="Times New Roman"/>
                <w:color w:val="000000"/>
              </w:rPr>
              <w:t xml:space="preserve">задвижки; затворы; краны, вентили, регулирующая арматура)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298" w:type="dxa"/>
            <w:vAlign w:val="center"/>
          </w:tcPr>
          <w:p>
            <w:pPr>
              <w:pStyle w:val="12385"/>
              <w:pBdr/>
              <w:spacing/>
              <w:ind/>
              <w:rPr>
                <w:rFonts w:cs="Times New Roman"/>
              </w:rPr>
            </w:pPr>
            <w:r>
              <w:rPr>
                <w:rFonts w:cs="Times New Roman"/>
              </w:rPr>
              <w:t xml:space="preserve">Количество, ед.</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2779" w:type="dxa"/>
            <w:vAlign w:val="center"/>
          </w:tcPr>
          <w:p>
            <w:pPr>
              <w:pStyle w:val="12385"/>
              <w:pBdr/>
              <w:spacing/>
              <w:ind/>
              <w:rPr>
                <w:rFonts w:cs="Times New Roman"/>
                <w:color w:val="000000"/>
              </w:rPr>
            </w:pPr>
            <w:r>
              <w:rPr>
                <w:rFonts w:cs="Times New Roman"/>
              </w:rPr>
              <w:t xml:space="preserve">-</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4277" w:type="dxa"/>
            <w:vAlign w:val="center"/>
          </w:tcPr>
          <w:p>
            <w:pPr>
              <w:pStyle w:val="12385"/>
              <w:pBdr/>
              <w:spacing/>
              <w:ind/>
              <w:rPr>
                <w:rFonts w:cs="Times New Roman"/>
              </w:rPr>
            </w:pPr>
            <w:r>
              <w:rPr>
                <w:rFonts w:cs="Times New Roman"/>
              </w:rPr>
              <w:t xml:space="preserve">задвижки</w:t>
            </w:r>
            <w:r>
              <w:rPr>
                <w:rFonts w:cs="Times New Roman"/>
              </w:rPr>
            </w:r>
          </w:p>
        </w:tc>
        <w:tc>
          <w:tcPr>
            <w:tcBorders>
              <w:top w:val="single" w:color="000000" w:sz="4" w:space="0"/>
              <w:left w:val="single" w:color="000000" w:sz="4" w:space="0"/>
              <w:bottom w:val="single" w:color="000000" w:sz="4" w:space="0"/>
              <w:right w:val="single" w:color="000000" w:sz="4" w:space="0"/>
            </w:tcBorders>
            <w:tcW w:w="2298" w:type="dxa"/>
            <w:vAlign w:val="center"/>
          </w:tcPr>
          <w:p>
            <w:pPr>
              <w:pStyle w:val="12385"/>
              <w:pBdr/>
              <w:spacing/>
              <w:ind/>
              <w:rPr>
                <w:rFonts w:cs="Times New Roman"/>
              </w:rPr>
            </w:pPr>
            <w:r>
              <w:rPr>
                <w:rFonts w:cs="Times New Roman"/>
              </w:rPr>
              <w:t xml:space="preserve">н/д</w:t>
            </w:r>
            <w:r>
              <w:rPr>
                <w:rFonts w:cs="Times New Roman"/>
              </w:rPr>
            </w:r>
          </w:p>
        </w:tc>
      </w:tr>
    </w:tbl>
    <w:p>
      <w:pPr>
        <w:pStyle w:val="12960"/>
        <w:pBdr/>
        <w:spacing/>
        <w:ind/>
        <w:rPr/>
      </w:pPr>
      <w:r/>
      <w:r/>
    </w:p>
    <w:p>
      <w:pPr>
        <w:pStyle w:val="10535"/>
        <w:keepNext w:val="true"/>
        <w:widowControl w:val="true"/>
        <w:numPr>
          <w:ilvl w:val="1"/>
          <w:numId w:val="13"/>
        </w:numPr>
        <w:pBdr/>
        <w:bidi w:val="false"/>
        <w:spacing w:after="240" w:before="360" w:line="360" w:lineRule="auto"/>
        <w:ind w:right="0" w:hanging="794" w:left="794"/>
        <w:jc w:val="both"/>
        <w:rPr>
          <w:rFonts w:cs="Times New Roman"/>
        </w:rPr>
      </w:pPr>
      <w:r/>
      <w:bookmarkStart w:id="189" w:name="_Toc475879439"/>
      <w:r/>
      <w:bookmarkStart w:id="190" w:name="_Toc198483497"/>
      <w:r/>
      <w:bookmarkStart w:id="191" w:name="_Toc166767157"/>
      <w:r/>
      <w:bookmarkStart w:id="192" w:name="_Toc84970943"/>
      <w:r/>
      <w:bookmarkStart w:id="193" w:name="_Toc78674706"/>
      <w:r>
        <w:rPr>
          <w:rFonts w:cs="Times New Roman"/>
        </w:rPr>
        <w:t xml:space="preserve">Описание типов и строительных особенностей тепловых камер и павильонов</w:t>
      </w:r>
      <w:bookmarkEnd w:id="189"/>
      <w:r>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190"/>
      <w:r/>
      <w:bookmarkEnd w:id="191"/>
      <w:r/>
      <w:bookmarkEnd w:id="192"/>
      <w:r/>
      <w:bookmarkEnd w:id="193"/>
      <w:r/>
      <w:r>
        <w:rPr>
          <w:rFonts w:cs="Times New Roman"/>
        </w:rPr>
      </w:r>
    </w:p>
    <w:p>
      <w:pPr>
        <w:pStyle w:val="12960"/>
        <w:pBdr/>
        <w:spacing/>
        <w:ind/>
        <w:rPr/>
      </w:pPr>
      <w:r>
        <w:t xml:space="preserve">В систему тепловых сетей муниципального образования Астаповское входят тепловые камеры и смотровые колодцы. </w:t>
      </w:r>
      <w:r/>
    </w:p>
    <w:p>
      <w:pPr>
        <w:pStyle w:val="12960"/>
        <w:pBdr/>
        <w:spacing/>
        <w:ind/>
        <w:rPr/>
      </w:pPr>
      <w:r>
        <w:t xml:space="preserve">Конструкции тепловых камер выполнены по соответствующим чертежам и отвечают требованиям ГОСТ 8020-2016 и ТУ 5855-057-03984346-2006.</w:t>
      </w:r>
      <w:r/>
    </w:p>
    <w:p>
      <w:pPr>
        <w:pStyle w:val="12960"/>
        <w:pBdr/>
        <w:spacing/>
        <w:ind/>
        <w:rPr/>
      </w:pPr>
      <w:r>
        <w:t xml:space="preserve">Тепловые камеры, расположенные на тепловых сетях - железобетонные, с внутренними размерами 1800х2000мм, 2000х2500мм.</w:t>
      </w:r>
      <w:r/>
    </w:p>
    <w:p>
      <w:pPr>
        <w:pStyle w:val="12960"/>
        <w:pBdr/>
        <w:spacing/>
        <w:ind/>
        <w:rPr/>
      </w:pPr>
      <w:r>
        <w:t xml:space="preserve">Тепловые камеры расположены в местах установки обор</w:t>
      </w:r>
      <w:r>
        <w:t xml:space="preserve">удования теплопроводов: задвижек, спускных и воздушных кранов. Тепловые камеры служат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r/>
    </w:p>
    <w:p>
      <w:pPr>
        <w:pStyle w:val="12960"/>
        <w:pBdr/>
        <w:spacing/>
        <w:ind/>
        <w:rPr/>
      </w:pPr>
      <w:r>
        <w:t xml:space="preserve">В качестве запорной 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r/>
    </w:p>
    <w:p>
      <w:pPr>
        <w:pStyle w:val="10535"/>
        <w:keepNext w:val="true"/>
        <w:widowControl w:val="true"/>
        <w:numPr>
          <w:ilvl w:val="1"/>
          <w:numId w:val="13"/>
        </w:numPr>
        <w:pBdr/>
        <w:tabs>
          <w:tab w:val="left" w:leader="none" w:pos="567"/>
          <w:tab w:val="clear" w:leader="none" w:pos="708"/>
        </w:tabs>
        <w:bidi w:val="false"/>
        <w:spacing w:after="240" w:before="360" w:line="360" w:lineRule="auto"/>
        <w:ind w:right="0" w:hanging="737" w:left="737"/>
        <w:jc w:val="both"/>
        <w:rPr>
          <w:rFonts w:cs="Times New Roman"/>
        </w:rPr>
      </w:pPr>
      <w:r/>
      <w:bookmarkStart w:id="194" w:name="_Toc198483498"/>
      <w:r/>
      <w:bookmarkStart w:id="195" w:name="_Toc166767158"/>
      <w:r/>
      <w:bookmarkStart w:id="196" w:name="_Toc78674707"/>
      <w:r/>
      <w:bookmarkStart w:id="197" w:name="_Toc84970944"/>
      <w:r/>
      <w:bookmarkStart w:id="198" w:name="_Toc475879440"/>
      <w:r>
        <w:rPr>
          <w:rFonts w:cs="Times New Roman"/>
        </w:rPr>
        <w:t xml:space="preserve">Описание графиков регулирования отпуска тепла в тепловые сети с анализом их обоснованности</w:t>
      </w:r>
      <w:bookmarkEnd w:id="194"/>
      <w:r/>
      <w:bookmarkEnd w:id="195"/>
      <w:r/>
      <w:bookmarkEnd w:id="196"/>
      <w:r/>
      <w:bookmarkEnd w:id="197"/>
      <w:r/>
      <w:bookmarkEnd w:id="198"/>
      <w:r/>
      <w:r>
        <w:rPr>
          <w:rFonts w:cs="Times New Roman"/>
        </w:rPr>
      </w:r>
    </w:p>
    <w:p>
      <w:pPr>
        <w:pStyle w:val="12960"/>
        <w:pBdr/>
        <w:spacing/>
        <w:ind/>
        <w:rPr/>
      </w:pPr>
      <w:r/>
      <w:r>
        <w:t xml:space="preserve">Система централизованного теплоснабжения поселения запроектирована</w:t>
      </w:r>
      <w:r>
        <w:t xml:space="preserve">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r/>
    </w:p>
    <w:p>
      <w:pPr>
        <w:pStyle w:val="12960"/>
        <w:pBdr/>
        <w:spacing/>
        <w:ind/>
        <w:rPr/>
      </w:pPr>
      <w:r>
        <w:t xml:space="preserve">Все сети теплоснабжения, в Муниципальном образовании Астаповское были спроектированы и построены исходя из температурного графика 95/70 °С.</w:t>
      </w:r>
      <w:r/>
    </w:p>
    <w:p>
      <w:pPr>
        <w:pStyle w:val="12960"/>
        <w:pBdr/>
        <w:spacing/>
        <w:ind/>
        <w:rPr/>
      </w:pPr>
      <w:r>
        <w:t xml:space="preserve">Представленные температурные графики для тепловых сетей за отопительный период имеют значение - 95/70 °С.</w:t>
      </w:r>
      <w:r/>
    </w:p>
    <w:p>
      <w:pPr>
        <w:pStyle w:val="12960"/>
        <w:pBdr/>
        <w:spacing/>
        <w:ind/>
        <w:rPr/>
      </w:pPr>
      <w:r>
        <w:t xml:space="preserve">Данный график был принят на основании технико-экономических расчетов в соответствии со СП 124.13330.2012. «Тепловые сети» (приняты Постановлением Госстроя РФ от 24.06.2003 №110).</w:t>
      </w:r>
      <w:r/>
    </w:p>
    <w:p>
      <w:pPr>
        <w:pStyle w:val="12960"/>
        <w:pBdr/>
        <w:spacing/>
        <w:ind/>
        <w:rPr/>
      </w:pPr>
      <w:r>
        <w:t xml:space="preserve">Регулирование отпуска теплоты осуществляется качественно и по температурному графику 95/70 °С по следующим причинам:</w:t>
      </w:r>
      <w:r/>
    </w:p>
    <w:p>
      <w:pPr>
        <w:pStyle w:val="12960"/>
        <w:pBdr/>
        <w:spacing/>
        <w:ind/>
        <w:rPr/>
      </w:pPr>
      <w:r>
        <w:t xml:space="preserve">присоединение потребителей к тепловым сетям непосредственное без смешения и без регуляторов расхода на вводах;</w:t>
      </w:r>
      <w:r/>
    </w:p>
    <w:p>
      <w:pPr>
        <w:pStyle w:val="12960"/>
        <w:pBdr/>
        <w:spacing/>
        <w:ind/>
        <w:rPr/>
      </w:pPr>
      <w:r>
        <w:t xml:space="preserve">наличие только отопительной нагрузки; экономичная и безопасная работы системы; надежное теплоснабжение потребителей; минимальные затраты на реконструкцию.</w:t>
      </w:r>
      <w:r/>
    </w:p>
    <w:p>
      <w:pPr>
        <w:pStyle w:val="12960"/>
        <w:pBdr/>
        <w:spacing/>
        <w:ind/>
        <w:rPr/>
      </w:pPr>
      <w:r>
        <w:t xml:space="preserve">Утвержденные температурные графики котельных представлены в п. 1.2.7.</w:t>
      </w:r>
      <w:r/>
    </w:p>
    <w:p>
      <w:pPr>
        <w:pStyle w:val="10535"/>
        <w:keepNext w:val="true"/>
        <w:widowControl w:val="true"/>
        <w:numPr>
          <w:ilvl w:val="1"/>
          <w:numId w:val="13"/>
        </w:numPr>
        <w:pBdr/>
        <w:tabs>
          <w:tab w:val="left" w:leader="none" w:pos="567"/>
          <w:tab w:val="clear" w:leader="none" w:pos="708"/>
        </w:tabs>
        <w:bidi w:val="false"/>
        <w:spacing w:after="240" w:before="360" w:line="360" w:lineRule="auto"/>
        <w:ind w:right="0" w:hanging="737" w:left="737"/>
        <w:jc w:val="both"/>
        <w:rPr>
          <w:rFonts w:cs="Times New Roman"/>
        </w:rPr>
      </w:pPr>
      <w:r/>
      <w:bookmarkStart w:id="200" w:name="_Toc475879441"/>
      <w:r/>
      <w:bookmarkStart w:id="201" w:name="_Toc198483499"/>
      <w:r/>
      <w:bookmarkStart w:id="202" w:name="_Toc78674708"/>
      <w:r/>
      <w:bookmarkStart w:id="203" w:name="_Toc84970945"/>
      <w:r/>
      <w:bookmarkStart w:id="204" w:name="_Toc166767159"/>
      <w:r>
        <w:rPr>
          <w:rFonts w:cs="Times New Roman"/>
        </w:rPr>
        <w:t xml:space="preserve">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00"/>
      <w:r/>
      <w:bookmarkEnd w:id="201"/>
      <w:r/>
      <w:bookmarkEnd w:id="202"/>
      <w:r/>
      <w:bookmarkEnd w:id="203"/>
      <w:r/>
      <w:bookmarkEnd w:id="204"/>
      <w:r/>
      <w:r>
        <w:rPr>
          <w:rFonts w:cs="Times New Roman"/>
        </w:rPr>
      </w:r>
    </w:p>
    <w:p>
      <w:pPr>
        <w:pStyle w:val="12960"/>
        <w:pBdr/>
        <w:spacing/>
        <w:ind/>
        <w:rPr/>
      </w:pPr>
      <w:r/>
      <w:r>
        <w:t xml:space="preserve">В соответствии с пунктом 6.2.59 «Правил технической эксплуатации тепловых энергоустановок»:</w:t>
      </w:r>
      <w:r/>
    </w:p>
    <w:p>
      <w:pPr>
        <w:pStyle w:val="12960"/>
        <w:pBdr/>
        <w:spacing/>
        <w:ind/>
        <w:rPr/>
      </w:pPr>
      <w:r>
        <w:t xml:space="preserve">Отклонения от заданного режима на источнике теплоты предусматриваются не более:</w:t>
      </w:r>
      <w:r/>
    </w:p>
    <w:p>
      <w:pPr>
        <w:pStyle w:val="13832"/>
        <w:numPr>
          <w:ilvl w:val="0"/>
          <w:numId w:val="61"/>
        </w:numPr>
        <w:pBdr/>
        <w:spacing/>
        <w:ind w:hanging="284" w:left="1135"/>
        <w:rPr/>
      </w:pPr>
      <w:r>
        <w:t xml:space="preserve">по температуре воды, поступающей в тепловую сеть ± 3 %;</w:t>
      </w:r>
      <w:r/>
    </w:p>
    <w:p>
      <w:pPr>
        <w:pStyle w:val="13832"/>
        <w:numPr>
          <w:ilvl w:val="0"/>
          <w:numId w:val="61"/>
        </w:numPr>
        <w:pBdr/>
        <w:spacing/>
        <w:ind w:hanging="284" w:left="1135"/>
        <w:rPr/>
      </w:pPr>
      <w:r>
        <w:t xml:space="preserve">по давлению в подающем трубопроводе ± 5 %;</w:t>
      </w:r>
      <w:r/>
    </w:p>
    <w:p>
      <w:pPr>
        <w:pStyle w:val="13832"/>
        <w:numPr>
          <w:ilvl w:val="0"/>
          <w:numId w:val="61"/>
        </w:numPr>
        <w:pBdr/>
        <w:spacing/>
        <w:ind w:hanging="284" w:left="1135"/>
        <w:rPr/>
      </w:pPr>
      <w:r>
        <w:t xml:space="preserve">по давлению в обратном трубопроводе ± 0,2 кгс/см. </w:t>
      </w:r>
      <w:r/>
    </w:p>
    <w:p>
      <w:pPr>
        <w:pStyle w:val="12960"/>
        <w:pBdr/>
        <w:spacing/>
        <w:ind/>
        <w:rPr/>
      </w:pPr>
      <w:r>
        <w:t xml:space="preserve">Отклонение фактической среднесуточной температуры обратной воды из тепловой сети может превышать заданным температурным графиком не более чем на +3 %.</w:t>
      </w:r>
      <w:r/>
    </w:p>
    <w:p>
      <w:pPr>
        <w:pStyle w:val="12960"/>
        <w:pBdr/>
        <w:spacing/>
        <w:ind/>
        <w:rPr/>
      </w:pPr>
      <w:r>
        <w:t xml:space="preserve">Понижение фактической температуры обратной воды по сравнению с графиком не лимитируется.</w:t>
      </w:r>
      <w:r/>
    </w:p>
    <w:p>
      <w:pPr>
        <w:pStyle w:val="12960"/>
        <w:pBdr/>
        <w:spacing/>
        <w:ind/>
        <w:rPr/>
      </w:pPr>
      <w:r>
        <w:t xml:space="preserve">Нес</w:t>
      </w:r>
      <w:r>
        <w:t xml:space="preserve">мотря на это, температура теплоносителя обратного трубопровода почти совпадает с фактическими показателями отпуска теплоты. Расхождение по подающему трубопроводу может объясняться критерием различия между скоростями ветра в определенный промежуток времени.</w:t>
      </w:r>
      <w:r/>
    </w:p>
    <w:p>
      <w:pPr>
        <w:pStyle w:val="12960"/>
        <w:pBdr/>
        <w:spacing/>
        <w:ind/>
        <w:rPr/>
      </w:pPr>
      <w:r>
        <w:t xml:space="preserve">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r/>
    </w:p>
    <w:p>
      <w:pPr>
        <w:pStyle w:val="12960"/>
        <w:pBdr/>
        <w:spacing/>
        <w:ind/>
        <w:rPr/>
      </w:pPr>
      <w:r>
        <w:t xml:space="preserve">Данный график был принят на основании технико-экономических расчетов в соответствии со СП 74.13330.2023. «Тепловые сети» (приняты Постановлением Госстроя РФ от 24.06.2003 № 45)</w:t>
      </w:r>
      <w:r/>
    </w:p>
    <w:p>
      <w:pPr>
        <w:pStyle w:val="12960"/>
        <w:pBdr/>
        <w:spacing/>
        <w:ind/>
        <w:rPr/>
      </w:pPr>
      <w:r>
        <w:t xml:space="preserve">Регулирование отпуска теплоты осуществляется качественно и по температурному графику \ по следующим причинам:</w:t>
      </w:r>
      <w:r/>
    </w:p>
    <w:p>
      <w:pPr>
        <w:pStyle w:val="13832"/>
        <w:numPr>
          <w:ilvl w:val="0"/>
          <w:numId w:val="61"/>
        </w:numPr>
        <w:pBdr/>
        <w:spacing/>
        <w:ind w:hanging="284" w:left="1135"/>
        <w:rPr/>
      </w:pPr>
      <w:r>
        <w:t xml:space="preserve"> </w:t>
      </w:r>
      <w:r>
        <w:t xml:space="preserve">присоединение потребителей к тепловым сетям непосредственное без смешения и без регуляторов расхода на вводах;</w:t>
      </w:r>
      <w:r/>
    </w:p>
    <w:p>
      <w:pPr>
        <w:pStyle w:val="13832"/>
        <w:numPr>
          <w:ilvl w:val="0"/>
          <w:numId w:val="61"/>
        </w:numPr>
        <w:pBdr/>
        <w:spacing/>
        <w:ind w:hanging="284" w:left="1135"/>
        <w:rPr/>
      </w:pPr>
      <w:r>
        <w:t xml:space="preserve"> </w:t>
      </w:r>
      <w:r>
        <w:t xml:space="preserve">экономичная и безопасная работы системы;</w:t>
      </w:r>
      <w:r/>
    </w:p>
    <w:p>
      <w:pPr>
        <w:pStyle w:val="13832"/>
        <w:numPr>
          <w:ilvl w:val="0"/>
          <w:numId w:val="61"/>
        </w:numPr>
        <w:pBdr/>
        <w:spacing/>
        <w:ind w:hanging="284" w:left="1135"/>
        <w:rPr/>
      </w:pPr>
      <w:r>
        <w:t xml:space="preserve"> </w:t>
      </w:r>
      <w:r>
        <w:t xml:space="preserve">надежное теплоснабжение потребителей;</w:t>
      </w:r>
      <w:r/>
    </w:p>
    <w:p>
      <w:pPr>
        <w:pStyle w:val="13832"/>
        <w:numPr>
          <w:ilvl w:val="0"/>
          <w:numId w:val="61"/>
        </w:numPr>
        <w:pBdr/>
        <w:spacing/>
        <w:ind w:hanging="284" w:left="1135"/>
        <w:rPr/>
      </w:pPr>
      <w:r>
        <w:t xml:space="preserve"> </w:t>
      </w:r>
      <w:r>
        <w:t xml:space="preserve">минимальные затраты на реконструкцию.</w:t>
      </w:r>
      <w:bookmarkStart w:id="206" w:name="_Toc78674709"/>
      <w:r/>
      <w:bookmarkStart w:id="207" w:name="_Toc166767160"/>
      <w:r/>
      <w:bookmarkStart w:id="208" w:name="_Toc84970946"/>
      <w:r/>
      <w:r/>
    </w:p>
    <w:p>
      <w:pPr>
        <w:pStyle w:val="12960"/>
        <w:pBdr/>
        <w:spacing/>
        <w:ind/>
        <w:rPr/>
      </w:pPr>
      <w:r>
        <w:t xml:space="preserve">На основании анализа ежесуточного журнала наблюдения можно сделать вывод о том, что фактические температурные режимы отпуска тепла в тепловые сети соответствуют установленным температурным графикам качественного регулирования тепловой нагрузки.</w:t>
      </w:r>
      <w:r/>
    </w:p>
    <w:p>
      <w:pPr>
        <w:pStyle w:val="10535"/>
        <w:keepNext w:val="true"/>
        <w:widowControl w:val="true"/>
        <w:numPr>
          <w:ilvl w:val="1"/>
          <w:numId w:val="13"/>
        </w:numPr>
        <w:pBdr/>
        <w:tabs>
          <w:tab w:val="left" w:leader="none" w:pos="567"/>
          <w:tab w:val="clear" w:leader="none" w:pos="708"/>
        </w:tabs>
        <w:bidi w:val="false"/>
        <w:spacing w:after="240" w:before="360" w:line="360" w:lineRule="auto"/>
        <w:ind w:right="0" w:hanging="737" w:left="737"/>
        <w:jc w:val="both"/>
        <w:rPr>
          <w:rFonts w:cs="Times New Roman"/>
        </w:rPr>
      </w:pPr>
      <w:r/>
      <w:bookmarkStart w:id="209" w:name="_Toc475879442"/>
      <w:r/>
      <w:bookmarkStart w:id="210" w:name="_Toc198483500"/>
      <w:r>
        <w:rPr>
          <w:rFonts w:cs="Times New Roman"/>
        </w:rPr>
        <w:t xml:space="preserve">Гидравлические режимы тепловых сетей и пьезометрические графики</w:t>
      </w:r>
      <w:bookmarkEnd w:id="209"/>
      <w:r/>
      <w:bookmarkEnd w:id="206"/>
      <w:r/>
      <w:bookmarkEnd w:id="207"/>
      <w:r/>
      <w:bookmarkEnd w:id="208"/>
      <w:r/>
      <w:bookmarkEnd w:id="210"/>
      <w:r/>
      <w:r>
        <w:rPr>
          <w:rFonts w:cs="Times New Roman"/>
        </w:rPr>
      </w:r>
    </w:p>
    <w:p>
      <w:pPr>
        <w:pStyle w:val="12960"/>
        <w:pBdr/>
        <w:spacing/>
        <w:ind/>
        <w:rPr/>
      </w:pPr>
      <w:r/>
      <w:r>
        <w:t xml:space="preserve">Принятый качественный режим регулирования отпус</w:t>
      </w:r>
      <w:r>
        <w:t xml:space="preserve">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w:t>
      </w:r>
      <w:r>
        <w:t xml:space="preserve">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w:t>
      </w:r>
      <w:r/>
    </w:p>
    <w:p>
      <w:pPr>
        <w:pStyle w:val="12960"/>
        <w:pBdr/>
        <w:spacing/>
        <w:ind/>
        <w:rPr/>
      </w:pPr>
      <w:r>
        <w:t xml:space="preserve">Гидравлические режимы тепловых сетей, присоединённых к котельным, обеспечиваются загрузкой насосного оборудования, установленного на источнике тепловой энергии.</w:t>
      </w:r>
      <w:r/>
    </w:p>
    <w:p>
      <w:pPr>
        <w:pStyle w:val="12960"/>
        <w:pBdr/>
        <w:spacing/>
        <w:ind/>
        <w:rPr>
          <w:b/>
          <w:bCs w:val="0"/>
        </w:rPr>
      </w:pPr>
      <w:r>
        <w:rPr>
          <w:b/>
          <w:bCs w:val="0"/>
        </w:rPr>
        <w:t xml:space="preserve">Таблица 1.3.8.1 - Существующие гидравлические режимы</w:t>
      </w:r>
      <w:r>
        <w:rPr>
          <w:b/>
          <w:bCs w:val="0"/>
        </w:rPr>
      </w:r>
    </w:p>
    <w:tbl>
      <w:tblPr>
        <w:tblInd w:w="0" w:type="dxa"/>
        <w:tblW w:w="5000" w:type="pct"/>
        <w:tblCellMar>
          <w:left w:w="108" w:type="dxa"/>
          <w:top w:w="0" w:type="dxa"/>
          <w:right w:w="108" w:type="dxa"/>
          <w:bottom w:w="0" w:type="dxa"/>
        </w:tblCellMar>
        <w:tblBorders/>
        <w:tblLayout w:type="fixed"/>
        <w:tblLook w:val="01E0" w:firstRow="1" w:lastRow="1" w:firstColumn="1" w:lastColumn="1" w:noHBand="0" w:noVBand="0"/>
      </w:tblPr>
      <w:tblGrid>
        <w:gridCol w:w="4987"/>
        <w:gridCol w:w="2254"/>
        <w:gridCol w:w="2113"/>
      </w:tblGrid>
      <w:tr>
        <w:trPr>
          <w:trHeight w:val="23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987" w:type="dxa"/>
            <w:vAlign w:val="center"/>
          </w:tcPr>
          <w:p>
            <w:pPr>
              <w:pStyle w:val="12385"/>
              <w:pBdr/>
              <w:spacing/>
              <w:ind/>
              <w:rPr>
                <w:rFonts w:cs="Times New Roman"/>
              </w:rPr>
            </w:pPr>
            <w:r>
              <w:rPr>
                <w:rFonts w:cs="Times New Roman"/>
              </w:rPr>
              <w:t xml:space="preserve">Источник</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254" w:type="dxa"/>
            <w:vAlign w:val="center"/>
          </w:tcPr>
          <w:p>
            <w:pPr>
              <w:pStyle w:val="12385"/>
              <w:pBdr/>
              <w:spacing/>
              <w:ind/>
              <w:rPr>
                <w:rFonts w:cs="Times New Roman"/>
              </w:rPr>
            </w:pPr>
            <w:r>
              <w:rPr>
                <w:rFonts w:cs="Times New Roman"/>
              </w:rPr>
              <w:t xml:space="preserve">Давление P</w:t>
            </w:r>
            <w:r>
              <w:rPr>
                <w:rFonts w:cs="Times New Roman"/>
                <w:sz w:val="13"/>
              </w:rPr>
              <w:t xml:space="preserve">1</w:t>
            </w:r>
            <w:r>
              <w:rPr>
                <w:rFonts w:cs="Times New Roman"/>
              </w:rPr>
              <w:t xml:space="preserve">, МПа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113" w:type="dxa"/>
            <w:vAlign w:val="center"/>
          </w:tcPr>
          <w:p>
            <w:pPr>
              <w:pStyle w:val="12385"/>
              <w:pBdr/>
              <w:spacing/>
              <w:ind/>
              <w:rPr>
                <w:rFonts w:cs="Times New Roman"/>
              </w:rPr>
            </w:pPr>
            <w:r>
              <w:rPr>
                <w:rFonts w:cs="Times New Roman"/>
              </w:rPr>
              <w:t xml:space="preserve">Давление P</w:t>
            </w:r>
            <w:r>
              <w:rPr>
                <w:rFonts w:cs="Times New Roman"/>
                <w:sz w:val="13"/>
              </w:rPr>
              <w:t xml:space="preserve">2</w:t>
            </w:r>
            <w:r>
              <w:rPr>
                <w:rFonts w:cs="Times New Roman"/>
              </w:rPr>
              <w:t xml:space="preserve">, МПа</w:t>
            </w:r>
            <w:r>
              <w:rPr>
                <w:rFonts w:cs="Times New Roman"/>
              </w:rPr>
            </w:r>
          </w:p>
        </w:tc>
      </w:tr>
      <w:tr>
        <w:trPr>
          <w:trHeight w:val="230"/>
        </w:trPr>
        <w:tc>
          <w:tcPr>
            <w:tcBorders>
              <w:top w:val="single" w:color="000000" w:sz="4" w:space="0"/>
              <w:left w:val="single" w:color="000000" w:sz="4" w:space="0"/>
              <w:bottom w:val="single" w:color="000000" w:sz="4" w:space="0"/>
              <w:right w:val="single" w:color="000000" w:sz="4" w:space="0"/>
            </w:tcBorders>
            <w:tcW w:w="4987" w:type="dxa"/>
          </w:tcPr>
          <w:p>
            <w:pPr>
              <w:pStyle w:val="12385"/>
              <w:pBdr/>
              <w:spacing/>
              <w:ind/>
              <w:rPr>
                <w:rFonts w:cs="Times New Roman"/>
              </w:rPr>
            </w:pPr>
            <w:r>
              <w:t xml:space="preserve">Котельная №5 д. Ясенки</w:t>
            </w:r>
            <w:r>
              <w:rPr>
                <w:rFonts w:cs="Times New Roman"/>
              </w:rPr>
            </w:r>
          </w:p>
        </w:tc>
        <w:tc>
          <w:tcPr>
            <w:tcBorders>
              <w:top w:val="single" w:color="000000" w:sz="4" w:space="0"/>
              <w:left w:val="single" w:color="000000" w:sz="4" w:space="0"/>
              <w:bottom w:val="single" w:color="000000" w:sz="4" w:space="0"/>
              <w:right w:val="single" w:color="000000" w:sz="4" w:space="0"/>
            </w:tcBorders>
            <w:tcW w:w="2254"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113" w:type="dxa"/>
          </w:tcPr>
          <w:p>
            <w:pPr>
              <w:pStyle w:val="12385"/>
              <w:pBdr/>
              <w:spacing/>
              <w:ind/>
              <w:rPr>
                <w:rFonts w:cs="Times New Roman"/>
              </w:rPr>
            </w:pPr>
            <w:r>
              <w:rPr>
                <w:rFonts w:cs="Times New Roman"/>
              </w:rPr>
              <w:t xml:space="preserve">-</w:t>
            </w:r>
            <w:r>
              <w:rPr>
                <w:rFonts w:cs="Times New Roman"/>
              </w:rPr>
            </w:r>
          </w:p>
        </w:tc>
      </w:tr>
      <w:tr>
        <w:trPr>
          <w:trHeight w:val="230"/>
        </w:trPr>
        <w:tc>
          <w:tcPr>
            <w:tcBorders>
              <w:top w:val="single" w:color="000000" w:sz="4" w:space="0"/>
              <w:left w:val="single" w:color="000000" w:sz="4" w:space="0"/>
              <w:bottom w:val="single" w:color="000000" w:sz="4" w:space="0"/>
              <w:right w:val="single" w:color="000000" w:sz="4" w:space="0"/>
            </w:tcBorders>
            <w:tcW w:w="4987" w:type="dxa"/>
          </w:tcPr>
          <w:p>
            <w:pPr>
              <w:pStyle w:val="12385"/>
              <w:pBdr/>
              <w:spacing/>
              <w:ind/>
              <w:rPr>
                <w:rFonts w:cs="Times New Roman"/>
              </w:rPr>
            </w:pPr>
            <w:r>
              <w:t xml:space="preserve">Котельная №6 п. Первомайский </w:t>
            </w:r>
            <w:r>
              <w:rPr>
                <w:rFonts w:cs="Times New Roman"/>
              </w:rPr>
            </w:r>
          </w:p>
        </w:tc>
        <w:tc>
          <w:tcPr>
            <w:tcBorders>
              <w:top w:val="single" w:color="000000" w:sz="4" w:space="0"/>
              <w:left w:val="single" w:color="000000" w:sz="4" w:space="0"/>
              <w:bottom w:val="single" w:color="000000" w:sz="4" w:space="0"/>
              <w:right w:val="single" w:color="000000" w:sz="4" w:space="0"/>
            </w:tcBorders>
            <w:tcW w:w="2254"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113" w:type="dxa"/>
          </w:tcPr>
          <w:p>
            <w:pPr>
              <w:pStyle w:val="12385"/>
              <w:pBdr/>
              <w:spacing/>
              <w:ind/>
              <w:rPr>
                <w:rFonts w:cs="Times New Roman"/>
              </w:rPr>
            </w:pPr>
            <w:r>
              <w:rPr>
                <w:rFonts w:cs="Times New Roman"/>
              </w:rPr>
              <w:t xml:space="preserve">-</w:t>
            </w:r>
            <w:r>
              <w:rPr>
                <w:rFonts w:cs="Times New Roman"/>
              </w:rPr>
            </w:r>
          </w:p>
        </w:tc>
      </w:tr>
      <w:tr>
        <w:trPr>
          <w:trHeight w:val="230"/>
        </w:trPr>
        <w:tc>
          <w:tcPr>
            <w:tcBorders>
              <w:top w:val="single" w:color="000000" w:sz="4" w:space="0"/>
              <w:left w:val="single" w:color="000000" w:sz="4" w:space="0"/>
              <w:bottom w:val="single" w:color="000000" w:sz="4" w:space="0"/>
              <w:right w:val="single" w:color="000000" w:sz="4" w:space="0"/>
            </w:tcBorders>
            <w:tcW w:w="4987" w:type="dxa"/>
          </w:tcPr>
          <w:p>
            <w:pPr>
              <w:pStyle w:val="12385"/>
              <w:pBdr/>
              <w:spacing/>
              <w:ind/>
              <w:rPr>
                <w:rFonts w:cs="Times New Roman"/>
              </w:rPr>
            </w:pPr>
            <w:r>
              <w:t xml:space="preserve">Котельная №7 с. Белый Колодезь</w:t>
            </w:r>
            <w:r>
              <w:rPr>
                <w:rFonts w:cs="Times New Roman"/>
              </w:rPr>
            </w:r>
          </w:p>
        </w:tc>
        <w:tc>
          <w:tcPr>
            <w:tcBorders>
              <w:top w:val="single" w:color="000000" w:sz="4" w:space="0"/>
              <w:left w:val="single" w:color="000000" w:sz="4" w:space="0"/>
              <w:bottom w:val="single" w:color="000000" w:sz="4" w:space="0"/>
              <w:right w:val="single" w:color="000000" w:sz="4" w:space="0"/>
            </w:tcBorders>
            <w:tcW w:w="2254"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113" w:type="dxa"/>
          </w:tcPr>
          <w:p>
            <w:pPr>
              <w:pStyle w:val="12385"/>
              <w:pBdr/>
              <w:spacing/>
              <w:ind/>
              <w:rPr>
                <w:rFonts w:cs="Times New Roman"/>
              </w:rPr>
            </w:pPr>
            <w:r>
              <w:rPr>
                <w:rFonts w:cs="Times New Roman"/>
              </w:rPr>
              <w:t xml:space="preserve">-</w:t>
            </w:r>
            <w:r>
              <w:rPr>
                <w:rFonts w:cs="Times New Roman"/>
              </w:rPr>
            </w:r>
          </w:p>
        </w:tc>
      </w:tr>
    </w:tbl>
    <w:p>
      <w:pPr>
        <w:pStyle w:val="12960"/>
        <w:pBdr/>
        <w:spacing/>
        <w:ind/>
        <w:rPr/>
      </w:pPr>
      <w:r/>
      <w:r/>
    </w:p>
    <w:p>
      <w:pPr>
        <w:pStyle w:val="12960"/>
        <w:pBdr/>
        <w:spacing/>
        <w:ind/>
        <w:rPr/>
      </w:pPr>
      <w:r>
        <w:t xml:space="preserve">Существующие гидравлические режимы в полной мере обеспечивают передачу теплоносителя до удаленных потребителей.</w:t>
      </w:r>
      <w:r/>
    </w:p>
    <w:p>
      <w:pPr>
        <w:pStyle w:val="12960"/>
        <w:pBdr/>
        <w:spacing/>
        <w:ind/>
        <w:rPr/>
      </w:pPr>
      <w: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r/>
    </w:p>
    <w:p>
      <w:pPr>
        <w:pStyle w:val="12960"/>
        <w:pBdr/>
        <w:spacing/>
        <w:ind/>
        <w:rPr/>
      </w:pPr>
      <w:r>
        <w:t xml:space="preserve">Разработка гидравлических режимов тепловых сетей в ООО «АГК», а также пьезометрических графиков не производилась.</w:t>
      </w:r>
      <w:r/>
    </w:p>
    <w:p>
      <w:pPr>
        <w:pStyle w:val="12960"/>
        <w:pBdr/>
        <w:spacing/>
        <w:ind/>
        <w:rPr/>
      </w:pPr>
      <w:r>
        <w:t xml:space="preserve">На основании наладочных работ было отрегулированы тепловые сети до потребителя, с установкой дроссельных шайб на подающем трубопроводе.</w:t>
      </w:r>
      <w:r/>
    </w:p>
    <w:p>
      <w:pPr>
        <w:pStyle w:val="12960"/>
        <w:pBdr/>
        <w:spacing/>
        <w:ind/>
        <w:rPr/>
      </w:pPr>
      <w:r>
        <w:t xml:space="preserve">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r/>
    </w:p>
    <w:p>
      <w:pPr>
        <w:pStyle w:val="13832"/>
        <w:numPr>
          <w:ilvl w:val="0"/>
          <w:numId w:val="61"/>
        </w:numPr>
        <w:pBdr/>
        <w:spacing/>
        <w:ind w:hanging="284" w:left="1135"/>
        <w:rPr/>
      </w:pPr>
      <w:r>
        <w:t xml:space="preserve">8 мм/м – для магистральных тепловых сетей;</w:t>
      </w:r>
      <w:r/>
    </w:p>
    <w:p>
      <w:pPr>
        <w:pStyle w:val="13832"/>
        <w:numPr>
          <w:ilvl w:val="0"/>
          <w:numId w:val="61"/>
        </w:numPr>
        <w:pBdr/>
        <w:spacing/>
        <w:ind w:hanging="284" w:left="1135"/>
        <w:rPr/>
      </w:pPr>
      <w:r>
        <w:t xml:space="preserve">15 мм/м – для распределительных тепловых сетей;</w:t>
      </w:r>
      <w:r/>
    </w:p>
    <w:p>
      <w:pPr>
        <w:pStyle w:val="13832"/>
        <w:numPr>
          <w:ilvl w:val="0"/>
          <w:numId w:val="61"/>
        </w:numPr>
        <w:pBdr/>
        <w:spacing/>
        <w:ind w:hanging="284" w:left="1135"/>
        <w:rPr/>
      </w:pPr>
      <w:r>
        <w:t xml:space="preserve">30 мм/м – для квартальных тепловых сетей.</w:t>
      </w:r>
      <w:r/>
    </w:p>
    <w:p>
      <w:pPr>
        <w:pStyle w:val="12960"/>
        <w:pBdr/>
        <w:spacing/>
        <w:ind/>
        <w:rPr/>
      </w:pPr>
      <w:r>
        <w:t xml:space="preserve">Превышение рекомендованных значений допускается, однако, это влечет за собой увеличение расхода электроэнергии на привод насосного оборудования.</w:t>
      </w:r>
      <w:r/>
    </w:p>
    <w:p>
      <w:pPr>
        <w:pStyle w:val="12960"/>
        <w:pBdr/>
        <w:spacing/>
        <w:ind/>
        <w:rPr/>
      </w:pPr>
      <w:r>
        <w:t xml:space="preserve">Как и в случае с уде</w:t>
      </w:r>
      <w:r>
        <w:t xml:space="preserve">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r/>
    </w:p>
    <w:p>
      <w:pPr>
        <w:pStyle w:val="12960"/>
        <w:pBdr/>
        <w:spacing/>
        <w:ind/>
        <w:rPr/>
      </w:pPr>
      <w:r>
        <w:t xml:space="preserve">Анализ гидравлических расчетов для систем тепло- и водоснабжения производится на максимально возможную (на расчётную температуру наружной среды) нагрузку потребителей.</w:t>
      </w:r>
      <w:r/>
    </w:p>
    <w:p>
      <w:pPr>
        <w:pStyle w:val="12960"/>
        <w:pBdr/>
        <w:spacing/>
        <w:ind/>
        <w:rPr/>
      </w:pPr>
      <w: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w:t>
      </w:r>
      <w:r>
        <w:t xml:space="preserve">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r/>
    </w:p>
    <w:p>
      <w:pPr>
        <w:pStyle w:val="12960"/>
        <w:pBdr/>
        <w:spacing/>
        <w:ind/>
        <w:rPr/>
      </w:pPr>
      <w:r>
        <w:t xml:space="preserve">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r/>
    </w:p>
    <w:p>
      <w:pPr>
        <w:pStyle w:val="12960"/>
        <w:pBdr/>
        <w:spacing/>
        <w:ind/>
        <w:rPr/>
      </w:pPr>
      <w:r>
        <w:t xml:space="preserve">В зависимости от места осуществления регулирования различают центральное, групповое, местное и индивидуальное регулирование. </w:t>
      </w:r>
      <w:r/>
    </w:p>
    <w:p>
      <w:pPr>
        <w:pStyle w:val="12960"/>
        <w:pBdr/>
        <w:spacing/>
        <w:ind/>
        <w:rPr/>
      </w:pPr>
      <w:r>
        <w:t xml:space="preserve">Центральное регулирование выполняют в источнике теплоснабжения по преобладающей</w:t>
      </w:r>
      <w:r>
        <w:t xml:space="preserve">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r/>
    </w:p>
    <w:p>
      <w:pPr>
        <w:pStyle w:val="12960"/>
        <w:pBdr/>
        <w:spacing/>
        <w:ind/>
        <w:rPr/>
      </w:pPr>
      <w:r>
        <w:t xml:space="preserve">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r/>
    </w:p>
    <w:p>
      <w:pPr>
        <w:pStyle w:val="12960"/>
        <w:pBdr/>
        <w:spacing/>
        <w:ind/>
        <w:rPr/>
      </w:pPr>
      <w:r>
        <w:t xml:space="preserve">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r/>
    </w:p>
    <w:p>
      <w:pPr>
        <w:pStyle w:val="12960"/>
        <w:pBdr/>
        <w:spacing/>
        <w:ind/>
        <w:rPr/>
      </w:pPr>
      <w:r>
        <w:t xml:space="preserve">Тепловая нагрузка многочисленных абонентов современных с</w:t>
      </w:r>
      <w:r>
        <w:t xml:space="preserve">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r/>
    </w:p>
    <w:p>
      <w:pPr>
        <w:pStyle w:val="12960"/>
        <w:pBdr/>
        <w:spacing/>
        <w:ind/>
        <w:rPr/>
      </w:pPr>
      <w:r>
        <w:t xml:space="preserve">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r/>
    </w:p>
    <w:p>
      <w:pPr>
        <w:pStyle w:val="12960"/>
        <w:pBdr/>
        <w:spacing/>
        <w:ind/>
        <w:rPr/>
      </w:pPr>
      <w:r>
        <w:t xml:space="preserve">По способу осуществления регулирование может быть автоматическим и ручным.</w:t>
      </w:r>
      <w:r/>
    </w:p>
    <w:p>
      <w:pPr>
        <w:pStyle w:val="10533"/>
        <w:pBdr/>
        <w:spacing/>
        <w:ind/>
        <w:jc w:val="center"/>
        <w:rPr/>
      </w:pPr>
      <w:r>
        <mc:AlternateContent>
          <mc:Choice Requires="wpg">
            <w:drawing>
              <wp:inline xmlns:wp="http://schemas.openxmlformats.org/drawingml/2006/wordprocessingDrawing" distT="0" distB="0" distL="0" distR="0">
                <wp:extent cx="4497705" cy="1456690"/>
                <wp:effectExtent l="0" t="0" r="0" b="0"/>
                <wp:docPr id="8" name="Рисунок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3" descr=""/>
                        <pic:cNvPicPr>
                          <a:picLocks noChangeAspect="1"/>
                        </pic:cNvPicPr>
                        <pic:nvPr/>
                      </pic:nvPicPr>
                      <pic:blipFill rotWithShape="1">
                        <a:blip r:embed="rId557">
                          <a:extLst>
                            <a:ext uri="{96DAC541-7B7A-43D3-8B79-37D633B846F1}">
                              <asvg:svgBlip xmlns:asvg="http://schemas.microsoft.com/office/drawing/2016/SVG/main" r:embed="rId558"/>
                            </a:ext>
                          </a:extLst>
                        </a:blip>
                        <a:stretch/>
                      </pic:blipFill>
                      <pic:spPr bwMode="auto">
                        <a:xfrm>
                          <a:off x="0" y="0"/>
                          <a:ext cx="4497705" cy="145669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354.15pt;height:114.70pt;mso-wrap-distance-left:0.00pt;mso-wrap-distance-top:0.00pt;mso-wrap-distance-right:0.00pt;mso-wrap-distance-bottom:0.00pt;z-index:1;" stroked="false">
                <v:imagedata r:id="rId557" o:title=""/>
                <o:lock v:ext="edit" rotation="t"/>
              </v:shape>
            </w:pict>
          </mc:Fallback>
        </mc:AlternateContent>
      </w:r>
      <w:r>
        <mc:AlternateContent>
          <mc:Choice Requires="wpg">
            <w:drawing>
              <wp:inline xmlns:wp="http://schemas.openxmlformats.org/drawingml/2006/wordprocessingDrawing" distT="0" distB="0" distL="0" distR="0">
                <wp:extent cx="4497705" cy="1459230"/>
                <wp:effectExtent l="0" t="0" r="0" b="6985"/>
                <wp:docPr id="9" name="Полотно 2"/>
                <wp:cNvGraphicFramePr/>
                <a:graphic xmlns:a="http://schemas.openxmlformats.org/drawingml/2006/main">
                  <a:graphicData uri="http://schemas.microsoft.com/office/word/2010/wordprocessingGroup">
                    <wpg:wgp>
                      <wpg:cNvGrpSpPr/>
                      <wpg:grpSpPr bwMode="auto">
                        <a:xfrm>
                          <a:off x="0" y="0"/>
                          <a:ext cx="4497840" cy="1459080"/>
                          <a:chOff x="0" y="0"/>
                          <a:chExt cx="4497840" cy="1459080"/>
                        </a:xfrm>
                      </wpg:grpSpPr>
                      <wps:wsp>
                        <wps:cNvPr id="10" name=""/>
                        <wps:cNvSpPr/>
                        <wps:spPr bwMode="auto">
                          <a:xfrm>
                            <a:off x="0" y="0"/>
                            <a:ext cx="4497840" cy="1459080"/>
                          </a:xfrm>
                          <a:prstGeom prst="rect">
                            <a:avLst/>
                          </a:prstGeom>
                          <a:noFill/>
                          <a:ln w="0">
                            <a:noFill/>
                          </a:ln>
                        </wps:spPr>
                        <wps:style>
                          <a:lnRef idx="0"/>
                          <a:fillRef idx="0"/>
                          <a:effectRef idx="0"/>
                          <a:fontRef idx="minor"/>
                        </wps:style>
                        <wps:bodyPr rot="0">
                          <a:prstTxWarp prst="textNoShape">
                            <a:avLst/>
                          </a:prstTxWarp>
                          <a:noAutofit/>
                        </wps:bodyPr>
                      </wps:wsp>
                      <pic:pic xmlns:pic="http://schemas.openxmlformats.org/drawingml/2006/picture">
                        <pic:nvPicPr>
                          <pic:cNvPr id="11" name="Picture 4" descr=""/>
                          <pic:cNvPicPr/>
                          <pic:nvPr/>
                        </pic:nvPicPr>
                        <pic:blipFill rotWithShape="1">
                          <a:blip r:embed="rId559"/>
                          <a:stretch/>
                        </pic:blipFill>
                        <pic:spPr bwMode="auto">
                          <a:xfrm>
                            <a:off x="0" y="0"/>
                            <a:ext cx="4497840" cy="1459080"/>
                          </a:xfrm>
                          <a:prstGeom prst="rect">
                            <a:avLst/>
                          </a:prstGeom>
                          <a:noFill/>
                          <a:ln w="0">
                            <a:noFill/>
                          </a:ln>
                        </pic:spPr>
                      </pic:pic>
                    </wpg:wgp>
                  </a:graphicData>
                </a:graphic>
              </wp:inline>
            </w:drawing>
          </mc:Choice>
          <mc:Fallback>
            <w:pict>
              <v:group id="group 8" o:spid="_x0000_s0000" style="width:354.15pt;height:114.90pt;mso-wrap-distance-left:0.00pt;mso-wrap-distance-top:0.00pt;mso-wrap-distance-right:0.00pt;mso-wrap-distance-bottom:0.00pt;" coordorigin="0,0" coordsize="44978,14590">
                <v:shape id="shape 9" o:spid="_x0000_s9" o:spt="1" type="#_x0000_t1" style="position:absolute;left:0;top:0;width:44978;height:14590;visibility:visible;" filled="f" stroked="f" strokeweight="0.00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left:0;top:0;width:44978;height:14590;z-index:1;" stroked="f" strokeweight="0.00pt">
                  <v:imagedata r:id="rId559" o:title=""/>
                  <o:lock v:ext="edit" rotation="t"/>
                </v:shape>
              </v:group>
            </w:pict>
          </mc:Fallback>
        </mc:AlternateContent>
      </w:r>
      <w:r/>
    </w:p>
    <w:p>
      <w:pPr>
        <w:pStyle w:val="12960"/>
        <w:pBdr/>
        <w:spacing/>
        <w:ind/>
        <w:jc w:val="center"/>
        <w:rPr/>
      </w:pPr>
      <w:r>
        <w:t xml:space="preserve">Рисунок 1.3.8.1 - Пьезометрический график тепловой сети при пропорциональной разрегулировке абонентов.</w:t>
      </w:r>
      <w:r/>
    </w:p>
    <w:p>
      <w:pPr>
        <w:pStyle w:val="12960"/>
        <w:pBdr/>
        <w:spacing/>
        <w:ind/>
        <w:rPr/>
      </w:pPr>
      <w:r>
        <w:t xml:space="preserve">Гидравлическим режимом определяется взаимосвязь между расходом теплоносителя и давлением в различных точках системы в данный момент времени.</w:t>
      </w:r>
      <w:r/>
    </w:p>
    <w:p>
      <w:pPr>
        <w:pStyle w:val="12960"/>
        <w:pBdr/>
        <w:spacing/>
        <w:ind/>
        <w:rPr/>
      </w:pPr>
      <w:r>
        <w:t xml:space="preserve">Расчетный гидравлический режим характеризуется распределением теп</w:t>
      </w:r>
      <w:r>
        <w:t xml:space="preserve">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r/>
    </w:p>
    <w:p>
      <w:pPr>
        <w:pStyle w:val="12960"/>
        <w:pBdr/>
        <w:spacing/>
        <w:ind/>
        <w:rPr/>
      </w:pPr>
      <w:r>
        <w:t xml:space="preserve">Однако в процессе эксплуатации расход воды в системе изменяется. Переменный расход вызывается </w:t>
      </w:r>
      <w:r>
        <w:t xml:space="preserve">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w:t>
      </w:r>
      <w:r>
        <w:t xml:space="preserve">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r/>
    </w:p>
    <w:p>
      <w:pPr>
        <w:pStyle w:val="12960"/>
        <w:pBdr/>
        <w:spacing/>
        <w:ind/>
        <w:rPr/>
      </w:pPr>
      <w:r>
        <w:t xml:space="preserve">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r/>
    </w:p>
    <w:p>
      <w:pPr>
        <w:pStyle w:val="12960"/>
        <w:pBdr/>
        <w:spacing/>
        <w:ind/>
        <w:rPr/>
      </w:pPr>
      <w:r>
        <w:t xml:space="preserve">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r/>
    </w:p>
    <w:p>
      <w:pPr>
        <w:pStyle w:val="12960"/>
        <w:pBdr/>
        <w:spacing/>
        <w:ind/>
        <w:jc w:val="center"/>
        <w:rPr/>
      </w:pPr>
      <w:r>
        <w:rPr>
          <w:i/>
        </w:rPr>
        <w:t xml:space="preserve">∆</w:t>
      </w:r>
      <w:r>
        <w:rPr>
          <w:b/>
          <w:i/>
        </w:rPr>
        <w:t xml:space="preserve">Р </w:t>
      </w:r>
      <w:r>
        <w:rPr>
          <w:b/>
        </w:rPr>
        <w:t xml:space="preserve">= S·</w:t>
      </w:r>
      <w:r>
        <w:rPr>
          <w:b/>
          <w:i/>
        </w:rPr>
        <w:t xml:space="preserve">V</w:t>
      </w:r>
      <w:r>
        <w:rPr>
          <w:b/>
          <w:i/>
          <w:vertAlign w:val="superscript"/>
        </w:rPr>
        <w:t xml:space="preserve">2</w:t>
      </w:r>
      <w:r/>
    </w:p>
    <w:p>
      <w:pPr>
        <w:pStyle w:val="12960"/>
        <w:pBdr/>
        <w:spacing/>
        <w:ind/>
        <w:rPr/>
      </w:pPr>
      <w:r>
        <w:t xml:space="preserve">где S — характеристика сопротивления, представляющая собой падение давления при единице расхода теплоносителя, Па/(м</w:t>
      </w:r>
      <w:r>
        <w:rPr>
          <w:vertAlign w:val="superscript"/>
        </w:rPr>
        <w:t xml:space="preserve">3</w:t>
      </w:r>
      <w:r>
        <w:t xml:space="preserve">/ч) 2; V — расход теплоносителя, м</w:t>
      </w:r>
      <w:r>
        <w:rPr>
          <w:vertAlign w:val="superscript"/>
        </w:rPr>
        <w:t xml:space="preserve">3</w:t>
      </w:r>
      <w:r>
        <w:t xml:space="preserve">/ч.</w:t>
      </w:r>
      <w:r/>
    </w:p>
    <w:p>
      <w:pPr>
        <w:pStyle w:val="12960"/>
        <w:pBdr/>
        <w:spacing/>
        <w:ind/>
        <w:rPr/>
      </w:pPr>
      <w:r>
        <w:t xml:space="preserve">Гидравлический режи</w:t>
      </w:r>
      <w:r>
        <w:t xml:space="preserve">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r/>
    </w:p>
    <w:p>
      <w:pPr>
        <w:pStyle w:val="12960"/>
        <w:pBdr/>
        <w:spacing/>
        <w:ind/>
        <w:rPr/>
      </w:pPr>
      <w:r>
        <w:t xml:space="preserve">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r/>
    </w:p>
    <w:p>
      <w:pPr>
        <w:pStyle w:val="10535"/>
        <w:keepNext w:val="true"/>
        <w:widowControl w:val="true"/>
        <w:numPr>
          <w:ilvl w:val="1"/>
          <w:numId w:val="13"/>
        </w:numPr>
        <w:pBdr/>
        <w:tabs>
          <w:tab w:val="left" w:leader="none" w:pos="567"/>
          <w:tab w:val="clear" w:leader="none" w:pos="708"/>
        </w:tabs>
        <w:bidi w:val="false"/>
        <w:spacing w:after="240" w:before="360" w:line="360" w:lineRule="auto"/>
        <w:ind w:right="0" w:hanging="737" w:left="737"/>
        <w:jc w:val="both"/>
        <w:rPr>
          <w:rFonts w:cs="Times New Roman"/>
        </w:rPr>
      </w:pPr>
      <w:r/>
      <w:bookmarkStart w:id="212" w:name="_Toc475879443"/>
      <w:r/>
      <w:bookmarkStart w:id="213" w:name="_Toc78674710"/>
      <w:r/>
      <w:bookmarkStart w:id="214" w:name="_Toc198483501"/>
      <w:r/>
      <w:bookmarkStart w:id="215" w:name="_Toc166767161"/>
      <w:r/>
      <w:bookmarkStart w:id="216" w:name="_Toc84970947"/>
      <w:r>
        <w:rPr>
          <w:rFonts w:cs="Times New Roman"/>
        </w:rPr>
        <w:t xml:space="preserve">Статистика отказов тепловых сетей (аварий, инцидентов) </w:t>
      </w:r>
      <w:bookmarkEnd w:id="212"/>
      <w:r/>
      <w:bookmarkEnd w:id="213"/>
      <w:r/>
      <w:bookmarkEnd w:id="216"/>
      <w:r>
        <w:rPr>
          <w:rFonts w:cs="Times New Roman"/>
        </w:rPr>
        <w:t xml:space="preserve">за последние 5 лет</w:t>
      </w:r>
      <w:bookmarkEnd w:id="214"/>
      <w:r/>
      <w:bookmarkEnd w:id="215"/>
      <w:r/>
      <w:r>
        <w:rPr>
          <w:rFonts w:cs="Times New Roman"/>
        </w:rPr>
      </w:r>
    </w:p>
    <w:p>
      <w:pPr>
        <w:pStyle w:val="12960"/>
        <w:pBdr/>
        <w:spacing/>
        <w:ind/>
        <w:rPr>
          <w:color w:val="auto"/>
          <w:lang w:bidi="en-US"/>
        </w:rPr>
      </w:pPr>
      <w:r>
        <w:rPr>
          <w:color w:val="auto"/>
          <w:lang w:bidi="en-US"/>
        </w:rPr>
        <w:t xml:space="preserve">Применяются следующие понятия.</w:t>
      </w:r>
      <w:r>
        <w:rPr>
          <w:color w:val="auto"/>
          <w:lang w:bidi="en-US"/>
        </w:rPr>
      </w:r>
    </w:p>
    <w:p>
      <w:pPr>
        <w:pStyle w:val="12960"/>
        <w:pBdr/>
        <w:spacing/>
        <w:ind/>
        <w:rPr>
          <w:color w:val="auto"/>
          <w:lang w:bidi="en-US"/>
        </w:rPr>
      </w:pPr>
      <w:r>
        <w:rPr>
          <w:color w:val="auto"/>
          <w:lang w:bidi="en-US"/>
        </w:rPr>
        <w:t xml:space="preserve">«Авария» - повреждение трубопровода тепловой сети, если в период отопительного сезона это привело к перерыву теплоснабжения объектов жилсоцкультбыта на срок 36 часов и более.</w:t>
      </w:r>
      <w:r>
        <w:rPr>
          <w:color w:val="auto"/>
          <w:lang w:bidi="en-US"/>
        </w:rPr>
      </w:r>
    </w:p>
    <w:p>
      <w:pPr>
        <w:pStyle w:val="12960"/>
        <w:pBdr/>
        <w:spacing/>
        <w:ind/>
        <w:rPr>
          <w:color w:val="auto"/>
          <w:lang w:val="en-US" w:bidi="en-US"/>
        </w:rPr>
      </w:pPr>
      <w:r>
        <w:rPr>
          <w:color w:val="auto"/>
          <w:lang w:val="en-US" w:bidi="en-US"/>
        </w:rPr>
        <w:t xml:space="preserve">«Инцидент» это: </w:t>
      </w:r>
      <w:r>
        <w:rPr>
          <w:color w:val="auto"/>
          <w:lang w:val="en-US" w:bidi="en-US"/>
        </w:rPr>
      </w:r>
    </w:p>
    <w:p>
      <w:pPr>
        <w:pStyle w:val="13832"/>
        <w:numPr>
          <w:ilvl w:val="0"/>
          <w:numId w:val="61"/>
        </w:numPr>
        <w:pBdr/>
        <w:spacing/>
        <w:ind w:hanging="284" w:left="1135"/>
        <w:rPr>
          <w:rFonts w:eastAsia="宋体" w:eastAsiaTheme="majorEastAsia"/>
          <w:lang w:bidi="en-US"/>
        </w:rPr>
      </w:pPr>
      <w:r>
        <w:rPr>
          <w:rFonts w:eastAsia="宋体" w:eastAsiaTheme="majorEastAsia"/>
          <w:lang w:bidi="en-US"/>
        </w:rPr>
        <w:t xml:space="preserve">отказ или повреждение оборудования и (или) трубопроводов тепловых сетей;</w:t>
      </w:r>
      <w:r>
        <w:rPr>
          <w:rFonts w:eastAsia="宋体" w:eastAsiaTheme="majorEastAsia"/>
          <w:lang w:bidi="en-US"/>
        </w:rPr>
      </w:r>
    </w:p>
    <w:p>
      <w:pPr>
        <w:pStyle w:val="13832"/>
        <w:numPr>
          <w:ilvl w:val="0"/>
          <w:numId w:val="61"/>
        </w:numPr>
        <w:pBdr/>
        <w:spacing/>
        <w:ind w:hanging="284" w:left="1135"/>
        <w:rPr>
          <w:rFonts w:eastAsia="宋体" w:eastAsiaTheme="majorEastAsia"/>
          <w:lang w:bidi="en-US"/>
        </w:rPr>
      </w:pPr>
      <w:r>
        <w:rPr>
          <w:rFonts w:eastAsia="宋体" w:eastAsiaTheme="majorEastAsia"/>
          <w:lang w:bidi="en-US"/>
        </w:rPr>
        <w:t xml:space="preserve">отклонение от гидравлического или теплового режимов;</w:t>
      </w:r>
      <w:r>
        <w:rPr>
          <w:rFonts w:eastAsia="宋体" w:eastAsiaTheme="majorEastAsia"/>
          <w:lang w:bidi="en-US"/>
        </w:rPr>
      </w:r>
    </w:p>
    <w:p>
      <w:pPr>
        <w:pStyle w:val="13832"/>
        <w:numPr>
          <w:ilvl w:val="0"/>
          <w:numId w:val="61"/>
        </w:numPr>
        <w:pBdr/>
        <w:spacing/>
        <w:ind w:hanging="284" w:left="1135"/>
        <w:rPr>
          <w:rFonts w:eastAsia="宋体" w:eastAsiaTheme="majorEastAsia"/>
          <w:lang w:bidi="en-US"/>
        </w:rPr>
      </w:pPr>
      <w:r>
        <w:rPr>
          <w:rFonts w:eastAsia="宋体" w:eastAsiaTheme="majorEastAsia"/>
          <w:lang w:bidi="en-US"/>
        </w:rPr>
        <w:t xml:space="preserve">нарушение требований федеральных законов и иных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r>
        <w:rPr>
          <w:rFonts w:eastAsia="宋体" w:eastAsiaTheme="majorEastAsia"/>
          <w:lang w:bidi="en-US"/>
        </w:rPr>
      </w:r>
    </w:p>
    <w:p>
      <w:pPr>
        <w:pStyle w:val="12960"/>
        <w:pBdr/>
        <w:spacing/>
        <w:ind/>
        <w:rPr>
          <w:color w:val="auto"/>
          <w:lang w:bidi="en-US"/>
        </w:rPr>
      </w:pPr>
      <w:r>
        <w:rPr>
          <w:color w:val="auto"/>
          <w:lang w:bidi="en-US"/>
        </w:rPr>
        <w:t xml:space="preserve">Все отказы на тепловых сетях классифицируются как инциденты, согласно «Методическим рекоме</w:t>
      </w:r>
      <w:r>
        <w:rPr>
          <w:color w:val="auto"/>
          <w:lang w:bidi="en-US"/>
        </w:rPr>
        <w:t xml:space="preserve">ндациям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утвержденных Приказом Госстроя России от 20.08.2001г. №191.</w:t>
      </w:r>
      <w:r>
        <w:rPr>
          <w:color w:val="auto"/>
          <w:lang w:bidi="en-US"/>
        </w:rPr>
      </w:r>
    </w:p>
    <w:p>
      <w:pPr>
        <w:pStyle w:val="12960"/>
        <w:pBdr/>
        <w:spacing/>
        <w:ind/>
        <w:rPr>
          <w:color w:val="auto"/>
          <w:lang w:bidi="en-US"/>
        </w:rPr>
      </w:pPr>
      <w:r>
        <w:rPr>
          <w:color w:val="auto"/>
          <w:lang w:bidi="en-US"/>
        </w:rPr>
        <w:t xml:space="preserve">Классификация повреждений в системах теплоснабжения на аварии, отказы в работе даны в «Инструкции по рассл</w:t>
      </w:r>
      <w:r>
        <w:rPr>
          <w:color w:val="auto"/>
          <w:lang w:bidi="en-US"/>
        </w:rPr>
        <w:t xml:space="preserve">едованию и учету нарушений в работе энергетических предприятий и организаций системы Минжилкомхоза РСФСР» (М.: ОНТИ АКХ им. К. Д. Памфилова, 1986). Нормы времени на восстановление должны определяться с учетом требований данной инструкции и местных условий.</w:t>
      </w:r>
      <w:r>
        <w:rPr>
          <w:color w:val="auto"/>
          <w:lang w:bidi="en-US"/>
        </w:rPr>
      </w:r>
    </w:p>
    <w:p>
      <w:pPr>
        <w:pStyle w:val="12960"/>
        <w:pBdr/>
        <w:spacing/>
        <w:ind/>
        <w:rPr>
          <w:color w:val="auto"/>
          <w:lang w:bidi="en-US"/>
        </w:rPr>
      </w:pPr>
      <w:r>
        <w:rPr>
          <w:color w:val="auto"/>
          <w:lang w:bidi="en-US"/>
        </w:rPr>
        <w:t xml:space="preserve">Предприятия объединенных котельных и теплов</w:t>
      </w:r>
      <w:r>
        <w:rPr>
          <w:color w:val="auto"/>
          <w:lang w:bidi="en-US"/>
        </w:rPr>
        <w:t xml:space="preserve">ых сетей должны быть оснащены необходимыми машинами и механизмами для проведения восстановительных работ в соответствии с «Табелем оснащения машинами и механизмами эксплуатации котельных установок и тепловых сетей» (М.: ОНТИ АКХ им. К. Д. Памфилова, 1985).</w:t>
      </w:r>
      <w:r>
        <w:rPr>
          <w:color w:val="auto"/>
          <w:lang w:bidi="en-US"/>
        </w:rPr>
      </w:r>
    </w:p>
    <w:p>
      <w:pPr>
        <w:pStyle w:val="12960"/>
        <w:pBdr/>
        <w:spacing/>
        <w:ind/>
        <w:rPr>
          <w:color w:val="auto"/>
          <w:lang w:bidi="en-US"/>
        </w:rPr>
      </w:pPr>
      <w:r>
        <w:rPr>
          <w:color w:val="auto"/>
          <w:lang w:bidi="en-US"/>
        </w:rPr>
        <w:t xml:space="preserve">Нормативное время, необходимое для восстановления тепловой сети, при разрыве трубопровода, полученное на основе обработки статистических данных при канальной прокладке, приведено в таблице ниже.</w:t>
      </w:r>
      <w:r>
        <w:rPr>
          <w:color w:val="auto"/>
          <w:lang w:bidi="en-US"/>
        </w:rPr>
      </w:r>
    </w:p>
    <w:p>
      <w:pPr>
        <w:pStyle w:val="12960"/>
        <w:pBdr/>
        <w:spacing/>
        <w:ind/>
        <w:rPr>
          <w:b/>
          <w:bCs w:val="0"/>
          <w:color w:val="auto"/>
          <w:lang w:bidi="en-US"/>
        </w:rPr>
      </w:pPr>
      <w:r/>
      <w:bookmarkStart w:id="217" w:name="_Toc89262195"/>
      <w:r>
        <w:rPr>
          <w:b/>
          <w:bCs w:val="0"/>
          <w:color w:val="auto"/>
          <w:lang w:bidi="en-US"/>
        </w:rPr>
        <w:t xml:space="preserve">Таблица </w:t>
      </w:r>
      <w:r>
        <w:rPr>
          <w:b/>
          <w:bCs w:val="0"/>
          <w:color w:val="auto"/>
        </w:rPr>
        <w:t xml:space="preserve">1.3.9.1</w:t>
      </w:r>
      <w:r>
        <w:rPr>
          <w:b/>
          <w:bCs w:val="0"/>
          <w:color w:val="auto"/>
          <w:lang w:bidi="en-US"/>
        </w:rPr>
        <w:t xml:space="preserve"> - Нормативное время восстановления тепловой сети</w:t>
      </w:r>
      <w:bookmarkEnd w:id="217"/>
      <w:r/>
      <w:r>
        <w:rPr>
          <w:b/>
          <w:bCs w:val="0"/>
          <w:color w:val="auto"/>
          <w:lang w:bidi="en-US"/>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676"/>
        <w:gridCol w:w="467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676" w:type="dxa"/>
            <w:vAlign w:val="center"/>
          </w:tcPr>
          <w:p>
            <w:pPr>
              <w:pStyle w:val="12385"/>
              <w:pBdr/>
              <w:spacing/>
              <w:ind/>
              <w:rPr>
                <w:rFonts w:cs="Times New Roman"/>
                <w:lang w:val="en-US" w:eastAsia="en-US" w:bidi="en-US"/>
              </w:rPr>
            </w:pPr>
            <w:r>
              <w:rPr>
                <w:rFonts w:cs="Times New Roman"/>
                <w:lang w:val="en-US" w:eastAsia="en-US" w:bidi="en-US"/>
              </w:rPr>
              <w:t xml:space="preserve">Диаметр, мм</w:t>
            </w:r>
            <w:r>
              <w:rPr>
                <w:rFonts w:cs="Times New Roman"/>
                <w:lang w:val="en-US" w:eastAsia="en-US" w:bidi="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val="en-US" w:eastAsia="en-US" w:bidi="en-US"/>
              </w:rPr>
            </w:pPr>
            <w:r>
              <w:rPr>
                <w:rFonts w:cs="Times New Roman"/>
                <w:lang w:val="en-US" w:eastAsia="en-US" w:bidi="en-US"/>
              </w:rPr>
              <w:t xml:space="preserve">Среднее время восстановления</w:t>
            </w:r>
            <w:r>
              <w:rPr>
                <w:rFonts w:cs="Times New Roman"/>
                <w:lang w:val="en-US" w:eastAsia="en-US" w:bidi="en-US"/>
              </w:rPr>
            </w:r>
          </w:p>
        </w:tc>
      </w:tr>
      <w:tr>
        <w:trPr>
          <w:trHeight w:val="20"/>
        </w:trPr>
        <w:tc>
          <w:tcPr>
            <w:tcBorders>
              <w:top w:val="single" w:color="000000" w:sz="4" w:space="0"/>
              <w:left w:val="single" w:color="000000" w:sz="4" w:space="0"/>
              <w:bottom w:val="single" w:color="000000" w:sz="4" w:space="0"/>
              <w:right w:val="single" w:color="000000" w:sz="4" w:space="0"/>
            </w:tcBorders>
            <w:tcW w:w="4676" w:type="dxa"/>
            <w:vAlign w:val="center"/>
          </w:tcPr>
          <w:p>
            <w:pPr>
              <w:pStyle w:val="12385"/>
              <w:pBdr/>
              <w:spacing/>
              <w:ind/>
              <w:rPr>
                <w:rFonts w:cs="Times New Roman"/>
                <w:lang w:val="en-US" w:eastAsia="en-US" w:bidi="en-US"/>
              </w:rPr>
            </w:pPr>
            <w:r>
              <w:rPr>
                <w:rFonts w:cs="Times New Roman"/>
                <w:lang w:val="en-US" w:eastAsia="en-US" w:bidi="en-US"/>
              </w:rPr>
              <w:t xml:space="preserve">100</w:t>
            </w:r>
            <w:r>
              <w:rPr>
                <w:rFonts w:cs="Times New Roman"/>
                <w:lang w:val="en-US" w:eastAsia="en-US" w:bidi="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val="en-US" w:eastAsia="en-US" w:bidi="en-US"/>
              </w:rPr>
            </w:pPr>
            <w:r>
              <w:rPr>
                <w:rFonts w:cs="Times New Roman"/>
                <w:lang w:val="en-US" w:eastAsia="en-US" w:bidi="en-US"/>
              </w:rPr>
              <w:t xml:space="preserve">12,5</w:t>
            </w:r>
            <w:r>
              <w:rPr>
                <w:rFonts w:cs="Times New Roman"/>
                <w:lang w:val="en-US" w:eastAsia="en-US" w:bidi="en-US"/>
              </w:rPr>
            </w:r>
          </w:p>
        </w:tc>
      </w:tr>
      <w:tr>
        <w:trPr>
          <w:trHeight w:val="20"/>
        </w:trPr>
        <w:tc>
          <w:tcPr>
            <w:tcBorders>
              <w:top w:val="single" w:color="000000" w:sz="4" w:space="0"/>
              <w:left w:val="single" w:color="000000" w:sz="4" w:space="0"/>
              <w:bottom w:val="single" w:color="000000" w:sz="4" w:space="0"/>
              <w:right w:val="single" w:color="000000" w:sz="4" w:space="0"/>
            </w:tcBorders>
            <w:tcW w:w="4676" w:type="dxa"/>
            <w:vAlign w:val="center"/>
          </w:tcPr>
          <w:p>
            <w:pPr>
              <w:pStyle w:val="12385"/>
              <w:pBdr/>
              <w:spacing/>
              <w:ind/>
              <w:rPr>
                <w:rFonts w:cs="Times New Roman"/>
                <w:lang w:val="en-US" w:eastAsia="en-US" w:bidi="en-US"/>
              </w:rPr>
            </w:pPr>
            <w:r>
              <w:rPr>
                <w:rFonts w:cs="Times New Roman"/>
                <w:lang w:val="en-US" w:eastAsia="en-US" w:bidi="en-US"/>
              </w:rPr>
              <w:t xml:space="preserve">125-300</w:t>
            </w:r>
            <w:r>
              <w:rPr>
                <w:rFonts w:cs="Times New Roman"/>
                <w:lang w:val="en-US" w:eastAsia="en-US" w:bidi="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val="en-US" w:eastAsia="en-US" w:bidi="en-US"/>
              </w:rPr>
            </w:pPr>
            <w:r>
              <w:rPr>
                <w:rFonts w:cs="Times New Roman"/>
                <w:lang w:val="en-US" w:eastAsia="en-US" w:bidi="en-US"/>
              </w:rPr>
              <w:t xml:space="preserve">17,5</w:t>
            </w:r>
            <w:r>
              <w:rPr>
                <w:rFonts w:cs="Times New Roman"/>
                <w:lang w:val="en-US" w:eastAsia="en-US" w:bidi="en-US"/>
              </w:rPr>
            </w:r>
          </w:p>
        </w:tc>
      </w:tr>
      <w:tr>
        <w:trPr>
          <w:trHeight w:val="20"/>
        </w:trPr>
        <w:tc>
          <w:tcPr>
            <w:tcBorders>
              <w:top w:val="single" w:color="000000" w:sz="4" w:space="0"/>
              <w:left w:val="single" w:color="000000" w:sz="4" w:space="0"/>
              <w:bottom w:val="single" w:color="000000" w:sz="4" w:space="0"/>
              <w:right w:val="single" w:color="000000" w:sz="4" w:space="0"/>
            </w:tcBorders>
            <w:tcW w:w="4676" w:type="dxa"/>
            <w:vAlign w:val="center"/>
          </w:tcPr>
          <w:p>
            <w:pPr>
              <w:pStyle w:val="12385"/>
              <w:pBdr/>
              <w:spacing/>
              <w:ind/>
              <w:rPr>
                <w:rFonts w:cs="Times New Roman"/>
                <w:lang w:val="en-US" w:eastAsia="en-US" w:bidi="en-US"/>
              </w:rPr>
            </w:pPr>
            <w:r>
              <w:rPr>
                <w:rFonts w:cs="Times New Roman"/>
                <w:lang w:val="en-US" w:eastAsia="en-US" w:bidi="en-US"/>
              </w:rPr>
              <w:t xml:space="preserve">350-500</w:t>
            </w:r>
            <w:r>
              <w:rPr>
                <w:rFonts w:cs="Times New Roman"/>
                <w:lang w:val="en-US" w:eastAsia="en-US" w:bidi="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val="en-US" w:eastAsia="en-US" w:bidi="en-US"/>
              </w:rPr>
            </w:pPr>
            <w:r>
              <w:rPr>
                <w:rFonts w:cs="Times New Roman"/>
                <w:lang w:val="en-US" w:eastAsia="en-US" w:bidi="en-US"/>
              </w:rPr>
              <w:t xml:space="preserve">17,5</w:t>
            </w:r>
            <w:r>
              <w:rPr>
                <w:rFonts w:cs="Times New Roman"/>
                <w:lang w:val="en-US" w:eastAsia="en-US" w:bidi="en-US"/>
              </w:rPr>
            </w:r>
          </w:p>
        </w:tc>
      </w:tr>
      <w:tr>
        <w:trPr>
          <w:trHeight w:val="20"/>
        </w:trPr>
        <w:tc>
          <w:tcPr>
            <w:tcBorders>
              <w:top w:val="single" w:color="000000" w:sz="4" w:space="0"/>
              <w:left w:val="single" w:color="000000" w:sz="4" w:space="0"/>
              <w:bottom w:val="single" w:color="000000" w:sz="4" w:space="0"/>
              <w:right w:val="single" w:color="000000" w:sz="4" w:space="0"/>
            </w:tcBorders>
            <w:tcW w:w="4676" w:type="dxa"/>
            <w:vAlign w:val="center"/>
          </w:tcPr>
          <w:p>
            <w:pPr>
              <w:pStyle w:val="12385"/>
              <w:pBdr/>
              <w:spacing/>
              <w:ind/>
              <w:rPr>
                <w:rFonts w:cs="Times New Roman"/>
                <w:lang w:val="en-US" w:eastAsia="en-US" w:bidi="en-US"/>
              </w:rPr>
            </w:pPr>
            <w:r>
              <w:rPr>
                <w:rFonts w:cs="Times New Roman"/>
                <w:lang w:val="en-US" w:eastAsia="en-US" w:bidi="en-US"/>
              </w:rPr>
              <w:t xml:space="preserve">600-700</w:t>
            </w:r>
            <w:r>
              <w:rPr>
                <w:rFonts w:cs="Times New Roman"/>
                <w:lang w:val="en-US" w:eastAsia="en-US" w:bidi="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val="en-US" w:eastAsia="en-US" w:bidi="en-US"/>
              </w:rPr>
            </w:pPr>
            <w:r>
              <w:rPr>
                <w:rFonts w:cs="Times New Roman"/>
                <w:lang w:val="en-US" w:eastAsia="en-US" w:bidi="en-US"/>
              </w:rPr>
              <w:t xml:space="preserve">19</w:t>
            </w:r>
            <w:r>
              <w:rPr>
                <w:rFonts w:cs="Times New Roman"/>
                <w:lang w:val="en-US" w:eastAsia="en-US" w:bidi="en-US"/>
              </w:rPr>
            </w:r>
          </w:p>
        </w:tc>
      </w:tr>
      <w:tr>
        <w:trPr>
          <w:trHeight w:val="20"/>
        </w:trPr>
        <w:tc>
          <w:tcPr>
            <w:tcBorders>
              <w:top w:val="single" w:color="000000" w:sz="4" w:space="0"/>
              <w:left w:val="single" w:color="000000" w:sz="4" w:space="0"/>
              <w:bottom w:val="single" w:color="000000" w:sz="4" w:space="0"/>
              <w:right w:val="single" w:color="000000" w:sz="4" w:space="0"/>
            </w:tcBorders>
            <w:tcW w:w="4676" w:type="dxa"/>
            <w:vAlign w:val="center"/>
          </w:tcPr>
          <w:p>
            <w:pPr>
              <w:pStyle w:val="12385"/>
              <w:pBdr/>
              <w:spacing/>
              <w:ind/>
              <w:rPr>
                <w:rFonts w:cs="Times New Roman"/>
                <w:lang w:val="en-US" w:eastAsia="en-US" w:bidi="en-US"/>
              </w:rPr>
            </w:pPr>
            <w:r>
              <w:rPr>
                <w:rFonts w:cs="Times New Roman"/>
                <w:lang w:val="en-US" w:eastAsia="en-US" w:bidi="en-US"/>
              </w:rPr>
              <w:t xml:space="preserve">800-900</w:t>
            </w:r>
            <w:r>
              <w:rPr>
                <w:rFonts w:cs="Times New Roman"/>
                <w:lang w:val="en-US" w:eastAsia="en-US" w:bidi="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val="en-US" w:eastAsia="en-US" w:bidi="en-US"/>
              </w:rPr>
            </w:pPr>
            <w:r>
              <w:rPr>
                <w:rFonts w:cs="Times New Roman"/>
                <w:lang w:val="en-US" w:eastAsia="en-US" w:bidi="en-US"/>
              </w:rPr>
              <w:t xml:space="preserve">27,2</w:t>
            </w:r>
            <w:r>
              <w:rPr>
                <w:rFonts w:cs="Times New Roman"/>
                <w:lang w:val="en-US" w:eastAsia="en-US" w:bidi="en-US"/>
              </w:rPr>
            </w:r>
          </w:p>
        </w:tc>
      </w:tr>
    </w:tbl>
    <w:p>
      <w:pPr>
        <w:pStyle w:val="12960"/>
        <w:pBdr/>
        <w:spacing/>
        <w:ind/>
        <w:rPr>
          <w:color w:val="auto"/>
          <w:lang w:bidi="en-US"/>
        </w:rPr>
      </w:pPr>
      <w:r>
        <w:rPr>
          <w:color w:val="auto"/>
          <w:lang w:bidi="en-US"/>
        </w:rPr>
        <w:t xml:space="preserve">Диагностика тепловых сетей проводится во время подготовки к ОЗП – проводятся гидравлические испытания тепловых сетей, на основании испытаний планируются капитальные ремонты.</w:t>
      </w:r>
      <w:r>
        <w:rPr>
          <w:color w:val="auto"/>
          <w:lang w:bidi="en-US"/>
        </w:rPr>
      </w:r>
    </w:p>
    <w:p>
      <w:pPr>
        <w:pStyle w:val="12960"/>
        <w:pBdr/>
        <w:spacing/>
        <w:ind/>
        <w:rPr/>
      </w:pPr>
      <w:r>
        <w:rPr>
          <w:color w:val="auto"/>
          <w:lang w:bidi="en-US"/>
        </w:rPr>
        <w:t xml:space="preserve">В результате гидравлической опрессовки тепловых сетей, проводимо</w:t>
      </w:r>
      <w:r>
        <w:rPr>
          <w:color w:val="auto"/>
          <w:lang w:bidi="en-US"/>
        </w:rPr>
        <w:t xml:space="preserve">й после окончания отопительного периода, выявляются аварийные участки тепловых сетей и проводятся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r/>
    </w:p>
    <w:p>
      <w:pPr>
        <w:pStyle w:val="12960"/>
        <w:pBdr/>
        <w:spacing/>
        <w:ind/>
        <w:rPr/>
      </w:pPr>
      <w:r>
        <w:t xml:space="preserve">На тепловых сетях ООО «АГК» проводят испытания на плотность и прочность в соответствии с «Правилами устройства и безопасной эксплу</w:t>
      </w:r>
      <w:r>
        <w:t xml:space="preserve">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r/>
    </w:p>
    <w:p>
      <w:pPr>
        <w:pStyle w:val="12960"/>
        <w:pBdr/>
        <w:spacing/>
        <w:ind/>
        <w:rPr/>
      </w:pPr>
      <w: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w:t>
      </w:r>
      <w:r>
        <w:t xml:space="preserve">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 </w:t>
      </w:r>
      <w:r/>
    </w:p>
    <w:p>
      <w:pPr>
        <w:pStyle w:val="12960"/>
        <w:pBdr/>
        <w:spacing/>
        <w:ind/>
        <w:rPr>
          <w:sz w:val="18"/>
          <w:szCs w:val="18"/>
        </w:rPr>
      </w:pPr>
      <w: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r>
        <w:rPr>
          <w:sz w:val="18"/>
          <w:szCs w:val="18"/>
        </w:rPr>
      </w:r>
    </w:p>
    <w:p>
      <w:pPr>
        <w:pStyle w:val="12960"/>
        <w:pBdr/>
        <w:spacing/>
        <w:ind/>
        <w:rPr/>
      </w:pPr>
      <w:r>
        <w:t xml:space="preserve">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r/>
    </w:p>
    <w:p>
      <w:pPr>
        <w:pStyle w:val="12960"/>
        <w:pBdr/>
        <w:spacing/>
        <w:ind/>
        <w:rPr/>
      </w:pPr>
      <w:r>
        <w:t xml:space="preserve">После корректировки физических объемов в соответствии с финансовыми средствами ООО «АГК» формирует окончательную редакцию программы планового капитального ремонта. </w:t>
      </w:r>
      <w:r/>
    </w:p>
    <w:p>
      <w:pPr>
        <w:pStyle w:val="12960"/>
        <w:pBdr/>
        <w:spacing/>
        <w:ind/>
        <w:rPr/>
      </w:pPr>
      <w:r>
        <w:t xml:space="preserve">За период с 2020 по 2026 годы отказов тепловых сетей, повлекших к перерыву в теплоснабжении, не было зафиксировано. Все возникающие неисправности о</w:t>
      </w:r>
      <w:r>
        <w:t xml:space="preserve">сновного и вспомогательного оборудования не повлияли на качество теплоснабжения и устранились во время текущих ремонт в неотопительный период. Отказы в тепловых сетях за последние 5 лет возникают на тепловых сетях со сроком эксплуатации превышающим 25 лет.</w:t>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18" w:name="_Toc198483502"/>
      <w:r/>
      <w:bookmarkStart w:id="219" w:name="_Toc166767162"/>
      <w:r/>
      <w:bookmarkStart w:id="220" w:name="_Toc84970948"/>
      <w:r/>
      <w:bookmarkStart w:id="221" w:name="_Toc78674711"/>
      <w:r/>
      <w:bookmarkStart w:id="222" w:name="_Toc475879444"/>
      <w:r>
        <w:rPr>
          <w:rFonts w:cs="Times New Roman"/>
        </w:rPr>
        <w:t xml:space="preserve">Статистика восстановления (аварийно-восстановительных ремонтов) тепловых сетей и среднее время, </w:t>
      </w:r>
      <w:bookmarkEnd w:id="220"/>
      <w:r/>
      <w:bookmarkEnd w:id="221"/>
      <w:r/>
      <w:bookmarkEnd w:id="222"/>
      <w:r>
        <w:rPr>
          <w:rFonts w:cs="Times New Roman"/>
        </w:rPr>
        <w:t xml:space="preserve">затраченное на восстановление работоспособности тепловых сетей, за последние 5 лет</w:t>
      </w:r>
      <w:bookmarkEnd w:id="218"/>
      <w:r/>
      <w:bookmarkEnd w:id="219"/>
      <w:r/>
      <w:r>
        <w:rPr>
          <w:rFonts w:cs="Times New Roman"/>
        </w:rPr>
      </w:r>
    </w:p>
    <w:p>
      <w:pPr>
        <w:pStyle w:val="12960"/>
        <w:pBdr/>
        <w:spacing/>
        <w:ind/>
        <w:rPr/>
      </w:pPr>
      <w:r/>
      <w:r>
        <w:t xml:space="preserve">За период с 2020 по 2025 годы отказов тепловых сетей, повлекших к перерыву в теплоснабжении, не было зафиксировано. Все возникающие неисправности о</w:t>
      </w:r>
      <w:r>
        <w:t xml:space="preserve">сновного и вспомогательного оборудования не повлияли на качество теплоснабжения и устранились во время текущих ремонт в неотопительный период. Отказы в тепловых сетях за последние 5 лет возникают на тепловых сетях со сроком эксплуатации превышающим 25 лет.</w:t>
      </w:r>
      <w:r/>
    </w:p>
    <w:p>
      <w:pPr>
        <w:pStyle w:val="12960"/>
        <w:pBdr/>
        <w:spacing/>
        <w:ind/>
        <w:rPr/>
      </w:pPr>
      <w:r>
        <w:t xml:space="preserve">По сведениям, предоставленным ООО «АГК» на эксплуатируемых тепло</w:t>
      </w:r>
      <w:r>
        <w:t xml:space="preserve">вых сетях, на основании данных об которых можно было подготовить статистику восстановлений (аварийно-восстановительных ремонтов) и определить среднее время, затраченное на восстановление работоспособности тепловых сетей, в рассматриваемый период - не было.</w:t>
      </w:r>
      <w:r/>
    </w:p>
    <w:p>
      <w:pPr>
        <w:pStyle w:val="12960"/>
        <w:pBdr/>
        <w:spacing/>
        <w:ind/>
        <w:rPr>
          <w:b/>
          <w:bCs w:val="0"/>
        </w:rPr>
      </w:pPr>
      <w:r>
        <w:rPr>
          <w:b/>
          <w:bCs w:val="0"/>
        </w:rPr>
        <w:t xml:space="preserve">Таблица 1.3.10.1 - Время восстановления повреждений на тепловых сетях</w:t>
      </w:r>
      <w:r>
        <w:rPr>
          <w:b/>
          <w:bCs w:val="0"/>
        </w:rPr>
      </w:r>
    </w:p>
    <w:tbl>
      <w:tblPr>
        <w:jc w:val="center"/>
        <w:tblInd w:w="0" w:type="dxa"/>
        <w:tblW w:w="5000" w:type="pct"/>
        <w:tblCellMar>
          <w:left w:w="10" w:type="dxa"/>
          <w:top w:w="0" w:type="dxa"/>
          <w:right w:w="10" w:type="dxa"/>
          <w:bottom w:w="0" w:type="dxa"/>
        </w:tblCellMar>
        <w:tblBorders/>
        <w:tblLayout w:type="fixed"/>
        <w:tblLook w:val="04A0" w:firstRow="1" w:lastRow="0" w:firstColumn="1" w:lastColumn="0" w:noHBand="0" w:noVBand="1"/>
      </w:tblPr>
      <w:tblGrid>
        <w:gridCol w:w="2140"/>
        <w:gridCol w:w="3739"/>
        <w:gridCol w:w="3475"/>
      </w:tblGrid>
      <w:tr>
        <w:trPr/>
        <w:tc>
          <w:tcPr>
            <w:shd w:val="clear" w:color="auto" w:fill="d9d9d9" w:themeFill="background1" w:themeFillShade="D9"/>
            <w:tcBorders>
              <w:top w:val="single" w:color="000000" w:sz="4" w:space="0"/>
              <w:left w:val="single" w:color="000000" w:sz="4" w:space="0"/>
            </w:tcBorders>
            <w:tcW w:w="2140" w:type="dxa"/>
            <w:vAlign w:val="center"/>
          </w:tcPr>
          <w:p>
            <w:pPr>
              <w:pStyle w:val="12385"/>
              <w:pBdr/>
              <w:spacing/>
              <w:ind/>
              <w:rPr>
                <w:rFonts w:cs="Times New Roman"/>
              </w:rPr>
            </w:pPr>
            <w:r>
              <w:rPr>
                <w:rFonts w:cs="Times New Roman"/>
              </w:rPr>
              <w:t xml:space="preserve">Диаметр трубы d, м</w:t>
            </w:r>
            <w:r>
              <w:rPr>
                <w:rFonts w:cs="Times New Roman"/>
              </w:rPr>
            </w:r>
          </w:p>
        </w:tc>
        <w:tc>
          <w:tcPr>
            <w:shd w:val="clear" w:color="auto" w:fill="d9d9d9" w:themeFill="background1" w:themeFillShade="D9"/>
            <w:tcBorders>
              <w:top w:val="single" w:color="000000" w:sz="4" w:space="0"/>
              <w:left w:val="single" w:color="000000" w:sz="4" w:space="0"/>
            </w:tcBorders>
            <w:tcW w:w="3739" w:type="dxa"/>
            <w:vAlign w:val="center"/>
          </w:tcPr>
          <w:p>
            <w:pPr>
              <w:pStyle w:val="12385"/>
              <w:pBdr/>
              <w:spacing/>
              <w:ind/>
              <w:rPr>
                <w:rFonts w:cs="Times New Roman"/>
              </w:rPr>
            </w:pPr>
            <w:r>
              <w:rPr>
                <w:rFonts w:cs="Times New Roman"/>
              </w:rPr>
              <w:t xml:space="preserve">Расстояние между секционирующими задвижками </w:t>
            </w:r>
            <w:r>
              <w:rPr>
                <w:rFonts w:cs="Times New Roman"/>
                <w:i/>
                <w:lang w:val="en-US"/>
              </w:rPr>
              <w:t xml:space="preserve">l</w:t>
            </w:r>
            <w:r>
              <w:rPr>
                <w:rFonts w:cs="Times New Roman"/>
              </w:rPr>
              <w:t xml:space="preserve">, км</w:t>
            </w:r>
            <w:r>
              <w:rPr>
                <w:rFonts w:cs="Times New Roman"/>
              </w:rPr>
            </w:r>
          </w:p>
        </w:tc>
        <w:tc>
          <w:tcPr>
            <w:shd w:val="clear" w:color="auto" w:fill="d9d9d9" w:themeFill="background1" w:themeFillShade="D9"/>
            <w:tcBorders>
              <w:top w:val="single" w:color="000000" w:sz="4" w:space="0"/>
              <w:left w:val="single" w:color="000000" w:sz="4" w:space="0"/>
              <w:right w:val="single" w:color="000000" w:sz="4" w:space="0"/>
            </w:tcBorders>
            <w:tcW w:w="3475" w:type="dxa"/>
            <w:vAlign w:val="center"/>
          </w:tcPr>
          <w:p>
            <w:pPr>
              <w:pStyle w:val="12385"/>
              <w:pBdr/>
              <w:spacing/>
              <w:ind/>
              <w:rPr>
                <w:rFonts w:cs="Times New Roman"/>
              </w:rPr>
            </w:pPr>
            <w:r>
              <w:rPr>
                <w:rFonts w:cs="Times New Roman"/>
              </w:rPr>
              <w:t xml:space="preserve">Среднее время восстановления Zp, ч</w:t>
            </w:r>
            <w:r>
              <w:rPr>
                <w:rFonts w:cs="Times New Roman"/>
              </w:rPr>
            </w:r>
          </w:p>
        </w:tc>
      </w:tr>
      <w:tr>
        <w:trPr/>
        <w:tc>
          <w:tcPr>
            <w:tcBorders>
              <w:top w:val="single" w:color="000000" w:sz="4" w:space="0"/>
              <w:left w:val="single" w:color="000000" w:sz="4" w:space="0"/>
            </w:tcBorders>
            <w:tcW w:w="2140" w:type="dxa"/>
            <w:vAlign w:val="center"/>
          </w:tcPr>
          <w:p>
            <w:pPr>
              <w:pStyle w:val="12385"/>
              <w:pBdr/>
              <w:spacing/>
              <w:ind/>
              <w:rPr>
                <w:rFonts w:cs="Times New Roman"/>
              </w:rPr>
            </w:pPr>
            <w:r>
              <w:rPr>
                <w:rFonts w:cs="Times New Roman"/>
              </w:rPr>
              <w:t xml:space="preserve">0,1-0,2</w:t>
            </w:r>
            <w:r>
              <w:rPr>
                <w:rFonts w:cs="Times New Roman"/>
              </w:rPr>
            </w:r>
          </w:p>
        </w:tc>
        <w:tc>
          <w:tcPr>
            <w:tcBorders>
              <w:top w:val="single" w:color="000000" w:sz="4" w:space="0"/>
              <w:left w:val="single" w:color="000000" w:sz="4" w:space="0"/>
            </w:tcBorders>
            <w:tcW w:w="3739"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right w:val="single" w:color="000000" w:sz="4" w:space="0"/>
            </w:tcBorders>
            <w:tcW w:w="3475" w:type="dxa"/>
            <w:vAlign w:val="center"/>
          </w:tcPr>
          <w:p>
            <w:pPr>
              <w:pStyle w:val="12385"/>
              <w:pBdr/>
              <w:spacing/>
              <w:ind/>
              <w:rPr>
                <w:rFonts w:cs="Times New Roman"/>
              </w:rPr>
            </w:pPr>
            <w:r>
              <w:rPr>
                <w:rFonts w:cs="Times New Roman"/>
              </w:rPr>
              <w:t xml:space="preserve">5</w:t>
            </w:r>
            <w:r>
              <w:rPr>
                <w:rFonts w:cs="Times New Roman"/>
              </w:rPr>
            </w:r>
          </w:p>
        </w:tc>
      </w:tr>
      <w:tr>
        <w:trPr/>
        <w:tc>
          <w:tcPr>
            <w:tcBorders>
              <w:top w:val="single" w:color="000000" w:sz="4" w:space="0"/>
              <w:left w:val="single" w:color="000000" w:sz="4" w:space="0"/>
            </w:tcBorders>
            <w:tcW w:w="2140" w:type="dxa"/>
            <w:vAlign w:val="center"/>
          </w:tcPr>
          <w:p>
            <w:pPr>
              <w:pStyle w:val="12385"/>
              <w:pBdr/>
              <w:spacing/>
              <w:ind/>
              <w:rPr>
                <w:rFonts w:cs="Times New Roman"/>
              </w:rPr>
            </w:pPr>
            <w:r>
              <w:rPr>
                <w:rFonts w:cs="Times New Roman"/>
              </w:rPr>
              <w:t xml:space="preserve">0,4-0,5</w:t>
            </w:r>
            <w:r>
              <w:rPr>
                <w:rFonts w:cs="Times New Roman"/>
              </w:rPr>
            </w:r>
          </w:p>
        </w:tc>
        <w:tc>
          <w:tcPr>
            <w:tcBorders>
              <w:top w:val="single" w:color="000000" w:sz="4" w:space="0"/>
              <w:left w:val="single" w:color="000000" w:sz="4" w:space="0"/>
            </w:tcBorders>
            <w:tcW w:w="3739" w:type="dxa"/>
            <w:vAlign w:val="center"/>
          </w:tcPr>
          <w:p>
            <w:pPr>
              <w:pStyle w:val="12385"/>
              <w:pBdr/>
              <w:spacing/>
              <w:ind/>
              <w:rPr>
                <w:rFonts w:cs="Times New Roman"/>
              </w:rPr>
            </w:pPr>
            <w:r>
              <w:rPr>
                <w:rFonts w:cs="Times New Roman"/>
              </w:rPr>
              <w:t xml:space="preserve">1,5</w:t>
            </w:r>
            <w:r>
              <w:rPr>
                <w:rFonts w:cs="Times New Roman"/>
              </w:rPr>
            </w:r>
          </w:p>
        </w:tc>
        <w:tc>
          <w:tcPr>
            <w:tcBorders>
              <w:top w:val="single" w:color="000000" w:sz="4" w:space="0"/>
              <w:left w:val="single" w:color="000000" w:sz="4" w:space="0"/>
              <w:right w:val="single" w:color="000000" w:sz="4" w:space="0"/>
            </w:tcBorders>
            <w:tcW w:w="3475" w:type="dxa"/>
            <w:vAlign w:val="center"/>
          </w:tcPr>
          <w:p>
            <w:pPr>
              <w:pStyle w:val="12385"/>
              <w:pBdr/>
              <w:spacing/>
              <w:ind/>
              <w:rPr>
                <w:rFonts w:cs="Times New Roman"/>
              </w:rPr>
            </w:pPr>
            <w:r>
              <w:rPr>
                <w:rFonts w:cs="Times New Roman"/>
              </w:rPr>
              <w:t xml:space="preserve">10-12</w:t>
            </w:r>
            <w:r>
              <w:rPr>
                <w:rFonts w:cs="Times New Roman"/>
              </w:rPr>
            </w:r>
          </w:p>
        </w:tc>
      </w:tr>
      <w:tr>
        <w:trPr/>
        <w:tc>
          <w:tcPr>
            <w:tcBorders>
              <w:top w:val="single" w:color="000000" w:sz="4" w:space="0"/>
              <w:left w:val="single" w:color="000000" w:sz="4" w:space="0"/>
              <w:bottom w:val="single" w:color="000000" w:sz="4" w:space="0"/>
            </w:tcBorders>
            <w:tcW w:w="2140" w:type="dxa"/>
            <w:vAlign w:val="center"/>
          </w:tcPr>
          <w:p>
            <w:pPr>
              <w:pStyle w:val="12385"/>
              <w:pBdr/>
              <w:spacing/>
              <w:ind/>
              <w:rPr>
                <w:rFonts w:cs="Times New Roman"/>
              </w:rPr>
            </w:pPr>
            <w:r>
              <w:rPr>
                <w:rFonts w:cs="Times New Roman"/>
              </w:rPr>
              <w:t xml:space="preserve">0,6</w:t>
            </w:r>
            <w:r>
              <w:rPr>
                <w:rFonts w:cs="Times New Roman"/>
              </w:rPr>
            </w:r>
          </w:p>
        </w:tc>
        <w:tc>
          <w:tcPr>
            <w:tcBorders>
              <w:top w:val="single" w:color="000000" w:sz="4" w:space="0"/>
              <w:left w:val="single" w:color="000000" w:sz="4" w:space="0"/>
              <w:bottom w:val="single" w:color="000000" w:sz="4" w:space="0"/>
            </w:tcBorders>
            <w:tcW w:w="3739" w:type="dxa"/>
            <w:vAlign w:val="center"/>
          </w:tcPr>
          <w:p>
            <w:pPr>
              <w:pStyle w:val="12385"/>
              <w:pBdr/>
              <w:spacing/>
              <w:ind/>
              <w:rPr>
                <w:rFonts w:cs="Times New Roman"/>
              </w:rPr>
            </w:pPr>
            <w:r>
              <w:rPr>
                <w:rFonts w:cs="Times New Roman"/>
              </w:rPr>
              <w:t xml:space="preserve">2-3</w:t>
            </w:r>
            <w:r>
              <w:rPr>
                <w:rFonts w:cs="Times New Roman"/>
              </w:rPr>
            </w:r>
          </w:p>
        </w:tc>
        <w:tc>
          <w:tcPr>
            <w:tcBorders>
              <w:top w:val="single" w:color="000000" w:sz="4" w:space="0"/>
              <w:left w:val="single" w:color="000000" w:sz="4" w:space="0"/>
              <w:bottom w:val="single" w:color="000000" w:sz="4" w:space="0"/>
              <w:right w:val="single" w:color="000000" w:sz="4" w:space="0"/>
            </w:tcBorders>
            <w:tcW w:w="3475" w:type="dxa"/>
            <w:vAlign w:val="center"/>
          </w:tcPr>
          <w:p>
            <w:pPr>
              <w:pStyle w:val="12385"/>
              <w:pBdr/>
              <w:spacing/>
              <w:ind/>
              <w:rPr>
                <w:rFonts w:cs="Times New Roman"/>
              </w:rPr>
            </w:pPr>
            <w:r>
              <w:rPr>
                <w:rFonts w:cs="Times New Roman"/>
              </w:rPr>
              <w:t xml:space="preserve">17-22</w:t>
            </w:r>
            <w:r>
              <w:rPr>
                <w:rFonts w:cs="Times New Roman"/>
              </w:rPr>
            </w:r>
          </w:p>
        </w:tc>
      </w:tr>
    </w:tbl>
    <w:p>
      <w:pPr>
        <w:pStyle w:val="12960"/>
        <w:pBdr/>
        <w:spacing/>
        <w:ind w:firstLine="0"/>
        <w:rPr/>
      </w:pPr>
      <w:r/>
      <w:r/>
    </w:p>
    <w:p>
      <w:pPr>
        <w:pStyle w:val="12960"/>
        <w:pBdr/>
        <w:spacing/>
        <w:ind/>
        <w:rPr>
          <w:b/>
        </w:rPr>
      </w:pPr>
      <w:r>
        <w:rPr>
          <w:b/>
        </w:rPr>
        <w:t xml:space="preserve">Таблица 1.3.10.2 - Динамика изменения отказов и восстановлений магистральных тепловых сетей</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503"/>
        <w:gridCol w:w="3425"/>
        <w:gridCol w:w="3426"/>
      </w:tblGrid>
      <w:tr>
        <w:trPr>
          <w:trHeight w:val="86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Год актуализации (разработки)</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3425" w:type="dxa"/>
            <w:vAlign w:val="center"/>
          </w:tcPr>
          <w:p>
            <w:pPr>
              <w:pStyle w:val="12385"/>
              <w:pBdr/>
              <w:spacing/>
              <w:ind/>
              <w:rPr>
                <w:rFonts w:cs="Times New Roman"/>
              </w:rPr>
            </w:pPr>
            <w:r>
              <w:rPr>
                <w:rFonts w:cs="Times New Roman"/>
              </w:rPr>
              <w:t xml:space="preserve">Количество отказов в тепловых сетях в отопительный период, 1/км/год</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3426" w:type="dxa"/>
            <w:vAlign w:val="center"/>
          </w:tcPr>
          <w:p>
            <w:pPr>
              <w:pStyle w:val="12385"/>
              <w:pBdr/>
              <w:spacing/>
              <w:ind/>
              <w:rPr>
                <w:rFonts w:cs="Times New Roman"/>
              </w:rPr>
            </w:pPr>
            <w:r>
              <w:rPr>
                <w:rFonts w:cs="Times New Roman"/>
              </w:rPr>
              <w:t xml:space="preserve">Среднее время восстановления теплоснабжения, час</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2019</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2020</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2021</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2022</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2023</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2024</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503" w:type="dxa"/>
            <w:vAlign w:val="center"/>
          </w:tcPr>
          <w:p>
            <w:pPr>
              <w:pStyle w:val="12385"/>
              <w:pBdr/>
              <w:spacing/>
              <w:ind/>
              <w:rPr>
                <w:rFonts w:cs="Times New Roman"/>
              </w:rPr>
            </w:pPr>
            <w:r>
              <w:rPr>
                <w:rFonts w:cs="Times New Roman"/>
              </w:rPr>
              <w:t xml:space="preserve">2025</w:t>
            </w:r>
            <w:r>
              <w:rPr>
                <w:rFonts w:cs="Times New Roman"/>
              </w:rPr>
            </w:r>
          </w:p>
        </w:tc>
        <w:tc>
          <w:tcPr>
            <w:tcBorders>
              <w:bottom w:val="single" w:color="000000" w:sz="4" w:space="0"/>
              <w:right w:val="single" w:color="000000" w:sz="4" w:space="0"/>
            </w:tcBorders>
            <w:tcW w:w="3425"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26" w:type="dxa"/>
          </w:tcPr>
          <w:p>
            <w:pPr>
              <w:pStyle w:val="12385"/>
              <w:pBdr/>
              <w:spacing/>
              <w:ind/>
              <w:rPr>
                <w:rFonts w:cs="Times New Roman"/>
              </w:rPr>
            </w:pPr>
            <w:r>
              <w:rPr>
                <w:rFonts w:cs="Times New Roman"/>
              </w:rPr>
              <w:t xml:space="preserve">0</w:t>
            </w:r>
            <w:r>
              <w:rPr>
                <w:rFonts w:cs="Times New Roman"/>
              </w:rPr>
            </w:r>
          </w:p>
        </w:tc>
      </w:tr>
    </w:tbl>
    <w:p>
      <w:pPr>
        <w:pStyle w:val="10533"/>
        <w:pBdr/>
        <w:spacing/>
        <w:ind/>
        <w:rPr/>
      </w:pPr>
      <w:r/>
      <w:r/>
    </w:p>
    <w:p>
      <w:pPr>
        <w:pStyle w:val="12960"/>
        <w:pBdr/>
        <w:spacing/>
        <w:ind/>
        <w:rPr>
          <w:b/>
        </w:rPr>
      </w:pPr>
      <w:r>
        <w:rPr>
          <w:b/>
        </w:rPr>
      </w:r>
      <w:r>
        <w:rPr>
          <w:b/>
        </w:rPr>
      </w:r>
    </w:p>
    <w:p>
      <w:pPr>
        <w:pStyle w:val="12960"/>
        <w:pBdr/>
        <w:spacing/>
        <w:ind/>
        <w:rPr>
          <w:b/>
        </w:rPr>
      </w:pPr>
      <w:r>
        <w:rPr>
          <w:b/>
        </w:rPr>
      </w:r>
      <w:r>
        <w:rPr>
          <w:b/>
        </w:rPr>
      </w:r>
    </w:p>
    <w:p>
      <w:pPr>
        <w:pStyle w:val="12960"/>
        <w:pBdr/>
        <w:spacing/>
        <w:ind/>
        <w:rPr>
          <w:b/>
        </w:rPr>
      </w:pPr>
      <w:r>
        <w:rPr>
          <w:b/>
        </w:rPr>
        <w:t xml:space="preserve">Таблица 1.3.10.3 - Динамика изменения отказов и восстановлений в распределительных тепловых сетях</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400"/>
        <w:gridCol w:w="3478"/>
        <w:gridCol w:w="3476"/>
      </w:tblGrid>
      <w:tr>
        <w:trPr>
          <w:trHeight w:val="1071"/>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Год актуализации (разработки)</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3478" w:type="dxa"/>
            <w:vAlign w:val="center"/>
          </w:tcPr>
          <w:p>
            <w:pPr>
              <w:pStyle w:val="12385"/>
              <w:pBdr/>
              <w:spacing/>
              <w:ind/>
              <w:rPr>
                <w:rFonts w:cs="Times New Roman"/>
              </w:rPr>
            </w:pPr>
            <w:r>
              <w:rPr>
                <w:rFonts w:cs="Times New Roman"/>
              </w:rPr>
              <w:t xml:space="preserve">Удельное (отнесенное к протяженности тепловых сетей) количество отказов в тепловых сетях в отопительный период, 1/км/год</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3476" w:type="dxa"/>
            <w:vAlign w:val="center"/>
          </w:tcPr>
          <w:p>
            <w:pPr>
              <w:pStyle w:val="12385"/>
              <w:pBdr/>
              <w:spacing/>
              <w:ind/>
              <w:rPr>
                <w:rFonts w:cs="Times New Roman"/>
              </w:rPr>
            </w:pPr>
            <w:r>
              <w:rPr>
                <w:rFonts w:cs="Times New Roman"/>
              </w:rPr>
              <w:t xml:space="preserve">Среднее время восстановления теплоснабжения, час</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2019</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2020</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2021</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2022</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2023</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2024</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2400" w:type="dxa"/>
            <w:vAlign w:val="center"/>
          </w:tcPr>
          <w:p>
            <w:pPr>
              <w:pStyle w:val="12385"/>
              <w:pBdr/>
              <w:spacing/>
              <w:ind/>
              <w:rPr>
                <w:rFonts w:cs="Times New Roman"/>
              </w:rPr>
            </w:pPr>
            <w:r>
              <w:rPr>
                <w:rFonts w:cs="Times New Roman"/>
              </w:rPr>
              <w:t xml:space="preserve">2025</w:t>
            </w:r>
            <w:r>
              <w:rPr>
                <w:rFonts w:cs="Times New Roman"/>
              </w:rPr>
            </w:r>
          </w:p>
        </w:tc>
        <w:tc>
          <w:tcPr>
            <w:tcBorders>
              <w:bottom w:val="single" w:color="000000" w:sz="4" w:space="0"/>
              <w:right w:val="single" w:color="000000" w:sz="4" w:space="0"/>
            </w:tcBorders>
            <w:tcW w:w="347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3476" w:type="dxa"/>
          </w:tcPr>
          <w:p>
            <w:pPr>
              <w:pStyle w:val="12385"/>
              <w:pBdr/>
              <w:spacing/>
              <w:ind/>
              <w:rPr>
                <w:rFonts w:cs="Times New Roman"/>
              </w:rPr>
            </w:pPr>
            <w:r>
              <w:rPr>
                <w:rFonts w:cs="Times New Roman"/>
              </w:rPr>
              <w:t xml:space="preserve">0</w:t>
            </w:r>
            <w:r>
              <w:rPr>
                <w:rFonts w:cs="Times New Roman"/>
              </w:rPr>
            </w:r>
          </w:p>
        </w:tc>
      </w:tr>
    </w:tbl>
    <w:p>
      <w:pPr>
        <w:pStyle w:val="12960"/>
        <w:pBdr/>
        <w:spacing/>
        <w:ind/>
        <w:rPr/>
      </w:pPr>
      <w:r/>
      <w:r/>
    </w:p>
    <w:p>
      <w:pPr>
        <w:pStyle w:val="12960"/>
        <w:pBdr/>
        <w:spacing/>
        <w:ind/>
        <w:rPr>
          <w:b/>
        </w:rPr>
      </w:pPr>
      <w:r>
        <w:rPr>
          <w:b/>
        </w:rPr>
        <w:t xml:space="preserve">Таблица 1.3.10.4 - Показатели повреждаемости системы теплоснабжения</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001"/>
        <w:gridCol w:w="616"/>
        <w:gridCol w:w="619"/>
        <w:gridCol w:w="617"/>
        <w:gridCol w:w="627"/>
        <w:gridCol w:w="628"/>
        <w:gridCol w:w="629"/>
        <w:gridCol w:w="616"/>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Наименование показателя</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szCs w:val="20"/>
              </w:rPr>
              <w:t xml:space="preserve">2019</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9" w:type="dxa"/>
            <w:vAlign w:val="center"/>
          </w:tcPr>
          <w:p>
            <w:pPr>
              <w:pStyle w:val="12385"/>
              <w:pBdr/>
              <w:spacing/>
              <w:ind/>
              <w:rPr>
                <w:rFonts w:cs="Times New Roman"/>
                <w:szCs w:val="20"/>
              </w:rPr>
            </w:pPr>
            <w:r>
              <w:rPr>
                <w:rFonts w:cs="Times New Roman"/>
                <w:szCs w:val="20"/>
              </w:rPr>
              <w:t xml:space="preserve">2020</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2021</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7" w:type="dxa"/>
            <w:vAlign w:val="center"/>
          </w:tcPr>
          <w:p>
            <w:pPr>
              <w:pStyle w:val="12385"/>
              <w:pBdr/>
              <w:spacing/>
              <w:ind/>
              <w:rPr>
                <w:rFonts w:cs="Times New Roman"/>
                <w:szCs w:val="20"/>
              </w:rPr>
            </w:pPr>
            <w:r>
              <w:rPr>
                <w:rFonts w:cs="Times New Roman"/>
                <w:szCs w:val="20"/>
              </w:rPr>
              <w:t xml:space="preserve">2022</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8" w:type="dxa"/>
            <w:vAlign w:val="center"/>
          </w:tcPr>
          <w:p>
            <w:pPr>
              <w:pStyle w:val="12385"/>
              <w:pBdr/>
              <w:spacing/>
              <w:ind/>
              <w:rPr>
                <w:rFonts w:cs="Times New Roman"/>
                <w:szCs w:val="20"/>
              </w:rPr>
            </w:pPr>
            <w:r>
              <w:rPr>
                <w:rFonts w:cs="Times New Roman"/>
                <w:szCs w:val="20"/>
              </w:rPr>
              <w:t xml:space="preserve">2023</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9" w:type="dxa"/>
            <w:vAlign w:val="center"/>
          </w:tcPr>
          <w:p>
            <w:pPr>
              <w:pStyle w:val="12385"/>
              <w:pBdr/>
              <w:spacing/>
              <w:ind/>
              <w:rPr>
                <w:rFonts w:cs="Times New Roman"/>
                <w:szCs w:val="20"/>
              </w:rPr>
            </w:pPr>
            <w:r>
              <w:rPr>
                <w:rFonts w:cs="Times New Roman"/>
                <w:szCs w:val="20"/>
              </w:rPr>
              <w:t xml:space="preserve">2024</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szCs w:val="20"/>
              </w:rPr>
              <w:t xml:space="preserve">2025</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Повреждения в магистральных тепловых сетях, 1/км/год в том числе:</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в отопительный период,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в период испытаний на плотность и прочность,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Повреждения в распределительных тепловых сетях систем отопления, 1/км/год, в том числе:</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в отопительный период,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в период испытаний на плотность и прочность,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Повреждения в сетях горячего водоснабжения (в случае их наличия),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01" w:type="dxa"/>
            <w:vAlign w:val="center"/>
          </w:tcPr>
          <w:p>
            <w:pPr>
              <w:pStyle w:val="12385"/>
              <w:pBdr/>
              <w:spacing/>
              <w:ind/>
              <w:rPr>
                <w:rFonts w:cs="Times New Roman"/>
                <w:szCs w:val="20"/>
              </w:rPr>
            </w:pPr>
            <w:r>
              <w:rPr>
                <w:rFonts w:cs="Times New Roman"/>
                <w:szCs w:val="20"/>
              </w:rPr>
              <w:t xml:space="preserve">Всего повреждения в тепловых сетях,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szCs w:val="20"/>
              </w:rPr>
            </w:pPr>
            <w:r>
              <w:rPr>
                <w:rFonts w:cs="Times New Roman"/>
              </w:rPr>
              <w:t xml:space="preserve">0</w:t>
            </w:r>
            <w:r>
              <w:rPr>
                <w:rFonts w:cs="Times New Roman"/>
                <w:szCs w:val="20"/>
              </w:rPr>
            </w:r>
          </w:p>
        </w:tc>
      </w:tr>
    </w:tbl>
    <w:p>
      <w:pPr>
        <w:pStyle w:val="12960"/>
        <w:pBdr/>
        <w:spacing/>
        <w:ind/>
        <w:rPr/>
      </w:pPr>
      <w:r/>
      <w:r/>
    </w:p>
    <w:p>
      <w:pPr>
        <w:pStyle w:val="12960"/>
        <w:pBdr/>
        <w:spacing/>
        <w:ind/>
        <w:rPr>
          <w:b/>
        </w:rPr>
      </w:pPr>
      <w:r>
        <w:rPr>
          <w:b/>
        </w:rPr>
        <w:t xml:space="preserve">Таблица 1.3.10.5 - Показатели восстановления в системе теплоснабжения</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031"/>
        <w:gridCol w:w="617"/>
        <w:gridCol w:w="618"/>
        <w:gridCol w:w="617"/>
        <w:gridCol w:w="617"/>
        <w:gridCol w:w="619"/>
        <w:gridCol w:w="617"/>
        <w:gridCol w:w="61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Наименование показателя</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2019</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2020</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2021</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2022</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9" w:type="dxa"/>
            <w:vAlign w:val="center"/>
          </w:tcPr>
          <w:p>
            <w:pPr>
              <w:pStyle w:val="12385"/>
              <w:pBdr/>
              <w:spacing/>
              <w:ind/>
              <w:rPr>
                <w:rFonts w:cs="Times New Roman"/>
                <w:szCs w:val="20"/>
              </w:rPr>
            </w:pPr>
            <w:r>
              <w:rPr>
                <w:rFonts w:cs="Times New Roman"/>
                <w:szCs w:val="20"/>
              </w:rPr>
              <w:t xml:space="preserve">2023</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2024</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2025</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Среднее время восстановления теплоснабжения после повреждения в магистральных тепловых сетях в отопительный период,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Среднее время восстановления отопления после повреждения в распределительных тепловых сетях систем отопления,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Среднее время восстановления горячего водоснабжения поле повреждения в сетях горячего водоснабжения (в случае их наличия),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Всего среднее время восстановления отопления после повреждения в магистральных и распределительных тепловых сетях,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9"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rPr>
              <w:t xml:space="preserve">0</w:t>
            </w:r>
            <w:r>
              <w:rPr>
                <w:rFonts w:cs="Times New Roman"/>
                <w:szCs w:val="20"/>
              </w:rPr>
            </w:r>
          </w:p>
        </w:tc>
      </w:tr>
    </w:tbl>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24" w:name="_Toc475879445"/>
      <w:r/>
      <w:bookmarkStart w:id="225" w:name="_Toc198483503"/>
      <w:r/>
      <w:bookmarkStart w:id="226" w:name="_Toc166767163"/>
      <w:r/>
      <w:bookmarkStart w:id="227" w:name="_Toc78674712"/>
      <w:r/>
      <w:bookmarkStart w:id="228" w:name="_Toc84970949"/>
      <w:r>
        <w:rPr>
          <w:rFonts w:cs="Times New Roman"/>
        </w:rPr>
        <w:t xml:space="preserve">Описание процедур диагностики состояния тепловых сетей и планирования капитальных (текущих) ремонтов</w:t>
      </w:r>
      <w:bookmarkEnd w:id="224"/>
      <w:r/>
      <w:bookmarkEnd w:id="225"/>
      <w:r/>
      <w:bookmarkEnd w:id="226"/>
      <w:r/>
      <w:bookmarkEnd w:id="227"/>
      <w:r/>
      <w:bookmarkEnd w:id="228"/>
      <w:r/>
      <w:r>
        <w:rPr>
          <w:rFonts w:cs="Times New Roman"/>
        </w:rPr>
      </w:r>
    </w:p>
    <w:p>
      <w:pPr>
        <w:pStyle w:val="12960"/>
        <w:pBdr/>
        <w:spacing/>
        <w:ind/>
        <w:rPr/>
      </w:pPr>
      <w:r>
        <w:t xml:space="preserve">Процедура диа</w:t>
      </w:r>
      <w:r>
        <w:t xml:space="preserve">гностики состояния тепловых сетей включает в себя плановые 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сетях (с помощью метода «индикаторов</w:t>
      </w:r>
      <w:r>
        <w:t xml:space="preserve"> коррозии» по «типовой инструкции по технической эксплуатации систем транспорта и распределения тепловой энергии (тепловых сетей)» РД 153-34.0-20.507-98 Приложении 19, а также визуальным осмотром трубопровода. По результатам работ, составляется акт осмотра</w:t>
      </w:r>
      <w:r>
        <w:t xml:space="preserve">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r/>
    </w:p>
    <w:p>
      <w:pPr>
        <w:pStyle w:val="12960"/>
        <w:pBdr/>
        <w:spacing/>
        <w:ind/>
        <w:rPr/>
      </w:pPr>
      <w:r>
        <w:t xml:space="preserve">В ООО «АГК» 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w:t>
      </w:r>
      <w:r>
        <w:t xml:space="preserve">17дней, магистральные сети от 5 до 15 дней. Согласно СанПиН 4723-88«Санитарные правила устройства эксплуатации систем централизованного горячего водоснабжения» и п.4.4 продолжительность отключения потребителей от системы отопления и ГВС не превышает нормы.</w:t>
      </w:r>
      <w:r/>
    </w:p>
    <w:p>
      <w:pPr>
        <w:pStyle w:val="12960"/>
        <w:pBdr/>
        <w:spacing/>
        <w:ind/>
        <w:rPr>
          <w:lang w:eastAsia="ru-RU"/>
        </w:rPr>
      </w:pPr>
      <w:r>
        <w:t xml:space="preserve">При выполнении капитальных, текущих и аварийных ремонтов подразделения и службы ООО «АГК» руководствуются:</w:t>
      </w:r>
      <w:r>
        <w:rPr>
          <w:lang w:eastAsia="ru-RU"/>
        </w:rPr>
      </w:r>
    </w:p>
    <w:p>
      <w:pPr>
        <w:pStyle w:val="13832"/>
        <w:keepNext w:val="false"/>
        <w:widowControl w:val="true"/>
        <w:numPr>
          <w:ilvl w:val="0"/>
          <w:numId w:val="61"/>
        </w:numPr>
        <w:pBdr/>
        <w:tabs>
          <w:tab w:val="left" w:leader="none" w:pos="1017"/>
          <w:tab w:val="clear" w:leader="none" w:pos="1134"/>
        </w:tabs>
        <w:bidi w:val="false"/>
        <w:spacing w:after="0" w:before="0" w:line="360" w:lineRule="auto"/>
        <w:ind w:right="0" w:firstLine="567" w:left="0"/>
        <w:jc w:val="both"/>
        <w:rPr>
          <w:lang w:eastAsia="ru-RU"/>
        </w:rPr>
      </w:pPr>
      <w:r>
        <w:rPr>
          <w:lang w:eastAsia="ru-RU"/>
        </w:rPr>
        <w:t xml:space="preserve"> </w:t>
      </w:r>
      <w:r>
        <w:rPr>
          <w:lang w:eastAsia="ru-RU"/>
        </w:rPr>
        <w:t xml:space="preserve">действующим регламентом реализации ремонтных и инвестиционных программ ООО «АГК» </w:t>
      </w:r>
      <w:r>
        <w:rPr>
          <w:lang w:eastAsia="ru-RU"/>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10" w:left="0"/>
        <w:jc w:val="both"/>
        <w:rPr/>
      </w:pPr>
      <w:r>
        <w:t xml:space="preserve"> </w:t>
      </w:r>
      <w:r>
        <w:t xml:space="preserve">регламентом по контролю использования собственных ресу</w:t>
      </w:r>
      <w:r>
        <w:rPr>
          <w:lang w:eastAsia="ru-RU"/>
        </w:rPr>
        <w:t xml:space="preserve">рсо</w:t>
      </w:r>
      <w:r>
        <w:t xml:space="preserve">в при проведении ремонтных работ в филиале ООО «АГК» </w:t>
      </w:r>
      <w:r/>
    </w:p>
    <w:p>
      <w:pPr>
        <w:pStyle w:val="13832"/>
        <w:numPr>
          <w:ilvl w:val="0"/>
          <w:numId w:val="61"/>
        </w:numPr>
        <w:pBdr/>
        <w:spacing/>
        <w:ind w:hanging="284" w:left="1135"/>
        <w:rPr>
          <w:lang w:eastAsia="ru-RU"/>
        </w:rPr>
      </w:pPr>
      <w:r>
        <w:rPr>
          <w:lang w:eastAsia="ru-RU"/>
        </w:rPr>
        <w:t xml:space="preserve"> </w:t>
      </w:r>
      <w:r>
        <w:rPr>
          <w:lang w:eastAsia="ru-RU"/>
        </w:rPr>
        <w:t xml:space="preserve">регламентом по планированию ремонтного фонда; </w:t>
      </w:r>
      <w:r>
        <w:rPr>
          <w:lang w:eastAsia="ru-RU"/>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eastAsia="ru-RU"/>
        </w:rPr>
      </w:pPr>
      <w:r>
        <w:rPr>
          <w:lang w:eastAsia="ru-RU"/>
        </w:rPr>
        <w:t xml:space="preserve"> </w:t>
      </w:r>
      <w:r>
        <w:rPr>
          <w:lang w:eastAsia="ru-RU"/>
        </w:rPr>
        <w:t xml:space="preserve">правилами устройства и безопасной эксплуатации трубопроводов пара и горячей воды; </w:t>
      </w:r>
      <w:r>
        <w:rPr>
          <w:lang w:eastAsia="ru-RU"/>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eastAsia="ru-RU"/>
        </w:rPr>
      </w:pPr>
      <w:r>
        <w:rPr>
          <w:lang w:eastAsia="ru-RU"/>
        </w:rPr>
        <w:t xml:space="preserve">правилами организации технического обслуживания и ремонта оборудования, зданий и сооружений электростанций и сетей СО 34. 04.181-2003; </w:t>
      </w:r>
      <w:r>
        <w:rPr>
          <w:lang w:eastAsia="ru-RU"/>
        </w:rPr>
      </w:r>
    </w:p>
    <w:p>
      <w:pPr>
        <w:pStyle w:val="13832"/>
        <w:numPr>
          <w:ilvl w:val="0"/>
          <w:numId w:val="61"/>
        </w:numPr>
        <w:pBdr/>
        <w:spacing/>
        <w:ind w:hanging="284" w:left="1135"/>
        <w:rPr>
          <w:lang w:eastAsia="ru-RU"/>
        </w:rPr>
      </w:pPr>
      <w:r>
        <w:rPr>
          <w:lang w:eastAsia="ru-RU"/>
        </w:rPr>
        <w:t xml:space="preserve">рекомендациями действующих СП. </w:t>
      </w:r>
      <w:r>
        <w:rPr>
          <w:lang w:eastAsia="ru-RU"/>
        </w:rPr>
      </w:r>
    </w:p>
    <w:p>
      <w:pPr>
        <w:pStyle w:val="12960"/>
        <w:pBdr/>
        <w:spacing/>
        <w:ind/>
        <w:rPr/>
      </w:pPr>
      <w:r>
        <w:t xml:space="preserve">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r/>
    </w:p>
    <w:p>
      <w:pPr>
        <w:pStyle w:val="12960"/>
        <w:pBdr/>
        <w:spacing/>
        <w:ind/>
        <w:rPr/>
      </w:pPr>
      <w:r>
        <w:t xml:space="preserve">Организовано техническое обслуживание и ремонт тепловых сетей. Ответственность </w:t>
      </w:r>
      <w:r>
        <w:t xml:space="preserve">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r/>
    </w:p>
    <w:p>
      <w:pPr>
        <w:pStyle w:val="12960"/>
        <w:pBdr/>
        <w:spacing/>
        <w:ind/>
        <w:rPr/>
      </w:pPr>
      <w:r>
        <w:t xml:space="preserve">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r/>
    </w:p>
    <w:p>
      <w:pPr>
        <w:pStyle w:val="12960"/>
        <w:pBdr/>
        <w:spacing/>
        <w:ind/>
        <w:rPr>
          <w:lang w:eastAsia="ru-RU"/>
        </w:rPr>
      </w:pPr>
      <w:r>
        <w:t xml:space="preserve">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w:t>
      </w:r>
      <w:r>
        <w:t xml:space="preserve">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r>
        <w:rPr>
          <w:lang w:eastAsia="ru-RU"/>
        </w:rPr>
      </w:r>
    </w:p>
    <w:p>
      <w:pPr>
        <w:pStyle w:val="10533"/>
        <w:keepNext w:val="true"/>
        <w:keepLines w:val="true"/>
        <w:widowControl w:val="true"/>
        <w:numPr>
          <w:ilvl w:val="0"/>
          <w:numId w:val="0"/>
        </w:numPr>
        <w:pBdr/>
        <w:bidi w:val="false"/>
        <w:spacing w:after="360" w:before="360" w:line="240" w:lineRule="auto"/>
        <w:ind w:right="0" w:hanging="567" w:left="567"/>
        <w:contextualSpacing w:val="true"/>
        <w:jc w:val="both"/>
        <w:outlineLvl w:val="2"/>
        <w:rPr>
          <w:b/>
          <w:bCs/>
          <w:sz w:val="26"/>
          <w:szCs w:val="26"/>
          <w:lang w:eastAsia="en-US"/>
        </w:rPr>
      </w:pPr>
      <w:r/>
      <w:bookmarkStart w:id="229" w:name="_Toc198483504"/>
      <w:r/>
      <w:bookmarkStart w:id="230" w:name="_Toc166767164"/>
      <w:r>
        <w:rPr>
          <w:b/>
          <w:bCs/>
          <w:sz w:val="26"/>
          <w:szCs w:val="26"/>
          <w:lang w:eastAsia="en-US"/>
        </w:rPr>
        <w:t xml:space="preserve">3.11.1 Методы технической диагностики, используемые теплосетевыми организациями на территории муниципального образования Астаповское</w:t>
      </w:r>
      <w:bookmarkEnd w:id="229"/>
      <w:r/>
      <w:bookmarkEnd w:id="230"/>
      <w:r/>
      <w:r>
        <w:rPr>
          <w:b/>
          <w:bCs/>
          <w:sz w:val="26"/>
          <w:szCs w:val="26"/>
          <w:lang w:eastAsia="en-US"/>
        </w:rPr>
      </w:r>
    </w:p>
    <w:p>
      <w:pPr>
        <w:pStyle w:val="12960"/>
        <w:pBdr/>
        <w:spacing/>
        <w:ind/>
        <w:rPr>
          <w:color w:val="auto"/>
        </w:rPr>
      </w:pPr>
      <w:r>
        <w:rPr>
          <w:b/>
          <w:color w:val="auto"/>
        </w:rPr>
        <w:t xml:space="preserve">Гидравлические испытания.</w:t>
      </w:r>
      <w:r>
        <w:rPr>
          <w:color w:val="auto"/>
        </w:rPr>
        <w:t xml:space="preserve">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r>
        <w:rPr>
          <w:color w:val="auto"/>
        </w:rPr>
      </w:r>
    </w:p>
    <w:p>
      <w:pPr>
        <w:pStyle w:val="12960"/>
        <w:pBdr/>
        <w:spacing/>
        <w:ind/>
        <w:rPr>
          <w:color w:val="auto"/>
        </w:rPr>
      </w:pPr>
      <w:r>
        <w:rPr>
          <w:color w:val="auto"/>
        </w:rPr>
        <w:t xml:space="preserve">Как показывает опыт, метод гидравлических испытаний позволяет выявить о</w:t>
      </w:r>
      <w:r>
        <w:rPr>
          <w:color w:val="auto"/>
        </w:rPr>
        <w:t xml:space="preserve">коло 75-80%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r>
        <w:rPr>
          <w:color w:val="auto"/>
        </w:rPr>
      </w:r>
    </w:p>
    <w:p>
      <w:pPr>
        <w:pStyle w:val="12960"/>
        <w:pBdr/>
        <w:spacing/>
        <w:ind/>
        <w:rPr>
          <w:color w:val="auto"/>
        </w:rPr>
      </w:pPr>
      <w:r>
        <w:rPr>
          <w:b/>
          <w:color w:val="auto"/>
        </w:rPr>
        <w:t xml:space="preserve">Испытания на тепловые потери. </w:t>
      </w:r>
      <w:r>
        <w:rPr>
          <w:color w:val="auto"/>
        </w:rPr>
        <w:t xml:space="preserve">Испытания на тепловые потери. Целью испытаний является определение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 Определе</w:t>
      </w:r>
      <w:r>
        <w:rPr>
          <w:color w:val="auto"/>
        </w:rPr>
        <w:t xml:space="preserve">ние тепловых потерь осуществляется на основании испытаний, проводимых в соответствии с документом «Методические указания по определению тепловых потерь в водяных тепловых сетях» СО 34.09.255-97. Результаты определения тепловых потерь через теплоизоляцию по</w:t>
      </w:r>
      <w:r>
        <w:rPr>
          <w:color w:val="auto"/>
        </w:rPr>
        <w:t xml:space="preserve">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ТСО.</w:t>
      </w:r>
      <w:r>
        <w:rPr>
          <w:color w:val="auto"/>
        </w:rPr>
      </w:r>
    </w:p>
    <w:p>
      <w:pPr>
        <w:pStyle w:val="12960"/>
        <w:pBdr/>
        <w:spacing/>
        <w:ind/>
        <w:rPr>
          <w:color w:val="auto"/>
        </w:rPr>
      </w:pPr>
      <w:r>
        <w:rPr>
          <w:b/>
          <w:color w:val="auto"/>
        </w:rPr>
        <w:t xml:space="preserve">Испытания на максимальную температуру теплоносителя</w:t>
      </w:r>
      <w:r>
        <w:rPr>
          <w:color w:val="auto"/>
        </w:rPr>
        <w:t xml:space="preserve"> проводятся в соответствии с «Правилами технической эксплуатации электрических станций и сетей Российс</w:t>
      </w:r>
      <w:r>
        <w:rPr>
          <w:color w:val="auto"/>
        </w:rPr>
        <w:t xml:space="preserve">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w:t>
      </w:r>
      <w:r>
        <w:rPr>
          <w:color w:val="auto"/>
        </w:rPr>
        <w:t xml:space="preserve">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r>
        <w:rPr>
          <w:color w:val="auto"/>
        </w:rPr>
      </w:r>
    </w:p>
    <w:p>
      <w:pPr>
        <w:pStyle w:val="12960"/>
        <w:pBdr/>
        <w:spacing/>
        <w:ind/>
        <w:rPr/>
      </w:pPr>
      <w:r>
        <w:rPr>
          <w:b/>
        </w:rPr>
        <w:t xml:space="preserve">Испытания на потенциалы блуждающих токов.</w:t>
      </w:r>
      <w: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r/>
    </w:p>
    <w:p>
      <w:pPr>
        <w:pStyle w:val="12960"/>
        <w:pBdr/>
        <w:spacing/>
        <w:ind/>
        <w:rPr/>
      </w:pPr>
      <w:r>
        <w:t xml:space="preserve">Для поддержания надежного теплоснабжения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w:t>
      </w:r>
      <w:r>
        <w:t xml:space="preserve">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r/>
    </w:p>
    <w:p>
      <w:pPr>
        <w:pStyle w:val="10533"/>
        <w:keepNext w:val="true"/>
        <w:keepLines w:val="true"/>
        <w:widowControl w:val="true"/>
        <w:numPr>
          <w:ilvl w:val="0"/>
          <w:numId w:val="0"/>
        </w:numPr>
        <w:pBdr/>
        <w:bidi w:val="false"/>
        <w:spacing w:after="360" w:before="360" w:line="240" w:lineRule="auto"/>
        <w:ind w:right="0" w:hanging="567" w:left="567"/>
        <w:contextualSpacing w:val="true"/>
        <w:jc w:val="both"/>
        <w:outlineLvl w:val="2"/>
        <w:rPr>
          <w:b/>
          <w:bCs/>
          <w:sz w:val="26"/>
          <w:szCs w:val="26"/>
          <w:lang w:eastAsia="en-US"/>
        </w:rPr>
      </w:pPr>
      <w:r/>
      <w:bookmarkStart w:id="231" w:name="_Toc465965259"/>
      <w:r/>
      <w:bookmarkStart w:id="232" w:name="_Toc198483505"/>
      <w:r/>
      <w:bookmarkStart w:id="233" w:name="_Toc3821488"/>
      <w:r/>
      <w:bookmarkStart w:id="234" w:name="_Toc3821890"/>
      <w:r/>
      <w:bookmarkStart w:id="235" w:name="_Toc166767165"/>
      <w:r/>
      <w:bookmarkStart w:id="236" w:name="_Toc128472856"/>
      <w:r/>
      <w:bookmarkStart w:id="237" w:name="_Toc3820750"/>
      <w:r/>
      <w:bookmarkStart w:id="238" w:name="_Toc89018953"/>
      <w:r>
        <w:rPr>
          <w:b/>
          <w:bCs/>
          <w:sz w:val="26"/>
          <w:szCs w:val="26"/>
          <w:lang w:eastAsia="en-US"/>
        </w:rPr>
        <w:t xml:space="preserve">3.11.2. Методы технической диагностики, не нашедшие применения теплосетевыми организациями</w:t>
      </w:r>
      <w:bookmarkEnd w:id="232"/>
      <w:r>
        <w:rPr>
          <w:b/>
          <w:bCs/>
          <w:sz w:val="26"/>
          <w:szCs w:val="26"/>
          <w:lang w:eastAsia="en-US"/>
        </w:rPr>
        <w:t xml:space="preserve"> </w:t>
      </w:r>
      <w:bookmarkEnd w:id="231"/>
      <w:r/>
      <w:bookmarkEnd w:id="233"/>
      <w:r/>
      <w:bookmarkEnd w:id="234"/>
      <w:r/>
      <w:bookmarkEnd w:id="235"/>
      <w:r/>
      <w:bookmarkEnd w:id="236"/>
      <w:r/>
      <w:bookmarkEnd w:id="237"/>
      <w:r/>
      <w:bookmarkEnd w:id="238"/>
      <w:r/>
      <w:r>
        <w:rPr>
          <w:b/>
          <w:bCs/>
          <w:sz w:val="26"/>
          <w:szCs w:val="26"/>
          <w:lang w:eastAsia="en-US"/>
        </w:rPr>
      </w:r>
    </w:p>
    <w:p>
      <w:pPr>
        <w:pStyle w:val="12960"/>
        <w:pBdr/>
        <w:spacing/>
        <w:ind/>
        <w:rPr/>
      </w:pPr>
      <w:r>
        <w:t xml:space="preserve">В целях повышения качества диагностики тепловых сетей теплоснабжающим органи</w:t>
      </w:r>
      <w:r>
        <w:t xml:space="preserve">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r/>
    </w:p>
    <w:p>
      <w:pPr>
        <w:pStyle w:val="12960"/>
        <w:pBdr/>
        <w:spacing/>
        <w:ind/>
        <w:rPr>
          <w:color w:val="auto"/>
        </w:rPr>
      </w:pPr>
      <w:r>
        <w:rPr>
          <w:b/>
          <w:color w:val="auto"/>
        </w:rPr>
        <w:t xml:space="preserve">Метод акустической диагностики.</w:t>
      </w:r>
      <w:r>
        <w:rPr>
          <w:color w:val="auto"/>
        </w:rPr>
        <w:t xml:space="preserve"> Используются корреляторы усовершенствованной конструкции. Метод новый и пробные применения на сетях</w:t>
      </w:r>
      <w:r>
        <w:rPr>
          <w:color w:val="auto"/>
        </w:rPr>
        <w:t xml:space="preserve"> дали положительные результаты.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r>
        <w:rPr>
          <w:color w:val="auto"/>
        </w:rPr>
      </w:r>
    </w:p>
    <w:p>
      <w:pPr>
        <w:pStyle w:val="12960"/>
        <w:pBdr/>
        <w:spacing/>
        <w:ind/>
        <w:rPr>
          <w:color w:val="auto"/>
        </w:rPr>
      </w:pPr>
      <w:r>
        <w:rPr>
          <w:b/>
          <w:color w:val="auto"/>
        </w:rPr>
        <w:t xml:space="preserve">Метод акустической эмиссии.</w:t>
      </w:r>
      <w:r>
        <w:rPr>
          <w:color w:val="auto"/>
        </w:rPr>
        <w:t xml:space="preserve">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r>
        <w:rPr>
          <w:color w:val="auto"/>
        </w:rPr>
      </w:r>
    </w:p>
    <w:p>
      <w:pPr>
        <w:pStyle w:val="12960"/>
        <w:pBdr/>
        <w:spacing/>
        <w:ind/>
        <w:rPr>
          <w:color w:val="auto"/>
        </w:rPr>
      </w:pPr>
      <w:r>
        <w:rPr>
          <w:b/>
          <w:color w:val="auto"/>
        </w:rPr>
        <w:t xml:space="preserve">Тепловая аэросъемка в ИК-диапазоне.</w:t>
      </w:r>
      <w:r>
        <w:rPr>
          <w:color w:val="auto"/>
        </w:rPr>
        <w:t xml:space="preserve"> Метод очень эффективен для планирования ремонтов и </w:t>
      </w:r>
      <w:r>
        <w:rPr>
          <w:color w:val="auto"/>
        </w:rPr>
        <w:t xml:space="preserve">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r>
        <w:rPr>
          <w:color w:val="auto"/>
        </w:rPr>
      </w:r>
    </w:p>
    <w:p>
      <w:pPr>
        <w:pStyle w:val="12960"/>
        <w:pBdr/>
        <w:spacing/>
        <w:ind/>
        <w:rPr>
          <w:color w:val="auto"/>
        </w:rPr>
      </w:pPr>
      <w:r>
        <w:rPr>
          <w:b/>
          <w:color w:val="auto"/>
        </w:rPr>
        <w:t xml:space="preserve">Метод магнитной памяти металла.</w:t>
      </w:r>
      <w:r>
        <w:rPr>
          <w:color w:val="auto"/>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r>
        <w:rPr>
          <w:color w:val="auto"/>
        </w:rPr>
      </w:r>
    </w:p>
    <w:p>
      <w:pPr>
        <w:pStyle w:val="12960"/>
        <w:pBdr/>
        <w:spacing/>
        <w:ind/>
        <w:rPr>
          <w:color w:val="auto"/>
        </w:rPr>
      </w:pPr>
      <w:r>
        <w:rPr>
          <w:b/>
          <w:color w:val="auto"/>
        </w:rPr>
        <w:t xml:space="preserve">Метод магнитной томографии металла теплопроводов с поверхности земли.</w:t>
      </w:r>
      <w:r>
        <w:rPr>
          <w:color w:val="auto"/>
        </w:rPr>
        <w:t xml:space="preserve"> Метод имеет мало статистики, и пока трудно сказать о его эффективности в условиях гор</w:t>
      </w:r>
      <w:r>
        <w:rPr>
          <w:color w:val="auto"/>
          <w:lang w:val="en-US"/>
        </w:rPr>
        <w:t xml:space="preserve">o</w:t>
      </w:r>
      <w:r>
        <w:rPr>
          <w:color w:val="auto"/>
        </w:rPr>
        <w:t xml:space="preserve">да.</w:t>
      </w:r>
      <w:r>
        <w:rPr>
          <w:color w:val="auto"/>
        </w:rPr>
      </w:r>
    </w:p>
    <w:p>
      <w:pPr>
        <w:pStyle w:val="12960"/>
        <w:pBdr/>
        <w:spacing/>
        <w:ind/>
        <w:rPr>
          <w:rFonts w:eastAsia="Times New Roman"/>
          <w:color w:val="auto"/>
        </w:rPr>
      </w:pPr>
      <w:r>
        <w:rPr>
          <w:b/>
          <w:color w:val="auto"/>
        </w:rPr>
        <w:t xml:space="preserve">Схема формирования плана проектирования перекладок</w:t>
      </w:r>
      <w:r>
        <w:rPr>
          <w:color w:val="auto"/>
        </w:rPr>
        <w:t xml:space="preserve"> на основе данных мониторинга состояния прокладок ТС представлена на рисунке ниже.</w:t>
      </w:r>
      <w:r>
        <w:rPr>
          <w:rFonts w:eastAsia="Times New Roman"/>
          <w:color w:val="auto"/>
        </w:rPr>
      </w:r>
    </w:p>
    <w:p>
      <w:pPr>
        <w:pStyle w:val="12960"/>
        <w:pBdr/>
        <w:spacing/>
        <w:ind w:firstLine="0"/>
        <w:rPr>
          <w:color w:val="auto"/>
        </w:rPr>
      </w:pPr>
      <w:r>
        <mc:AlternateContent>
          <mc:Choice Requires="wpg">
            <w:drawing>
              <wp:inline xmlns:wp="http://schemas.openxmlformats.org/drawingml/2006/wordprocessingDrawing" distT="0" distB="0" distL="0" distR="0">
                <wp:extent cx="5943600" cy="4918710"/>
                <wp:effectExtent l="0" t="0" r="0" b="0"/>
                <wp:docPr id="10" name="Рисунок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32" descr=""/>
                        <pic:cNvPicPr>
                          <a:picLocks noChangeAspect="1"/>
                        </pic:cNvPicPr>
                        <pic:nvPr/>
                      </pic:nvPicPr>
                      <pic:blipFill rotWithShape="1">
                        <a:blip r:embed="rId560"/>
                        <a:stretch/>
                      </pic:blipFill>
                      <pic:spPr bwMode="auto">
                        <a:xfrm>
                          <a:off x="0" y="0"/>
                          <a:ext cx="5943600" cy="491871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468.00pt;height:387.30pt;mso-wrap-distance-left:0.00pt;mso-wrap-distance-top:0.00pt;mso-wrap-distance-right:0.00pt;mso-wrap-distance-bottom:0.00pt;z-index:1;" stroked="false">
                <v:imagedata r:id="rId560" o:title=""/>
                <o:lock v:ext="edit" rotation="t"/>
              </v:shape>
            </w:pict>
          </mc:Fallback>
        </mc:AlternateContent>
      </w:r>
      <w:r>
        <w:rPr>
          <w:color w:val="auto"/>
        </w:rPr>
      </w:r>
    </w:p>
    <w:p>
      <w:pPr>
        <w:pStyle w:val="12960"/>
        <w:pBdr/>
        <w:spacing/>
        <w:ind/>
        <w:rPr>
          <w:color w:val="auto"/>
        </w:rPr>
      </w:pPr>
      <w:r/>
      <w:bookmarkStart w:id="239" w:name="_Toc89262268"/>
      <w:r/>
      <w:bookmarkStart w:id="240" w:name="_Toc459888332"/>
      <w:r/>
      <w:bookmarkStart w:id="241" w:name="_Ref358030524"/>
      <w:r>
        <w:rPr>
          <w:color w:val="auto"/>
        </w:rPr>
        <w:t xml:space="preserve">Рисунок 1.3.11.2.1 – Схема формирования плана проектирования и перекладок</w:t>
      </w:r>
      <w:bookmarkEnd w:id="239"/>
      <w:r/>
      <w:bookmarkEnd w:id="240"/>
      <w:r/>
      <w:bookmarkEnd w:id="241"/>
      <w:r>
        <w:rPr>
          <w:color w:val="auto"/>
        </w:rPr>
        <w:br/>
      </w:r>
      <w:r>
        <w:rPr>
          <w:color w:val="auto"/>
        </w:rPr>
      </w:r>
    </w:p>
    <w:p>
      <w:pPr>
        <w:pStyle w:val="12960"/>
        <w:pBdr/>
        <w:spacing/>
        <w:ind/>
        <w:rPr/>
      </w:pPr>
      <w:r>
        <w:t xml:space="preserve">Для поддержания надежного теплоснабжения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w:t>
      </w:r>
      <w:r>
        <w:t xml:space="preserve">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r/>
    </w:p>
    <w:p>
      <w:pPr>
        <w:pStyle w:val="12960"/>
        <w:pBdr/>
        <w:spacing/>
        <w:ind/>
        <w:rPr/>
      </w:pPr>
      <w:r>
        <w:t xml:space="preserve">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17дн</w:t>
      </w:r>
      <w:r>
        <w:t xml:space="preserve">ей, магистральные сети от 5 до 15 дней.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w:t>
      </w:r>
      <w:r>
        <w:t xml:space="preserve">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п.4.4 продолжительность отключения потребителей от системы отопления и ГВС не превышает нормы.</w:t>
      </w:r>
      <w:r/>
    </w:p>
    <w:p>
      <w:pPr>
        <w:pStyle w:val="12960"/>
        <w:pBdr/>
        <w:spacing/>
        <w:ind/>
        <w:rPr/>
      </w:pPr>
      <w:r>
        <w:t xml:space="preserve">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r/>
    </w:p>
    <w:p>
      <w:pPr>
        <w:pStyle w:val="12960"/>
        <w:pBdr/>
        <w:spacing/>
        <w:ind/>
        <w:rPr/>
      </w:pPr>
      <w:r>
        <w:t xml:space="preserve">Оборудование тепловых сетей муниципальных образований в том числе тепловые пункты и системы теплопотребления до проведения пуска после летних ремонто</w:t>
      </w:r>
      <w:r>
        <w:t xml:space="preserve">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r/>
    </w:p>
    <w:p>
      <w:pPr>
        <w:pStyle w:val="12960"/>
        <w:pBdr/>
        <w:spacing/>
        <w:ind/>
        <w:rPr/>
      </w:pPr>
      <w:r>
        <w:t xml:space="preserve">Организовано техническое обслуживание и ремонт тепловых сетей. Ответственность </w:t>
      </w:r>
      <w:r>
        <w:t xml:space="preserve">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r/>
    </w:p>
    <w:p>
      <w:pPr>
        <w:pStyle w:val="12960"/>
        <w:pBdr/>
        <w:spacing/>
        <w:ind/>
        <w:rPr/>
      </w:pPr>
      <w:r>
        <w:t xml:space="preserve">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r/>
    </w:p>
    <w:p>
      <w:pPr>
        <w:pStyle w:val="12960"/>
        <w:pBdr/>
        <w:spacing/>
        <w:ind/>
        <w:rPr/>
      </w:pPr>
      <w:r>
        <w:t xml:space="preserve">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w:t>
      </w:r>
      <w:r>
        <w:t xml:space="preserve">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r/>
    </w:p>
    <w:p>
      <w:pPr>
        <w:pStyle w:val="12960"/>
        <w:pBdr/>
        <w:spacing/>
        <w:ind/>
        <w:rPr/>
      </w:pPr>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center"/>
        <w:rPr/>
      </w:pPr>
      <w:r/>
      <w:bookmarkStart w:id="242" w:name="_Toc78674713"/>
      <w:r/>
      <w:bookmarkStart w:id="243" w:name="_Toc475879446"/>
      <w:r/>
      <w:bookmarkStart w:id="244" w:name="_Toc84970950"/>
      <w:r/>
      <w:bookmarkStart w:id="245" w:name="_Toc166767166"/>
      <w:r/>
      <w:bookmarkStart w:id="246" w:name="_Toc198483506"/>
      <w:r>
        <w:rPr>
          <w:rFonts w:cs="Times New Roman"/>
        </w:rPr>
        <w:t xml:space="preserve">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42"/>
      <w:r/>
      <w:bookmarkEnd w:id="243"/>
      <w:r/>
      <w:bookmarkEnd w:id="244"/>
      <w:r/>
      <w:bookmarkEnd w:id="245"/>
      <w:r/>
      <w:bookmarkEnd w:id="246"/>
      <w:r/>
      <w:r/>
    </w:p>
    <w:p>
      <w:pPr>
        <w:pStyle w:val="12960"/>
        <w:pBdr/>
        <w:spacing/>
        <w:ind/>
        <w:rPr>
          <w:color w:val="auto"/>
        </w:rPr>
      </w:pPr>
      <w:r>
        <w:rPr>
          <w:color w:val="auto"/>
        </w:rPr>
        <w:t xml:space="preserve">Гидравлические испытания выполняются раз в год в межотопительный период, осмотры и обходы не реже одного раза в неделю. Планирование капитальных ремонтов производиться в конце календарного года на следующий год. Летние ремонты проводятся ежегодно.</w:t>
      </w:r>
      <w:r>
        <w:rPr>
          <w:color w:val="auto"/>
        </w:rPr>
      </w:r>
    </w:p>
    <w:p>
      <w:pPr>
        <w:pStyle w:val="12960"/>
        <w:pBdr/>
        <w:spacing/>
        <w:ind/>
        <w:rPr>
          <w:color w:val="auto"/>
        </w:rPr>
      </w:pPr>
      <w:r>
        <w:rPr>
          <w:color w:val="auto"/>
        </w:rPr>
        <w:t xml:space="preserve">В целях организации мониторинга за состоянием оборудования тепловых сетей применяются следующие виды диагностики:</w:t>
      </w:r>
      <w:r>
        <w:rPr>
          <w:color w:val="auto"/>
        </w:rPr>
      </w:r>
    </w:p>
    <w:p>
      <w:pPr>
        <w:pStyle w:val="12960"/>
        <w:pBdr/>
        <w:spacing/>
        <w:ind/>
        <w:rPr>
          <w:color w:val="auto"/>
        </w:rPr>
      </w:pPr>
      <w:r>
        <w:rPr>
          <w:color w:val="auto"/>
        </w:rPr>
        <w:t xml:space="preserve">Эксплуатационные испытания:</w:t>
      </w:r>
      <w:r>
        <w:rPr>
          <w:color w:val="auto"/>
        </w:rPr>
      </w:r>
    </w:p>
    <w:p>
      <w:pPr>
        <w:pStyle w:val="12960"/>
        <w:pBdr/>
        <w:spacing/>
        <w:ind/>
        <w:rPr>
          <w:color w:val="auto"/>
        </w:rPr>
      </w:pPr>
      <w:r>
        <w:rPr>
          <w:color w:val="auto"/>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w:t>
      </w:r>
      <w:r>
        <w:rPr>
          <w:color w:val="auto"/>
        </w:rPr>
        <w:t xml:space="preserve">оводятся согласно требованиям ПТЭ электрических станций и сетей РФ и Правил устройства и безопасной эксплуатации трубопроводов пара и горячей воды. По результатам испытаний выявляются дефектные участки, не выдержавшие испытания пробным давлением, формирует</w:t>
      </w:r>
      <w:r>
        <w:rPr>
          <w:color w:val="auto"/>
        </w:rPr>
        <w:t xml:space="preserve">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r>
        <w:rPr>
          <w:color w:val="auto"/>
        </w:rPr>
      </w:r>
    </w:p>
    <w:p>
      <w:pPr>
        <w:pStyle w:val="12960"/>
        <w:pBdr/>
        <w:spacing/>
        <w:ind/>
        <w:rPr>
          <w:color w:val="auto"/>
        </w:rPr>
      </w:pPr>
      <w:r>
        <w:rPr>
          <w:color w:val="auto"/>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тепловых сетей (1 раз в 2 года) с целью выявления дефектов трубоп</w:t>
      </w:r>
      <w:r>
        <w:rPr>
          <w:color w:val="auto"/>
        </w:rPr>
        <w:t xml:space="preserve">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w:t>
      </w:r>
      <w:r>
        <w:rPr>
          <w:color w:val="auto"/>
        </w:rPr>
        <w:t xml:space="preserve">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w:t>
      </w:r>
      <w:r>
        <w:rPr>
          <w:color w:val="auto"/>
        </w:rPr>
        <w:t xml:space="preserve">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r>
        <w:rPr>
          <w:color w:val="auto"/>
        </w:rPr>
      </w:r>
    </w:p>
    <w:p>
      <w:pPr>
        <w:pStyle w:val="12960"/>
        <w:pBdr/>
        <w:spacing/>
        <w:ind/>
        <w:rPr>
          <w:color w:val="auto"/>
        </w:rPr>
      </w:pPr>
      <w:r>
        <w:rPr>
          <w:color w:val="auto"/>
        </w:rPr>
        <w:t xml:space="preserve">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w:t>
      </w:r>
      <w:r>
        <w:rPr>
          <w:color w:val="auto"/>
        </w:rPr>
        <w:t xml:space="preserve">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w:t>
      </w:r>
      <w:r>
        <w:rPr>
          <w:color w:val="auto"/>
        </w:rPr>
        <w:t xml:space="preserve">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r>
        <w:rPr>
          <w:color w:val="auto"/>
        </w:rPr>
      </w:r>
    </w:p>
    <w:p>
      <w:pPr>
        <w:pStyle w:val="12960"/>
        <w:pBdr/>
        <w:spacing/>
        <w:ind/>
        <w:rPr>
          <w:color w:val="auto"/>
        </w:rPr>
      </w:pPr>
      <w:r>
        <w:rPr>
          <w:color w:val="auto"/>
        </w:rPr>
        <w:t xml:space="preserve">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w:t>
      </w:r>
      <w:r>
        <w:rPr>
          <w:color w:val="auto"/>
        </w:rPr>
        <w:t xml:space="preserve">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w:t>
      </w:r>
      <w:r>
        <w:rPr>
          <w:color w:val="auto"/>
        </w:rPr>
        <w:t xml:space="preserve">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w:t>
      </w:r>
      <w:r>
        <w:rPr>
          <w:color w:val="auto"/>
        </w:rPr>
        <w:t xml:space="preserve">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r>
        <w:rPr>
          <w:color w:val="auto"/>
        </w:rPr>
      </w:r>
    </w:p>
    <w:p>
      <w:pPr>
        <w:pStyle w:val="12960"/>
        <w:pBdr/>
        <w:spacing/>
        <w:ind/>
        <w:rPr>
          <w:color w:val="auto"/>
        </w:rPr>
      </w:pPr>
      <w:r>
        <w:rPr>
          <w:color w:val="auto"/>
        </w:rPr>
        <w:t xml:space="preserve">Регламентные работы:</w:t>
      </w:r>
      <w:r>
        <w:rPr>
          <w:color w:val="auto"/>
        </w:rPr>
      </w:r>
    </w:p>
    <w:p>
      <w:pPr>
        <w:pStyle w:val="12960"/>
        <w:pBdr/>
        <w:spacing/>
        <w:ind/>
        <w:rPr>
          <w:color w:val="auto"/>
        </w:rPr>
      </w:pPr>
      <w:r>
        <w:rPr>
          <w:color w:val="auto"/>
        </w:rPr>
        <w:t xml:space="preserve">Контрольные шурфовки – проводятся ежегодно по графику в межотопительный период с целью оценки состояния трубопров</w:t>
      </w:r>
      <w:r>
        <w:rPr>
          <w:color w:val="auto"/>
        </w:rPr>
        <w:t xml:space="preserve">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w:t>
      </w:r>
      <w:r>
        <w:rPr>
          <w:color w:val="auto"/>
        </w:rPr>
        <w:t xml:space="preserve">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w:t>
      </w:r>
      <w:r>
        <w:rPr>
          <w:color w:val="auto"/>
        </w:rPr>
        <w:t xml:space="preserve">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r>
        <w:rPr>
          <w:color w:val="auto"/>
        </w:rPr>
      </w:r>
    </w:p>
    <w:p>
      <w:pPr>
        <w:pStyle w:val="12960"/>
        <w:pBdr/>
        <w:spacing/>
        <w:ind/>
        <w:rPr>
          <w:color w:val="auto"/>
        </w:rPr>
      </w:pPr>
      <w:r>
        <w:rPr>
          <w:color w:val="auto"/>
        </w:rPr>
        <w:t xml:space="preserve">Оценка интенсивности процесса внутренней коррозии -</w:t>
      </w:r>
      <w:r>
        <w:rPr>
          <w:color w:val="auto"/>
        </w:rPr>
        <w:t xml:space="preserve">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w:t>
      </w:r>
      <w:r>
        <w:rPr>
          <w:color w:val="auto"/>
        </w:rPr>
        <w:t xml:space="preserve">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w:t>
      </w:r>
      <w:r>
        <w:rPr>
          <w:color w:val="auto"/>
        </w:rPr>
        <w:t xml:space="preserve">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r>
        <w:rPr>
          <w:color w:val="auto"/>
        </w:rPr>
      </w:r>
    </w:p>
    <w:p>
      <w:pPr>
        <w:pStyle w:val="12960"/>
        <w:pBdr/>
        <w:spacing/>
        <w:ind/>
        <w:rPr>
          <w:color w:val="auto"/>
        </w:rPr>
      </w:pPr>
      <w:r>
        <w:rPr>
          <w:color w:val="auto"/>
        </w:rPr>
        <w:t xml:space="preserve">Техническое освидетельствование – проводится в части наружного осмотра, гидравлических испытаний и технического диагностирования:</w:t>
      </w:r>
      <w:r>
        <w:rPr>
          <w:color w:val="auto"/>
        </w:rPr>
      </w:r>
    </w:p>
    <w:p>
      <w:pPr>
        <w:pStyle w:val="13832"/>
        <w:numPr>
          <w:ilvl w:val="0"/>
          <w:numId w:val="61"/>
        </w:numPr>
        <w:pBdr/>
        <w:spacing/>
        <w:ind w:hanging="284" w:left="1135"/>
        <w:rPr/>
      </w:pPr>
      <w:r>
        <w:t xml:space="preserve">наружный осмотр - ежегодно;</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гидравлические испытания – ежегодно, а также перед пуском в эксплуатацию после монтажа или ремонта, связанного со сваркой;</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r/>
    </w:p>
    <w:p>
      <w:pPr>
        <w:pStyle w:val="12960"/>
        <w:pBdr/>
        <w:spacing/>
        <w:ind/>
        <w:rPr>
          <w:color w:val="auto"/>
        </w:rPr>
      </w:pPr>
      <w:r>
        <w:rPr>
          <w:color w:val="auto"/>
        </w:rPr>
        <w:t xml:space="preserve">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w:t>
      </w:r>
      <w:r>
        <w:rPr>
          <w:color w:val="auto"/>
        </w:rPr>
        <w:t xml:space="preserve">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r>
        <w:rPr>
          <w:color w:val="auto"/>
        </w:rPr>
      </w:r>
    </w:p>
    <w:p>
      <w:pPr>
        <w:pStyle w:val="12960"/>
        <w:pBdr/>
        <w:spacing/>
        <w:ind/>
        <w:rPr>
          <w:color w:val="auto"/>
        </w:rPr>
      </w:pPr>
      <w:r>
        <w:rPr>
          <w:color w:val="auto"/>
        </w:rPr>
        <w:t xml:space="preserve">Планирование капитальных (текущих) ремонтов.</w:t>
      </w:r>
      <w:r>
        <w:rPr>
          <w:color w:val="auto"/>
        </w:rPr>
      </w:r>
    </w:p>
    <w:p>
      <w:pPr>
        <w:pStyle w:val="12960"/>
        <w:pBdr/>
        <w:spacing/>
        <w:ind/>
        <w:rPr>
          <w:color w:val="auto"/>
        </w:rPr>
      </w:pPr>
      <w:r>
        <w:rPr>
          <w:color w:val="auto"/>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r>
        <w:rPr>
          <w:color w:val="auto"/>
        </w:rPr>
      </w:r>
    </w:p>
    <w:p>
      <w:pPr>
        <w:pStyle w:val="12960"/>
        <w:pBdr/>
        <w:spacing/>
        <w:ind/>
        <w:rPr>
          <w:color w:val="auto"/>
        </w:rPr>
      </w:pPr>
      <w:r>
        <w:rPr>
          <w:color w:val="auto"/>
        </w:rPr>
        <w:t xml:space="preserve">На основании перспективного графика ремонтов разрабатывается перспективный план подготовки к ремонту на 5 лет.</w:t>
      </w:r>
      <w:r>
        <w:rPr>
          <w:color w:val="auto"/>
        </w:rPr>
      </w:r>
    </w:p>
    <w:p>
      <w:pPr>
        <w:pStyle w:val="12960"/>
        <w:pBdr/>
        <w:spacing/>
        <w:ind/>
        <w:rPr>
          <w:color w:val="auto"/>
        </w:rPr>
      </w:pPr>
      <w:r>
        <w:rPr>
          <w:color w:val="auto"/>
        </w:rPr>
        <w:t xml:space="preserve">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r>
        <w:rPr>
          <w:color w:val="auto"/>
        </w:rPr>
      </w:r>
    </w:p>
    <w:p>
      <w:pPr>
        <w:pStyle w:val="12960"/>
        <w:pBdr/>
        <w:spacing/>
        <w:ind/>
        <w:rPr/>
      </w:pPr>
      <w:r>
        <w:t xml:space="preserve">Планирование проведения летних ремонтов в ООО «АГК»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r/>
    </w:p>
    <w:p>
      <w:pPr>
        <w:pStyle w:val="13832"/>
        <w:keepNext w:val="false"/>
        <w:widowControl w:val="true"/>
        <w:numPr>
          <w:ilvl w:val="0"/>
          <w:numId w:val="61"/>
        </w:numPr>
        <w:pBdr/>
        <w:bidi w:val="false"/>
        <w:spacing w:after="0" w:before="0" w:line="360" w:lineRule="auto"/>
        <w:ind w:right="0" w:firstLine="567" w:left="0"/>
        <w:jc w:val="both"/>
        <w:rPr/>
      </w:pPr>
      <w:r>
        <w:t xml:space="preserve">замечаний к работе оборудования, выявленных обслуживающим и ремонтным персоналом во время отопительного периода и плановых осмотров, проводимых в форме обхода трасс теплопроводов и тепловых пунктов;</w:t>
      </w:r>
      <w:r/>
    </w:p>
    <w:p>
      <w:pPr>
        <w:pStyle w:val="12960"/>
        <w:pBdr/>
        <w:spacing/>
        <w:ind/>
        <w:rPr/>
      </w:pPr>
      <w:r>
        <w:t xml:space="preserve">Частота обходов - не реже одного раза в 2 недели в течение отопительного сезона и одного раза в месяц в межотопительный период;</w:t>
      </w:r>
      <w:r/>
    </w:p>
    <w:p>
      <w:pPr>
        <w:pStyle w:val="13832"/>
        <w:numPr>
          <w:ilvl w:val="0"/>
          <w:numId w:val="61"/>
        </w:numPr>
        <w:pBdr/>
        <w:spacing/>
        <w:ind w:hanging="284" w:left="1135"/>
        <w:rPr/>
      </w:pPr>
      <w:r>
        <w:t xml:space="preserve"> </w:t>
      </w:r>
      <w:r>
        <w:t xml:space="preserve">графика планово-предупредительного ремонта;</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 </w:t>
      </w:r>
      <w:r>
        <w:t xml:space="preserve">результатов ежегодных гидравлических испытаний на прочность и плотность, проводимых после окончания отопительного сезона.</w:t>
      </w:r>
      <w:r/>
    </w:p>
    <w:p>
      <w:pPr>
        <w:pStyle w:val="12960"/>
        <w:pBdr/>
        <w:spacing/>
        <w:ind/>
        <w:rPr/>
      </w:pPr>
      <w:r>
        <w:t xml:space="preserve">Испытания на плотность и прочность проводятся в соответствии с «Правилами устройства и безопасной эксплуатации трубоп</w:t>
      </w:r>
      <w:r>
        <w:t xml:space="preserve">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местной инструкцией. Для проведения гидравлических испытаний на прочность</w:t>
      </w:r>
      <w:r>
        <w:t xml:space="preserve"> и плотность в 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w:t>
      </w:r>
      <w:r>
        <w:t xml:space="preserve">авления. При этом значение рабочего давления составляет Рр=0,6 МПа.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r/>
    </w:p>
    <w:p>
      <w:pPr>
        <w:pStyle w:val="12960"/>
        <w:pBdr/>
        <w:spacing/>
        <w:ind/>
        <w:rPr/>
      </w:pPr>
      <w:r>
        <w:t xml:space="preserve">Объем работ, проводимых ООО «АГК» 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r/>
    </w:p>
    <w:p>
      <w:pPr>
        <w:pStyle w:val="12960"/>
        <w:pBdr/>
        <w:spacing/>
        <w:ind/>
        <w:rPr>
          <w:lang w:eastAsia="ru-RU"/>
        </w:rPr>
      </w:pPr>
      <w:r>
        <w:t xml:space="preserve">Испытания на тепловые потери на сетях ООО «АГК» не проводятся.</w:t>
      </w:r>
      <w:r>
        <w:rPr>
          <w:lang w:eastAsia="ru-RU"/>
        </w:rPr>
      </w:r>
    </w:p>
    <w:p>
      <w:pPr>
        <w:pStyle w:val="12960"/>
        <w:pBdr/>
        <w:spacing/>
        <w:ind/>
        <w:rPr/>
      </w:pPr>
      <w:r>
        <w:t xml:space="preserve">На тепловых сетях ООО «АГК» проводят испытания на плотность и прочность в соответствии с «Правилами устройства и безопасной эксплу</w:t>
      </w:r>
      <w:r>
        <w:t xml:space="preserve">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r/>
    </w:p>
    <w:p>
      <w:pPr>
        <w:pStyle w:val="12960"/>
        <w:pBdr/>
        <w:spacing/>
        <w:ind/>
        <w:rPr/>
      </w:pPr>
      <w: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w:t>
      </w:r>
      <w:r>
        <w:t xml:space="preserve">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r/>
    </w:p>
    <w:p>
      <w:pPr>
        <w:pStyle w:val="12960"/>
        <w:pBdr/>
        <w:spacing/>
        <w:ind/>
        <w:rPr/>
      </w:pPr>
      <w: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r/>
    </w:p>
    <w:p>
      <w:pPr>
        <w:pStyle w:val="12960"/>
        <w:pBdr/>
        <w:spacing/>
        <w:ind/>
        <w:rPr/>
      </w:pPr>
      <w:r>
        <w:t xml:space="preserve">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r/>
    </w:p>
    <w:p>
      <w:pPr>
        <w:pStyle w:val="12960"/>
        <w:pBdr/>
        <w:spacing/>
        <w:ind/>
        <w:rPr/>
      </w:pPr>
      <w:r>
        <w:t xml:space="preserve">После корректировки физических объемов в соответствии с финансовыми средствами ООО «АГК»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r/>
    </w:p>
    <w:p>
      <w:pPr>
        <w:pStyle w:val="12960"/>
        <w:pBdr/>
        <w:spacing/>
        <w:ind/>
        <w:rPr/>
      </w:pPr>
      <w:r>
        <w:t xml:space="preserve">Периодичность и техн</w:t>
      </w:r>
      <w:r>
        <w:t xml:space="preserve">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r/>
    </w:p>
    <w:p>
      <w:pPr>
        <w:pStyle w:val="12960"/>
        <w:pBdr/>
        <w:spacing/>
        <w:ind/>
        <w:rPr/>
      </w:pPr>
      <w:r>
        <w:t xml:space="preserve">К методам испытаний тепловых сетей относятся:</w:t>
      </w:r>
      <w:r/>
    </w:p>
    <w:p>
      <w:pPr>
        <w:pStyle w:val="12960"/>
        <w:pBdr/>
        <w:spacing/>
        <w:ind/>
        <w:rPr/>
      </w:pPr>
      <w:r>
        <w:t xml:space="preserve">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w:t>
      </w:r>
      <w:r>
        <w:t xml:space="preserve">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Pr>
          <w:vertAlign w:val="superscript"/>
        </w:rPr>
        <w:t xml:space="preserve">2</w:t>
      </w:r>
      <w:r>
        <w:t xml:space="preserve">). Значение рабочего давления установлено техническим руководителем и составляет для тепловых сетей первого контура 1,6 МПа. </w:t>
      </w:r>
      <w:r/>
    </w:p>
    <w:p>
      <w:pPr>
        <w:pStyle w:val="12960"/>
        <w:pBdr/>
        <w:spacing/>
        <w:ind/>
        <w:rPr/>
      </w:pPr>
      <w:r>
        <w:t xml:space="preserve">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r/>
    </w:p>
    <w:p>
      <w:pPr>
        <w:pStyle w:val="12960"/>
        <w:pBdr/>
        <w:spacing/>
        <w:ind/>
        <w:rPr/>
      </w:pPr>
      <w:r>
        <w:t xml:space="preserve">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r/>
    </w:p>
    <w:p>
      <w:pPr>
        <w:pStyle w:val="12960"/>
        <w:pBdr/>
        <w:spacing/>
        <w:ind/>
        <w:rPr/>
      </w:pPr>
      <w:r>
        <w:t xml:space="preserve">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r/>
    </w:p>
    <w:p>
      <w:pPr>
        <w:pStyle w:val="12960"/>
        <w:pBdr/>
        <w:spacing/>
        <w:ind/>
        <w:rPr/>
      </w:pPr>
      <w:r>
        <w:t xml:space="preserve">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w:t>
      </w:r>
      <w:r>
        <w:t xml:space="preserve">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r/>
    </w:p>
    <w:p>
      <w:pPr>
        <w:pStyle w:val="12960"/>
        <w:pBdr/>
        <w:spacing/>
        <w:ind/>
        <w:rPr/>
      </w:pPr>
      <w:r/>
      <w:r/>
    </w:p>
    <w:p>
      <w:pPr>
        <w:pStyle w:val="12960"/>
        <w:pBdr/>
        <w:spacing/>
        <w:ind/>
        <w:rPr>
          <w:b/>
        </w:rPr>
      </w:pPr>
      <w:r>
        <w:rPr>
          <w:b/>
        </w:rPr>
        <w:t xml:space="preserve">Таблица 1.3.12.1 - Стандартный график производства работ</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198"/>
        <w:gridCol w:w="1926"/>
        <w:gridCol w:w="2332"/>
        <w:gridCol w:w="189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98" w:type="dxa"/>
            <w:vAlign w:val="center"/>
          </w:tcPr>
          <w:p>
            <w:pPr>
              <w:pStyle w:val="12385"/>
              <w:pBdr/>
              <w:spacing/>
              <w:ind/>
              <w:rPr>
                <w:rFonts w:cs="Times New Roman"/>
              </w:rPr>
            </w:pPr>
            <w:r>
              <w:rPr>
                <w:rFonts w:cs="Times New Roman"/>
              </w:rPr>
              <w:t xml:space="preserve">Перечень регламентных работ</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926" w:type="dxa"/>
            <w:vAlign w:val="center"/>
          </w:tcPr>
          <w:p>
            <w:pPr>
              <w:pStyle w:val="12385"/>
              <w:pBdr/>
              <w:spacing/>
              <w:ind/>
              <w:rPr>
                <w:rFonts w:cs="Times New Roman"/>
              </w:rPr>
            </w:pPr>
            <w:r>
              <w:rPr>
                <w:rFonts w:cs="Times New Roman"/>
              </w:rPr>
              <w:t xml:space="preserve">Периодичность проведения регламентных работ</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32" w:type="dxa"/>
            <w:vAlign w:val="center"/>
          </w:tcPr>
          <w:p>
            <w:pPr>
              <w:pStyle w:val="12385"/>
              <w:pBdr/>
              <w:spacing/>
              <w:ind/>
              <w:rPr>
                <w:rFonts w:cs="Times New Roman"/>
              </w:rPr>
            </w:pPr>
            <w:r>
              <w:rPr>
                <w:rFonts w:cs="Times New Roman"/>
              </w:rPr>
              <w:t xml:space="preserve">Период проведения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97" w:type="dxa"/>
            <w:vAlign w:val="center"/>
          </w:tcPr>
          <w:p>
            <w:pPr>
              <w:pStyle w:val="12385"/>
              <w:pBdr/>
              <w:spacing/>
              <w:ind/>
              <w:rPr>
                <w:rFonts w:cs="Times New Roman"/>
              </w:rPr>
            </w:pPr>
            <w:r>
              <w:rPr>
                <w:rFonts w:cs="Times New Roman"/>
              </w:rPr>
              <w:t xml:space="preserve">Расчётная формула для расчёта нормы затрат теплоносителя, V, м</w:t>
            </w:r>
            <w:r>
              <w:rPr>
                <w:rFonts w:cs="Times New Roman"/>
                <w:vertAlign w:val="superscript"/>
              </w:rPr>
              <w:t xml:space="preserve">3</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98" w:type="dxa"/>
            <w:vAlign w:val="center"/>
          </w:tcPr>
          <w:p>
            <w:pPr>
              <w:pStyle w:val="12385"/>
              <w:pBdr/>
              <w:spacing/>
              <w:ind/>
              <w:rPr>
                <w:rFonts w:cs="Times New Roman"/>
              </w:rPr>
            </w:pPr>
            <w:r>
              <w:rPr>
                <w:rFonts w:cs="Times New Roman"/>
              </w:rPr>
              <w:t xml:space="preserve">Заполнение трубопроводов магистральных и распределительных сетей после проведения ремонта в межотопительный период</w:t>
            </w:r>
            <w:r>
              <w:rPr>
                <w:rFonts w:cs="Times New Roman"/>
              </w:rPr>
            </w:r>
          </w:p>
        </w:tc>
        <w:tc>
          <w:tcPr>
            <w:tcBorders>
              <w:top w:val="single" w:color="000000" w:sz="4" w:space="0"/>
              <w:left w:val="single" w:color="000000" w:sz="4" w:space="0"/>
              <w:bottom w:val="single" w:color="000000" w:sz="4" w:space="0"/>
              <w:right w:val="single" w:color="000000" w:sz="4" w:space="0"/>
            </w:tcBorders>
            <w:tcW w:w="1926" w:type="dxa"/>
            <w:vAlign w:val="center"/>
          </w:tcPr>
          <w:p>
            <w:pPr>
              <w:pStyle w:val="12385"/>
              <w:pBdr/>
              <w:spacing/>
              <w:ind/>
              <w:rPr>
                <w:rFonts w:cs="Times New Roman"/>
              </w:rPr>
            </w:pPr>
            <w:r>
              <w:rPr>
                <w:rFonts w:cs="Times New Roman"/>
              </w:rPr>
              <w:t xml:space="preserve">1 раз в год</w:t>
            </w:r>
            <w:r>
              <w:rPr>
                <w:rFonts w:cs="Times New Roman"/>
              </w:rPr>
            </w:r>
          </w:p>
        </w:tc>
        <w:tc>
          <w:tcPr>
            <w:tcBorders>
              <w:top w:val="single" w:color="000000" w:sz="4" w:space="0"/>
              <w:left w:val="single" w:color="000000" w:sz="4" w:space="0"/>
              <w:bottom w:val="single" w:color="000000" w:sz="4" w:space="0"/>
              <w:right w:val="single" w:color="000000" w:sz="4" w:space="0"/>
            </w:tcBorders>
            <w:tcW w:w="2332" w:type="dxa"/>
            <w:vAlign w:val="center"/>
          </w:tcPr>
          <w:p>
            <w:pPr>
              <w:pStyle w:val="12385"/>
              <w:pBdr/>
              <w:spacing/>
              <w:ind/>
              <w:rPr>
                <w:rFonts w:cs="Times New Roman"/>
              </w:rPr>
            </w:pPr>
            <w:r>
              <w:rPr>
                <w:rFonts w:cs="Times New Roman"/>
              </w:rPr>
              <w:t xml:space="preserve">июнь-август</w:t>
            </w:r>
            <w:r>
              <w:rPr>
                <w:rFonts w:cs="Times New Roman"/>
              </w:rPr>
            </w:r>
          </w:p>
        </w:tc>
        <w:tc>
          <w:tcPr>
            <w:tcBorders>
              <w:top w:val="single" w:color="000000" w:sz="4" w:space="0"/>
              <w:left w:val="single" w:color="000000" w:sz="4" w:space="0"/>
              <w:bottom w:val="single" w:color="000000" w:sz="4" w:space="0"/>
              <w:right w:val="single" w:color="000000" w:sz="4" w:space="0"/>
            </w:tcBorders>
            <w:tcW w:w="1897" w:type="dxa"/>
            <w:vAlign w:val="center"/>
          </w:tcPr>
          <w:p>
            <w:pPr>
              <w:pStyle w:val="12385"/>
              <w:pBdr/>
              <w:spacing/>
              <w:ind/>
              <w:rPr>
                <w:rFonts w:cs="Times New Roman"/>
              </w:rPr>
            </w:pPr>
            <w:r>
              <w:rPr>
                <w:rFonts w:cs="Times New Roman"/>
              </w:rPr>
              <w:t xml:space="preserve">1,5</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98" w:type="dxa"/>
            <w:vAlign w:val="center"/>
          </w:tcPr>
          <w:p>
            <w:pPr>
              <w:pStyle w:val="12385"/>
              <w:pBdr/>
              <w:spacing/>
              <w:ind/>
              <w:rPr>
                <w:rFonts w:cs="Times New Roman"/>
              </w:rPr>
            </w:pPr>
            <w:r>
              <w:rPr>
                <w:rFonts w:cs="Times New Roman"/>
              </w:rPr>
              <w:t xml:space="preserve">Испытания на плотность и механическую прочность трубопроводов тепловых сетей</w:t>
            </w:r>
            <w:r>
              <w:rPr>
                <w:rFonts w:cs="Times New Roman"/>
              </w:rPr>
            </w:r>
          </w:p>
        </w:tc>
        <w:tc>
          <w:tcPr>
            <w:tcBorders>
              <w:top w:val="single" w:color="000000" w:sz="4" w:space="0"/>
              <w:left w:val="single" w:color="000000" w:sz="4" w:space="0"/>
              <w:bottom w:val="single" w:color="000000" w:sz="4" w:space="0"/>
              <w:right w:val="single" w:color="000000" w:sz="4" w:space="0"/>
            </w:tcBorders>
            <w:tcW w:w="1926" w:type="dxa"/>
            <w:vAlign w:val="center"/>
          </w:tcPr>
          <w:p>
            <w:pPr>
              <w:pStyle w:val="12385"/>
              <w:pBdr/>
              <w:spacing/>
              <w:ind/>
              <w:rPr>
                <w:rFonts w:cs="Times New Roman"/>
              </w:rPr>
            </w:pPr>
            <w:r>
              <w:rPr>
                <w:rFonts w:cs="Times New Roman"/>
              </w:rPr>
              <w:t xml:space="preserve">1 раз в год</w:t>
            </w:r>
            <w:r>
              <w:rPr>
                <w:rFonts w:cs="Times New Roman"/>
              </w:rPr>
            </w:r>
          </w:p>
        </w:tc>
        <w:tc>
          <w:tcPr>
            <w:tcBorders>
              <w:top w:val="single" w:color="000000" w:sz="4" w:space="0"/>
              <w:left w:val="single" w:color="000000" w:sz="4" w:space="0"/>
              <w:bottom w:val="single" w:color="000000" w:sz="4" w:space="0"/>
              <w:right w:val="single" w:color="000000" w:sz="4" w:space="0"/>
            </w:tcBorders>
            <w:tcW w:w="2332" w:type="dxa"/>
            <w:vAlign w:val="center"/>
          </w:tcPr>
          <w:p>
            <w:pPr>
              <w:pStyle w:val="12385"/>
              <w:pBdr/>
              <w:spacing/>
              <w:ind/>
              <w:rPr>
                <w:rFonts w:cs="Times New Roman"/>
              </w:rPr>
            </w:pPr>
            <w:r>
              <w:rPr>
                <w:rFonts w:cs="Times New Roman"/>
              </w:rPr>
              <w:t xml:space="preserve">июнь-август</w:t>
            </w:r>
            <w:r>
              <w:rPr>
                <w:rFonts w:cs="Times New Roman"/>
              </w:rPr>
            </w:r>
          </w:p>
        </w:tc>
        <w:tc>
          <w:tcPr>
            <w:tcBorders>
              <w:top w:val="single" w:color="000000" w:sz="4" w:space="0"/>
              <w:left w:val="single" w:color="000000" w:sz="4" w:space="0"/>
              <w:bottom w:val="single" w:color="000000" w:sz="4" w:space="0"/>
              <w:right w:val="single" w:color="000000" w:sz="4" w:space="0"/>
            </w:tcBorders>
            <w:tcW w:w="1897" w:type="dxa"/>
            <w:vAlign w:val="center"/>
            <w:vMerge w:val="restart"/>
          </w:tcPr>
          <w:p>
            <w:pPr>
              <w:pStyle w:val="12385"/>
              <w:pBdr/>
              <w:spacing/>
              <w:ind/>
              <w:rPr>
                <w:rFonts w:cs="Times New Roman"/>
              </w:rPr>
            </w:pPr>
            <w:r>
              <w:rPr>
                <w:rFonts w:cs="Times New Roman"/>
              </w:rPr>
              <w:t xml:space="preserve">0,5</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98" w:type="dxa"/>
            <w:vAlign w:val="center"/>
          </w:tcPr>
          <w:p>
            <w:pPr>
              <w:pStyle w:val="12385"/>
              <w:pBdr/>
              <w:spacing/>
              <w:ind/>
              <w:rPr>
                <w:rFonts w:cs="Times New Roman"/>
              </w:rPr>
            </w:pPr>
            <w:r>
              <w:rPr>
                <w:rFonts w:cs="Times New Roman"/>
              </w:rPr>
              <w:t xml:space="preserve">Промывка трубопроводов тепловых сетей</w:t>
            </w:r>
            <w:r>
              <w:rPr>
                <w:rFonts w:cs="Times New Roman"/>
              </w:rPr>
            </w:r>
          </w:p>
        </w:tc>
        <w:tc>
          <w:tcPr>
            <w:tcBorders>
              <w:top w:val="single" w:color="000000" w:sz="4" w:space="0"/>
              <w:left w:val="single" w:color="000000" w:sz="4" w:space="0"/>
              <w:bottom w:val="single" w:color="000000" w:sz="4" w:space="0"/>
              <w:right w:val="single" w:color="000000" w:sz="4" w:space="0"/>
            </w:tcBorders>
            <w:tcW w:w="1926" w:type="dxa"/>
            <w:vAlign w:val="center"/>
          </w:tcPr>
          <w:p>
            <w:pPr>
              <w:pStyle w:val="12385"/>
              <w:pBdr/>
              <w:spacing/>
              <w:ind/>
              <w:rPr>
                <w:rFonts w:cs="Times New Roman"/>
              </w:rPr>
            </w:pPr>
            <w:r>
              <w:rPr>
                <w:rFonts w:cs="Times New Roman"/>
              </w:rPr>
              <w:t xml:space="preserve">1 раз в год</w:t>
            </w:r>
            <w:r>
              <w:rPr>
                <w:rFonts w:cs="Times New Roman"/>
              </w:rPr>
            </w:r>
          </w:p>
        </w:tc>
        <w:tc>
          <w:tcPr>
            <w:tcBorders>
              <w:top w:val="single" w:color="000000" w:sz="4" w:space="0"/>
              <w:left w:val="single" w:color="000000" w:sz="4" w:space="0"/>
              <w:bottom w:val="single" w:color="000000" w:sz="4" w:space="0"/>
              <w:right w:val="single" w:color="000000" w:sz="4" w:space="0"/>
            </w:tcBorders>
            <w:tcW w:w="2332" w:type="dxa"/>
            <w:vAlign w:val="center"/>
          </w:tcPr>
          <w:p>
            <w:pPr>
              <w:pStyle w:val="12385"/>
              <w:pBdr/>
              <w:spacing/>
              <w:ind/>
              <w:rPr>
                <w:rFonts w:cs="Times New Roman"/>
              </w:rPr>
            </w:pPr>
            <w:r>
              <w:rPr>
                <w:rFonts w:cs="Times New Roman"/>
              </w:rPr>
              <w:t xml:space="preserve">июнь-август</w:t>
            </w:r>
            <w:r>
              <w:rPr>
                <w:rFonts w:cs="Times New Roman"/>
              </w:rPr>
            </w:r>
          </w:p>
        </w:tc>
        <w:tc>
          <w:tcPr>
            <w:tcBorders>
              <w:top w:val="single" w:color="000000" w:sz="4" w:space="0"/>
              <w:left w:val="single" w:color="000000" w:sz="4" w:space="0"/>
              <w:bottom w:val="single" w:color="000000" w:sz="4" w:space="0"/>
              <w:right w:val="single" w:color="000000" w:sz="4" w:space="0"/>
            </w:tcBorders>
            <w:tcW w:w="1897" w:type="dxa"/>
            <w:vAlign w:val="center"/>
            <w:vMerge w:val="continue"/>
          </w:tcPr>
          <w:p>
            <w:pPr>
              <w:pStyle w:val="12385"/>
              <w:pBdr/>
              <w:spacing/>
              <w:ind/>
              <w:rPr>
                <w:rFonts w:cs="Times New Roman"/>
              </w:rPr>
            </w:pPr>
            <w:r>
              <w:rPr>
                <w:rFonts w:cs="Times New Roman"/>
              </w:rPr>
            </w:r>
            <w:r>
              <w:rPr>
                <w:rFonts w:cs="Times New Roman"/>
              </w:rPr>
            </w:r>
          </w:p>
        </w:tc>
      </w:tr>
    </w:tbl>
    <w:p>
      <w:pPr>
        <w:pStyle w:val="10535"/>
        <w:keepNext w:val="true"/>
        <w:widowControl w:val="true"/>
        <w:numPr>
          <w:ilvl w:val="1"/>
          <w:numId w:val="13"/>
        </w:numPr>
        <w:pBdr/>
        <w:bidi w:val="false"/>
        <w:spacing w:after="240" w:before="360" w:line="360" w:lineRule="auto"/>
        <w:ind w:right="0" w:hanging="737" w:left="680"/>
        <w:jc w:val="center"/>
        <w:rPr>
          <w:rFonts w:cs="Times New Roman"/>
        </w:rPr>
      </w:pPr>
      <w:r/>
      <w:bookmarkStart w:id="247" w:name="_Toc84970951"/>
      <w:r/>
      <w:bookmarkStart w:id="248" w:name="_Toc164958168"/>
      <w:r/>
      <w:bookmarkStart w:id="249" w:name="_Toc166767167"/>
      <w:r/>
      <w:bookmarkStart w:id="250" w:name="_Toc198483507"/>
      <w:r/>
      <w:bookmarkStart w:id="251" w:name="_Toc475879447"/>
      <w:r/>
      <w:bookmarkStart w:id="252" w:name="_Toc78674714"/>
      <w:r>
        <w:rPr>
          <w:rFonts w:cs="Times New Roman"/>
        </w:rPr>
        <w:t xml:space="preserve">Описание нормативов технологических потерь (в ценовых зонах </w:t>
      </w:r>
      <w:r>
        <w:rPr>
          <w:rFonts w:cs="Times New Roman"/>
        </w:rPr>
        <w:t xml:space="preserve">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247"/>
      <w:r/>
      <w:bookmarkEnd w:id="248"/>
      <w:r/>
      <w:bookmarkEnd w:id="249"/>
      <w:r/>
      <w:bookmarkEnd w:id="250"/>
      <w:r/>
      <w:bookmarkEnd w:id="251"/>
      <w:r/>
      <w:bookmarkEnd w:id="252"/>
      <w:r/>
      <w:r>
        <w:rPr>
          <w:rFonts w:cs="Times New Roman"/>
        </w:rPr>
      </w:r>
    </w:p>
    <w:p>
      <w:pPr>
        <w:pStyle w:val="10533"/>
        <w:keepNext w:val="true"/>
        <w:keepLines w:val="true"/>
        <w:pBdr/>
        <w:spacing w:after="240" w:before="0"/>
        <w:ind w:firstLine="567"/>
        <w:rPr>
          <w:rFonts w:eastAsia="Calibri"/>
          <w:b/>
          <w:lang w:eastAsia="en-US"/>
        </w:rPr>
      </w:pPr>
      <w:r>
        <w:rPr>
          <w:rFonts w:eastAsia="Calibri"/>
          <w:b/>
          <w:lang w:eastAsia="en-US"/>
        </w:rPr>
        <w:t xml:space="preserve">Определение нормативов технологических потерь при передаче тепловой энергии с использованием нормативных энергетических характеристик тепловых сетей</w:t>
      </w:r>
      <w:r>
        <w:rPr>
          <w:rFonts w:eastAsia="Calibri"/>
          <w:b/>
          <w:lang w:eastAsia="en-US"/>
        </w:rPr>
      </w:r>
    </w:p>
    <w:p>
      <w:pPr>
        <w:pStyle w:val="12960"/>
        <w:widowControl w:val="true"/>
        <w:numPr>
          <w:ilvl w:val="0"/>
          <w:numId w:val="97"/>
        </w:numPr>
        <w:pBdr/>
        <w:bidi w:val="false"/>
        <w:spacing w:after="0" w:before="0" w:line="360" w:lineRule="auto"/>
        <w:ind w:right="0" w:firstLine="567" w:left="0"/>
        <w:jc w:val="both"/>
        <w:rPr/>
      </w:pPr>
      <w:r>
        <w:t xml:space="preserve">Энергетические характеристики работы водяных тепловых сетей каждой системы теплоснабжения разрабатываются по следующим показателям: </w:t>
      </w:r>
      <w:r/>
    </w:p>
    <w:p>
      <w:pPr>
        <w:pStyle w:val="13832"/>
        <w:numPr>
          <w:ilvl w:val="0"/>
          <w:numId w:val="61"/>
        </w:numPr>
        <w:pBdr/>
        <w:spacing/>
        <w:ind w:hanging="284" w:left="1135"/>
        <w:rPr>
          <w:rFonts w:eastAsia="Calibri"/>
        </w:rPr>
      </w:pPr>
      <w:r>
        <w:rPr>
          <w:rFonts w:eastAsia="Calibri"/>
        </w:rPr>
        <w:t xml:space="preserve">потери сетевой воды;</w:t>
      </w:r>
      <w:r>
        <w:rPr>
          <w:rFonts w:eastAsia="Calibri"/>
        </w:rPr>
      </w:r>
    </w:p>
    <w:p>
      <w:pPr>
        <w:pStyle w:val="13832"/>
        <w:numPr>
          <w:ilvl w:val="0"/>
          <w:numId w:val="61"/>
        </w:numPr>
        <w:pBdr/>
        <w:spacing/>
        <w:ind w:hanging="284" w:left="1135"/>
        <w:rPr>
          <w:rFonts w:eastAsia="Calibri"/>
        </w:rPr>
      </w:pPr>
      <w:r>
        <w:rPr>
          <w:rFonts w:eastAsia="Calibri"/>
        </w:rPr>
        <w:t xml:space="preserve">потери тепловой энергии;</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удельный среднечасовой расход сетевой воды на единицу расчетной присоединенной тепловой нагрузки потребителей;</w:t>
      </w:r>
      <w:r>
        <w:rPr>
          <w:rFonts w:eastAsia="Calibri"/>
        </w:rPr>
      </w:r>
    </w:p>
    <w:p>
      <w:pPr>
        <w:pStyle w:val="13832"/>
        <w:keepNext w:val="false"/>
        <w:widowControl w:val="true"/>
        <w:numPr>
          <w:ilvl w:val="0"/>
          <w:numId w:val="61"/>
        </w:numPr>
        <w:pBdr/>
        <w:bidi w:val="false"/>
        <w:spacing w:after="0" w:before="0" w:line="360" w:lineRule="auto"/>
        <w:ind w:right="0" w:firstLine="510" w:left="0"/>
        <w:jc w:val="both"/>
        <w:rPr>
          <w:rFonts w:eastAsia="Calibri"/>
        </w:rPr>
      </w:pPr>
      <w:r>
        <w:rPr>
          <w:rFonts w:eastAsia="Calibri"/>
        </w:rPr>
        <w:t xml:space="preserve">разность температур сетевой воды в подающих и обратных трубопроводах (или температура сетевой воды в обратных трубопроводах);</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10" w:left="0"/>
        <w:jc w:val="both"/>
        <w:rPr>
          <w:rFonts w:eastAsia="Calibri"/>
        </w:rPr>
      </w:pPr>
      <w:r>
        <w:rPr>
          <w:rFonts w:eastAsia="Calibri"/>
        </w:rPr>
        <w:t xml:space="preserve">удельный расход электроэнергии на единицу отпущенной тепловой энергии от источника теплоснабжения (далее – удельный расход электроэнергии).</w:t>
      </w:r>
      <w:r>
        <w:rPr>
          <w:rFonts w:eastAsia="Calibri"/>
        </w:rPr>
      </w:r>
    </w:p>
    <w:p>
      <w:pPr>
        <w:pStyle w:val="12960"/>
        <w:widowControl w:val="true"/>
        <w:numPr>
          <w:ilvl w:val="0"/>
          <w:numId w:val="97"/>
        </w:numPr>
        <w:pBdr/>
        <w:bidi w:val="false"/>
        <w:spacing w:after="0" w:before="0" w:line="360" w:lineRule="auto"/>
        <w:ind w:right="0" w:firstLine="567" w:left="0"/>
        <w:jc w:val="both"/>
        <w:rPr/>
      </w:pPr>
      <w:r>
        <w:t xml:space="preserve">При разработке нормативов технологических потерь при передаче тепловой энергии используются технически обоснованные энергетические характеристики (потери сетевой воды, потери тепловой энергии, удельный расход электроэнергии). </w:t>
      </w:r>
      <w:r/>
    </w:p>
    <w:p>
      <w:pPr>
        <w:pStyle w:val="12960"/>
        <w:pBdr/>
        <w:spacing/>
        <w:ind/>
        <w:rPr/>
      </w:pPr>
      <w:r>
        <w:t xml:space="preserve">Энергетическая характ</w:t>
      </w:r>
      <w:r>
        <w:t xml:space="preserve">еристика тепловой сети по показателю «потери сетевой воды» устанавливает зависимость технически обоснованных потерь теплоносителя на транспорт и распределение от источника тепловой энергии до потребителей от характеристик и режима работы системы теплоснабж</w:t>
      </w:r>
      <w:r>
        <w:t xml:space="preserve">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теплосетевой организации.</w:t>
      </w:r>
      <w:r/>
    </w:p>
    <w:p>
      <w:pPr>
        <w:pStyle w:val="12960"/>
        <w:pBdr/>
        <w:spacing/>
        <w:ind/>
        <w:rPr/>
      </w:pPr>
      <w:r>
        <w:t xml:space="preserve">Энергетическая характеристика тепловой сети по показателю «тепловые потери» устанавливает зависимость технологических затрат тепловой энергии на ее</w:t>
      </w:r>
      <w:r>
        <w:t xml:space="preserve"> транспорт и распределение от источника тепловой энергии до границы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w:t>
      </w:r>
      <w:r/>
    </w:p>
    <w:p>
      <w:pPr>
        <w:pStyle w:val="12960"/>
        <w:pBdr/>
        <w:spacing/>
        <w:ind/>
        <w:rPr/>
      </w:pPr>
      <w:r>
        <w:t xml:space="preserve">Гидравлическая энергетическая характеристика тепловой сети (энергетическая характеристика по показателю «удельный расход электроэнергии») устанавливает зависимость от температуры наружного возд</w:t>
      </w:r>
      <w:r>
        <w:t xml:space="preserve">уха в течение отопительного сезона отношения нормируемого часового среднесуточного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энергии.</w:t>
      </w:r>
      <w:r/>
    </w:p>
    <w:p>
      <w:pPr>
        <w:pStyle w:val="12960"/>
        <w:pBdr/>
        <w:spacing/>
        <w:ind/>
        <w:rPr>
          <w:color w:val="auto"/>
        </w:rPr>
      </w:pPr>
      <w:r>
        <w:rPr>
          <w:color w:val="auto"/>
        </w:rPr>
        <w:t xml:space="preserve">3. 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отражающая резул</w:t>
      </w:r>
      <w:r>
        <w:rPr>
          <w:color w:val="auto"/>
        </w:rPr>
        <w:t xml:space="preserve">ьтаты пересмотра (разработки) нормативной энергетической характеристики в виде таблиц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r>
        <w:rPr>
          <w:color w:val="auto"/>
        </w:rPr>
      </w:r>
    </w:p>
    <w:p>
      <w:pPr>
        <w:pStyle w:val="12960"/>
        <w:pBdr/>
        <w:spacing/>
        <w:ind/>
        <w:rPr>
          <w:color w:val="auto"/>
        </w:rPr>
      </w:pPr>
      <w:r>
        <w:rPr>
          <w:color w:val="auto"/>
        </w:rPr>
        <w:t xml:space="preserve">На титульном листе предусматриваются подписи должностных лиц организаций, указываются срок действия энергетических характеристик и количество сброшюрованных листов.</w:t>
      </w:r>
      <w:r>
        <w:rPr>
          <w:color w:val="auto"/>
        </w:rPr>
      </w:r>
    </w:p>
    <w:p>
      <w:pPr>
        <w:pStyle w:val="12960"/>
        <w:pBdr/>
        <w:spacing/>
        <w:ind/>
        <w:rPr/>
      </w:pPr>
      <w:r>
        <w:t xml:space="preserve">4. 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r/>
    </w:p>
    <w:p>
      <w:pPr>
        <w:pStyle w:val="12960"/>
        <w:pBdr/>
        <w:spacing/>
        <w:ind/>
        <w:rPr/>
      </w:pPr>
      <w:r>
        <w:t xml:space="preserve">5. Пересмотр энергетических характеристик (частичный или в полном объеме) производится:</w:t>
      </w:r>
      <w:r/>
    </w:p>
    <w:p>
      <w:pPr>
        <w:pStyle w:val="13832"/>
        <w:numPr>
          <w:ilvl w:val="0"/>
          <w:numId w:val="61"/>
        </w:numPr>
        <w:pBdr/>
        <w:spacing/>
        <w:ind w:hanging="284" w:left="1135"/>
        <w:rPr>
          <w:rFonts w:eastAsia="Calibri"/>
        </w:rPr>
      </w:pPr>
      <w:r>
        <w:rPr>
          <w:rFonts w:eastAsia="Calibri"/>
        </w:rPr>
        <w:t xml:space="preserve">при истечении срока действия нормативных характеристик;</w:t>
      </w:r>
      <w:r>
        <w:rPr>
          <w:rFonts w:eastAsia="Calibri"/>
        </w:rPr>
      </w:r>
    </w:p>
    <w:p>
      <w:pPr>
        <w:pStyle w:val="13832"/>
        <w:numPr>
          <w:ilvl w:val="0"/>
          <w:numId w:val="61"/>
        </w:numPr>
        <w:pBdr/>
        <w:spacing/>
        <w:ind w:hanging="284" w:left="1135"/>
        <w:rPr>
          <w:rFonts w:eastAsia="Calibri"/>
        </w:rPr>
      </w:pPr>
      <w:r>
        <w:rPr>
          <w:rFonts w:eastAsia="Calibri"/>
        </w:rPr>
        <w:t xml:space="preserve">при изменении нормативно-технических документов;</w:t>
      </w:r>
      <w:r>
        <w:rPr>
          <w:rFonts w:eastAsia="Calibri"/>
        </w:rP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567" w:left="0"/>
        <w:jc w:val="both"/>
        <w:rPr>
          <w:rFonts w:eastAsia="Calibri"/>
        </w:rPr>
      </w:pPr>
      <w:r>
        <w:rPr>
          <w:rFonts w:eastAsia="Calibri"/>
        </w:rPr>
        <w:t xml:space="preserve">по результатам энергетического обследования тепловых сетей, если выявлены отступления от требований нормативных документов.</w:t>
      </w:r>
      <w:r>
        <w:rPr>
          <w:rFonts w:eastAsia="Calibri"/>
        </w:rPr>
      </w:r>
    </w:p>
    <w:p>
      <w:pPr>
        <w:pStyle w:val="12960"/>
        <w:pBdr/>
        <w:spacing/>
        <w:ind/>
        <w:rPr/>
      </w:pPr>
      <w:r>
        <w:t xml:space="preserve">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теплоснабжения более пределов, указанных ниже: </w:t>
      </w:r>
      <w:r/>
    </w:p>
    <w:p>
      <w:pPr>
        <w:pStyle w:val="13832"/>
        <w:numPr>
          <w:ilvl w:val="0"/>
          <w:numId w:val="61"/>
        </w:numPr>
        <w:pBdr/>
        <w:spacing/>
        <w:ind w:hanging="284" w:left="1135"/>
        <w:rPr>
          <w:rFonts w:eastAsia="Calibri"/>
        </w:rPr>
      </w:pPr>
      <w:r>
        <w:rPr>
          <w:rFonts w:eastAsia="Calibri"/>
        </w:rPr>
        <w:t xml:space="preserve">по показателю «потери сетевой воды»:</w:t>
      </w:r>
      <w:r>
        <w:rPr>
          <w:rFonts w:eastAsia="Calibri"/>
        </w:rPr>
      </w:r>
    </w:p>
    <w:p>
      <w:pPr>
        <w:pStyle w:val="13832"/>
        <w:numPr>
          <w:ilvl w:val="0"/>
          <w:numId w:val="61"/>
        </w:numPr>
        <w:pBdr/>
        <w:spacing/>
        <w:ind w:hanging="284" w:left="1135"/>
        <w:rPr>
          <w:rFonts w:eastAsia="Calibri"/>
        </w:rPr>
      </w:pPr>
      <w:r>
        <w:rPr>
          <w:rFonts w:eastAsia="Calibri"/>
        </w:rPr>
        <w:t xml:space="preserve">при изменении объемов трубопроводов тепловых сетей на 5%;</w:t>
      </w:r>
      <w:r>
        <w:rPr>
          <w:rFonts w:eastAsia="Calibri"/>
        </w:rPr>
      </w:r>
    </w:p>
    <w:p>
      <w:pPr>
        <w:pStyle w:val="13832"/>
        <w:numPr>
          <w:ilvl w:val="0"/>
          <w:numId w:val="61"/>
        </w:numPr>
        <w:pBdr/>
        <w:spacing/>
        <w:ind w:hanging="284" w:left="1135"/>
        <w:rPr>
          <w:rFonts w:eastAsia="Calibri"/>
        </w:rPr>
      </w:pPr>
      <w:r>
        <w:rPr>
          <w:rFonts w:eastAsia="Calibri"/>
        </w:rPr>
        <w:t xml:space="preserve">при изменении объемов внутренних систем теплопотребления на 5%;</w:t>
      </w:r>
      <w:r>
        <w:rPr>
          <w:rFonts w:eastAsia="Calibri"/>
        </w:rPr>
      </w:r>
    </w:p>
    <w:p>
      <w:pPr>
        <w:pStyle w:val="13832"/>
        <w:numPr>
          <w:ilvl w:val="0"/>
          <w:numId w:val="61"/>
        </w:numPr>
        <w:pBdr/>
        <w:spacing/>
        <w:ind w:hanging="284" w:left="1135"/>
        <w:rPr>
          <w:rFonts w:eastAsia="Calibri"/>
        </w:rPr>
      </w:pPr>
      <w:r>
        <w:rPr>
          <w:rFonts w:eastAsia="Calibri"/>
        </w:rPr>
        <w:t xml:space="preserve">по показателю «тепловые потери»:</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при изменении тепловых потерь по результатам очередных испытаний на 5% по сравнению с результатами предыдущих испытаний;</w:t>
      </w:r>
      <w:r>
        <w:rPr>
          <w:rFonts w:eastAsia="Calibri"/>
        </w:rPr>
      </w:r>
    </w:p>
    <w:p>
      <w:pPr>
        <w:pStyle w:val="13832"/>
        <w:numPr>
          <w:ilvl w:val="0"/>
          <w:numId w:val="61"/>
        </w:numPr>
        <w:pBdr/>
        <w:spacing/>
        <w:ind w:hanging="284" w:left="1135"/>
        <w:rPr>
          <w:rFonts w:eastAsia="Calibri"/>
        </w:rPr>
      </w:pPr>
      <w:r>
        <w:rPr>
          <w:rFonts w:eastAsia="Calibri"/>
        </w:rPr>
        <w:t xml:space="preserve">при изменении материальной характеристики тепловых сетей на 5%;</w:t>
      </w:r>
      <w:r>
        <w:rPr>
          <w:rFonts w:eastAsia="Calibri"/>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rFonts w:eastAsia="Calibri"/>
        </w:rPr>
      </w:pPr>
      <w:r>
        <w:rPr>
          <w:rFonts w:eastAsia="Calibri"/>
        </w:rPr>
        <w:t xml:space="preserve">при изменении эксплуатационного температурного графика отпуска тепловой энергии;</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по показателям «удельный среднечасовой расход сетевой воды на единицу присоединенной тепловой нагрузки потребителей» и «разность температур сетевой воды в подающих и обратных трубопроводах»:</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при изменении эксплуатационного температурного графика отпуска тепловой энергии;</w:t>
      </w:r>
      <w:r>
        <w:rPr>
          <w:rFonts w:eastAsia="Calibri"/>
        </w:rPr>
      </w:r>
    </w:p>
    <w:p>
      <w:pPr>
        <w:pStyle w:val="13832"/>
        <w:numPr>
          <w:ilvl w:val="0"/>
          <w:numId w:val="61"/>
        </w:numPr>
        <w:pBdr/>
        <w:spacing/>
        <w:ind w:hanging="284" w:left="1135"/>
        <w:rPr>
          <w:rFonts w:eastAsia="Calibri"/>
        </w:rPr>
      </w:pPr>
      <w:r>
        <w:rPr>
          <w:rFonts w:eastAsia="Calibri"/>
        </w:rPr>
        <w:t xml:space="preserve">при изменении суммарных договорных нагрузок на 5%;</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при изменении тепловых потерь в тепловых сетях, требующих пересмотра соответствующей энергетической характеристики;</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по показателю «удельный расход электроэнергии на транспорт и распределение тепловой энергии»:</w:t>
      </w:r>
      <w:r>
        <w:rPr>
          <w:rFonts w:eastAsia="Calibri"/>
        </w:rP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567" w:left="0"/>
        <w:jc w:val="both"/>
        <w:rPr>
          <w:rFonts w:eastAsia="Calibri"/>
        </w:rPr>
      </w:pPr>
      <w:r>
        <w:rPr>
          <w:rFonts w:eastAsia="Calibri"/>
        </w:rPr>
        <w:t xml:space="preserve">при изменении количества насосных станций или ЦТП в тепловой сети на балансе энергоснабжающей (теплосетевой) организации, в случае, если электрическая мощность электродвигателей насосо</w:t>
      </w:r>
      <w:r>
        <w:rPr>
          <w:rFonts w:eastAsia="Calibri"/>
        </w:rPr>
        <w:t xml:space="preserve">в во вновь подключенных или снятых с баланса насосных станциях и ЦТП изменилась на 5% от суммарной нормируемой электрической мощности; то же относится к изменению производительности (или количества) насосов при неизменном количестве насосных станций и ЦТП;</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при изменении эксплуатационного температурного графика отпуска тепловой энергии;</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при изменении условий работы насосных станций и ЦТП (автоматизация, изменение диаметров рабочих колес насосных агрегатов, изменение расходов и напоров сетевой воды), если суммарная электрическая мощность электрооборудования изменяется на 5%;</w:t>
      </w:r>
      <w:r>
        <w:rPr>
          <w:rFonts w:eastAsia="Calibri"/>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при пересмотре энергетической характеристики по одному из показателей проводится корректировка эн</w:t>
      </w:r>
      <w:r>
        <w:rPr>
          <w:rFonts w:eastAsia="Calibri"/>
        </w:rPr>
        <w:t xml:space="preserve">ергетических характеристик по другим показателям, по которым в результате указанного пересмотра произошло изменение условий или исходных данных (если взаимосвязь между показателями обусловлена положениями методики разработки энергетических характеристик). </w:t>
      </w:r>
      <w:r>
        <w:rPr>
          <w:rFonts w:eastAsia="Calibri"/>
        </w:rPr>
      </w:r>
    </w:p>
    <w:p>
      <w:pPr>
        <w:pStyle w:val="12960"/>
        <w:pBdr/>
        <w:spacing/>
        <w:ind/>
        <w:rPr/>
      </w:pPr>
      <w:r>
        <w:t xml:space="preserve">6. Корректировка показателей технологических потерь пр</w:t>
      </w:r>
      <w:r>
        <w:t xml:space="preserve">и передаче тепловой энергии с расчетной присоединенной тепловой нагрузкой 50 Гкал/ч (58 МВт) и выше для периода регулирования осуществляется приведением утвержденных нормативных энергетических характеристик к прогнозируемым условиям периода регулирования. </w:t>
      </w:r>
      <w:r/>
    </w:p>
    <w:p>
      <w:pPr>
        <w:pStyle w:val="12960"/>
        <w:pBdr/>
        <w:spacing/>
        <w:ind/>
        <w:rPr/>
      </w:pPr>
      <w:r>
        <w:t xml:space="preserve">7. Расчет ожидаемых значений показателя «потери сетевой воды» в </w:t>
      </w:r>
      <w:r>
        <w:t xml:space="preserve">части тепловых сетей, находящихся в эксплуатационной ответственности теплосетевой организации, на период регулирования при планируемых изменениях объемов тепловых сетей ожидаемые значения показателя «потери сетевой воды» допускается определять по формуле: </w:t>
      </w:r>
      <w:r/>
    </w:p>
    <w:p>
      <w:pPr>
        <w:pStyle w:val="10533"/>
        <w:pBdr/>
        <w:tabs>
          <w:tab w:val="clear" w:leader="none" w:pos="708"/>
          <w:tab w:val="center" w:leader="none" w:pos="4678"/>
          <w:tab w:val="right" w:leader="none" w:pos="9356"/>
        </w:tabs>
        <w:spacing w:line="360" w:lineRule="auto"/>
        <w:ind/>
        <w:jc w:val="center"/>
        <w:rPr>
          <w:rFonts w:eastAsia="Calibri"/>
          <w:lang w:eastAsia="en-US"/>
        </w:rPr>
      </w:pPr>
      <w:r>
        <mc:AlternateContent>
          <mc:Choice Requires="wpg">
            <w:drawing>
              <wp:inline xmlns:wp="http://schemas.openxmlformats.org/drawingml/2006/wordprocessingDrawing" distT="0" distB="0" distL="0" distR="0">
                <wp:extent cx="1371600" cy="457200"/>
                <wp:effectExtent l="0" t="0" r="0" b="0"/>
                <wp:docPr id="11" name="Рисунок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0" descr=""/>
                        <pic:cNvPicPr>
                          <a:picLocks noChangeAspect="1"/>
                        </pic:cNvPicPr>
                        <pic:nvPr/>
                      </pic:nvPicPr>
                      <pic:blipFill rotWithShape="1">
                        <a:blip r:embed="rId561">
                          <a:extLst>
                            <a:ext uri="{96DAC541-7B7A-43D3-8B79-37D633B846F1}">
                              <asvg:svgBlip xmlns:asvg="http://schemas.microsoft.com/office/drawing/2016/SVG/main" r:embed="rId562"/>
                            </a:ext>
                          </a:extLst>
                        </a:blip>
                        <a:stretch/>
                      </pic:blipFill>
                      <pic:spPr bwMode="auto">
                        <a:xfrm>
                          <a:off x="0" y="0"/>
                          <a:ext cx="1371600" cy="4572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108.00pt;height:36.00pt;mso-wrap-distance-left:0.00pt;mso-wrap-distance-top:0.00pt;mso-wrap-distance-right:0.00pt;mso-wrap-distance-bottom:0.00pt;z-index:1;" stroked="false">
                <v:imagedata r:id="rId561" o:title=""/>
                <o:lock v:ext="edit" rotation="t"/>
              </v:shape>
            </w:pict>
          </mc:Fallback>
        </mc:AlternateContent>
      </w:r>
      <w:r>
        <w:rPr>
          <w:rFonts w:eastAsia="Calibri"/>
          <w:lang w:eastAsia="en-US"/>
        </w:rPr>
        <w:t xml:space="preserve">(1)</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где </w:t>
      </w:r>
      <w:r>
        <mc:AlternateContent>
          <mc:Choice Requires="wpg">
            <w:drawing>
              <wp:inline xmlns:wp="http://schemas.openxmlformats.org/drawingml/2006/wordprocessingDrawing" distT="0" distB="0" distL="0" distR="0">
                <wp:extent cx="361950" cy="266700"/>
                <wp:effectExtent l="0" t="0" r="0" b="0"/>
                <wp:docPr id="12" name="Рисунок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1" descr=""/>
                        <pic:cNvPicPr>
                          <a:picLocks noChangeAspect="1"/>
                        </pic:cNvPicPr>
                        <pic:nvPr/>
                      </pic:nvPicPr>
                      <pic:blipFill rotWithShape="1">
                        <a:blip r:embed="rId563">
                          <a:extLst>
                            <a:ext uri="{96DAC541-7B7A-43D3-8B79-37D633B846F1}">
                              <asvg:svgBlip xmlns:asvg="http://schemas.microsoft.com/office/drawing/2016/SVG/main" r:embed="rId564"/>
                            </a:ext>
                          </a:extLst>
                        </a:blip>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28.50pt;height:21.00pt;mso-wrap-distance-left:0.00pt;mso-wrap-distance-top:0.00pt;mso-wrap-distance-right:0.00pt;mso-wrap-distance-bottom:0.00pt;z-index:1;" stroked="false">
                <v:imagedata r:id="rId563" o:title=""/>
                <o:lock v:ext="edit" rotation="t"/>
              </v:shape>
            </w:pict>
          </mc:Fallback>
        </mc:AlternateContent>
      </w:r>
      <w:r>
        <w:rPr>
          <w:rFonts w:eastAsia="Calibri"/>
          <w:lang w:eastAsia="en-US"/>
        </w:rPr>
        <w:t xml:space="preserve">- ожидаемые годовые потери сетевой воды на период регулирования, м</w:t>
      </w:r>
      <w:r>
        <w:rPr>
          <w:rFonts w:eastAsia="Calibri"/>
          <w:vertAlign w:val="superscript"/>
          <w:lang w:eastAsia="en-US"/>
        </w:rPr>
        <w:t xml:space="preserve">3</w:t>
      </w:r>
      <w:r>
        <w:rPr>
          <w:rFonts w:eastAsia="Calibri"/>
          <w:lang w:eastAsia="en-US"/>
        </w:rPr>
        <w:t xml:space="preserve">;</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361950" cy="266700"/>
                <wp:effectExtent l="0" t="0" r="0" b="0"/>
                <wp:docPr id="13"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2" descr=""/>
                        <pic:cNvPicPr>
                          <a:picLocks noChangeAspect="1"/>
                        </pic:cNvPicPr>
                        <pic:nvPr/>
                      </pic:nvPicPr>
                      <pic:blipFill rotWithShape="1">
                        <a:blip r:embed="rId565">
                          <a:extLst>
                            <a:ext uri="{96DAC541-7B7A-43D3-8B79-37D633B846F1}">
                              <asvg:svgBlip xmlns:asvg="http://schemas.microsoft.com/office/drawing/2016/SVG/main" r:embed="rId566"/>
                            </a:ext>
                          </a:extLst>
                        </a:blip>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28.50pt;height:21.00pt;mso-wrap-distance-left:0.00pt;mso-wrap-distance-top:0.00pt;mso-wrap-distance-right:0.00pt;mso-wrap-distance-bottom:0.00pt;z-index:1;" stroked="false">
                <v:imagedata r:id="rId565" o:title=""/>
                <o:lock v:ext="edit" rotation="t"/>
              </v:shape>
            </w:pict>
          </mc:Fallback>
        </mc:AlternateContent>
      </w:r>
      <w:r>
        <w:rPr>
          <w:rFonts w:eastAsia="Calibri"/>
          <w:lang w:eastAsia="en-US"/>
        </w:rPr>
        <w:t xml:space="preserve"> </w:t>
      </w:r>
      <w:r>
        <w:rPr>
          <w:rFonts w:eastAsia="Calibri"/>
          <w:lang w:eastAsia="en-US"/>
        </w:rPr>
        <w:t xml:space="preserve">- годовые потери сетевой воды в тепловых сетях, находящихся в эксплуатационной ответственности теплосетевой организации, в соответствии с энергетическими характеристиками, м</w:t>
      </w:r>
      <w:r>
        <w:rPr>
          <w:rFonts w:eastAsia="Calibri"/>
          <w:vertAlign w:val="superscript"/>
          <w:lang w:eastAsia="en-US"/>
        </w:rPr>
        <w:t xml:space="preserve">3</w:t>
      </w:r>
      <w:r>
        <w:rPr>
          <w:rFonts w:eastAsia="Calibri"/>
          <w:lang w:eastAsia="en-US"/>
        </w:rPr>
        <w:t xml:space="preserve">;</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14" name="Изображение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7" descr=""/>
                        <pic:cNvPicPr>
                          <a:picLocks noChangeAspect="1"/>
                        </pic:cNvPicPr>
                        <pic:nvPr/>
                      </pic:nvPicPr>
                      <pic:blipFill rotWithShape="1">
                        <a:blip r:embed="rId567">
                          <a:extLst>
                            <a:ext uri="{96DAC541-7B7A-43D3-8B79-37D633B846F1}">
                              <asvg:svgBlip xmlns:asvg="http://schemas.microsoft.com/office/drawing/2016/SVG/main" r:embed="rId568"/>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36.00pt;height:21.00pt;mso-wrap-distance-left:0.00pt;mso-wrap-distance-top:0.00pt;mso-wrap-distance-right:0.00pt;mso-wrap-distance-bottom:0.00pt;z-index:1;" stroked="false">
                <v:imagedata r:id="rId567" o:title=""/>
                <o:lock v:ext="edit" rotation="t"/>
              </v:shape>
            </w:pict>
          </mc:Fallback>
        </mc:AlternateContent>
      </w:r>
      <w:r>
        <w:rPr>
          <w:rFonts w:eastAsia="Calibri"/>
          <w:lang w:eastAsia="en-US"/>
        </w:rPr>
        <w:t xml:space="preserve"> </w:t>
      </w:r>
      <w:r>
        <w:rPr>
          <w:rFonts w:eastAsia="Calibri"/>
          <w:lang w:eastAsia="en-US"/>
        </w:rPr>
        <w:t xml:space="preserve">- ожидаемый суммарный среднегодовой объем тепловых сетей, м</w:t>
      </w:r>
      <w:r>
        <w:rPr>
          <w:rFonts w:eastAsia="Calibri"/>
          <w:vertAlign w:val="superscript"/>
          <w:lang w:eastAsia="en-US"/>
        </w:rPr>
        <w:t xml:space="preserve">3</w:t>
      </w:r>
      <w:r>
        <w:rPr>
          <w:rFonts w:eastAsia="Calibri"/>
          <w:lang w:eastAsia="en-US"/>
        </w:rPr>
        <w:t xml:space="preserve">;</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15" name="Рисунок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4" descr=""/>
                        <pic:cNvPicPr>
                          <a:picLocks noChangeAspect="1"/>
                        </pic:cNvPicPr>
                        <pic:nvPr/>
                      </pic:nvPicPr>
                      <pic:blipFill rotWithShape="1">
                        <a:blip r:embed="rId569">
                          <a:extLst>
                            <a:ext uri="{96DAC541-7B7A-43D3-8B79-37D633B846F1}">
                              <asvg:svgBlip xmlns:asvg="http://schemas.microsoft.com/office/drawing/2016/SVG/main" r:embed="rId570"/>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36.00pt;height:21.00pt;mso-wrap-distance-left:0.00pt;mso-wrap-distance-top:0.00pt;mso-wrap-distance-right:0.00pt;mso-wrap-distance-bottom:0.00pt;z-index:1;" stroked="false">
                <v:imagedata r:id="rId569" o:title=""/>
                <o:lock v:ext="edit" rotation="t"/>
              </v:shape>
            </w:pict>
          </mc:Fallback>
        </mc:AlternateContent>
      </w:r>
      <w:r>
        <w:rPr>
          <w:rFonts w:eastAsia="Calibri"/>
          <w:lang w:eastAsia="en-US"/>
        </w:rPr>
        <w:t xml:space="preserve"> </w:t>
      </w:r>
      <w:r>
        <w:rPr>
          <w:rFonts w:eastAsia="Calibri"/>
          <w:lang w:eastAsia="en-US"/>
        </w:rPr>
        <w:t xml:space="preserve">- суммарный среднегодовой объем тепловых сетей, находящихся в эксплуатационной ответственности теплосетевой организации, принятый при разработке энергетических характеристик, м</w:t>
      </w:r>
      <w:r>
        <w:rPr>
          <w:rFonts w:eastAsia="Calibri"/>
          <w:vertAlign w:val="superscript"/>
          <w:lang w:eastAsia="en-US"/>
        </w:rPr>
        <w:t xml:space="preserve">3</w:t>
      </w:r>
      <w:r>
        <w:rPr>
          <w:rFonts w:eastAsia="Calibri"/>
          <w:lang w:eastAsia="en-US"/>
        </w:rPr>
        <w:t xml:space="preserve">.</w:t>
      </w:r>
      <w:r>
        <w:rPr>
          <w:rFonts w:eastAsia="Calibri"/>
          <w:lang w:eastAsia="en-US"/>
        </w:rPr>
      </w:r>
    </w:p>
    <w:p>
      <w:pPr>
        <w:pStyle w:val="10533"/>
        <w:pBdr/>
        <w:spacing w:line="360" w:lineRule="auto"/>
        <w:ind w:firstLine="567"/>
        <w:jc w:val="both"/>
        <w:rPr>
          <w:rFonts w:eastAsia="Calibri"/>
          <w:lang w:eastAsia="en-US"/>
        </w:rPr>
      </w:pPr>
      <w:r>
        <w:rPr>
          <w:rFonts w:eastAsia="Calibri"/>
          <w:lang w:eastAsia="en-US"/>
        </w:rPr>
        <w:t xml:space="preserve">8. </w:t>
      </w:r>
      <w:r>
        <w:rPr>
          <w:rStyle w:val="11000"/>
        </w:rPr>
        <w:t xml:space="preserve">Расчет ожидаемых значений показателя «тепловые потери» на период регулирования при планируемых изменениях материальной характеристики тепловых сетей теплосетевой организации, а также среднегодовых значений темп</w:t>
      </w:r>
      <w:r>
        <w:rPr>
          <w:rStyle w:val="11000"/>
        </w:rPr>
        <w:t xml:space="preserve">ературы теплоносителя и окружающей среды (наружного воздуха или грунта при изменении глубины заложения теплопроводов) на предстоящий период регулирования в размерах, не превышающих указанных в пункте 5 настоящей Инструкции, рекомендуется производить раздел</w:t>
      </w:r>
      <w:r>
        <w:rPr>
          <w:rStyle w:val="11000"/>
        </w:rPr>
        <w:t xml:space="preserve">ьно по видам тепловых потерь (через теплоизоляционные конструкции и с потерями сетевой воды). При этом планируемые тепловые потери через теплоизоляционные конструкции трубопроводов тепловых сетей определяются раздельно для надземной и подземной прокладки. </w:t>
      </w:r>
      <w:r>
        <w:rPr>
          <w:rFonts w:eastAsia="Calibri"/>
          <w:lang w:eastAsia="en-US"/>
        </w:rPr>
      </w:r>
    </w:p>
    <w:p>
      <w:pPr>
        <w:pStyle w:val="10533"/>
        <w:pBdr/>
        <w:spacing w:line="360" w:lineRule="auto"/>
        <w:ind w:firstLine="567"/>
        <w:jc w:val="both"/>
        <w:rPr>
          <w:rFonts w:eastAsia="Calibri"/>
          <w:lang w:eastAsia="en-US"/>
        </w:rPr>
      </w:pPr>
      <w:r>
        <w:rPr>
          <w:rFonts w:eastAsia="Calibri"/>
          <w:lang w:eastAsia="en-US"/>
        </w:rPr>
        <w:t xml:space="preserve">8.1. Расчет ожидаемых на период регулирования среднегодовых тепловых потерь через теплоизоляционные конструкции тепловых сетей осуществляется по формулам: </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для участков подземной прокладки: </w:t>
      </w:r>
      <w:r>
        <w:rPr>
          <w:rFonts w:eastAsia="Calibri"/>
          <w:lang w:eastAsia="en-US"/>
        </w:rPr>
      </w:r>
    </w:p>
    <w:p>
      <w:pPr>
        <w:pStyle w:val="10533"/>
        <w:pBdr/>
        <w:tabs>
          <w:tab w:val="clear" w:leader="none" w:pos="708"/>
          <w:tab w:val="center" w:leader="none" w:pos="4678"/>
          <w:tab w:val="right" w:leader="none" w:pos="9356"/>
        </w:tabs>
        <w:spacing w:line="360" w:lineRule="auto"/>
        <w:ind/>
        <w:jc w:val="center"/>
        <w:rPr>
          <w:rFonts w:eastAsia="Calibri"/>
          <w:lang w:eastAsia="en-US"/>
        </w:rPr>
      </w:pPr>
      <w:r>
        <mc:AlternateContent>
          <mc:Choice Requires="wpg">
            <w:drawing>
              <wp:inline xmlns:wp="http://schemas.openxmlformats.org/drawingml/2006/wordprocessingDrawing" distT="0" distB="0" distL="0" distR="0">
                <wp:extent cx="3009900" cy="1009650"/>
                <wp:effectExtent l="0" t="0" r="0" b="0"/>
                <wp:docPr id="16" name="Рисунок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5" descr=""/>
                        <pic:cNvPicPr>
                          <a:picLocks noChangeAspect="1"/>
                        </pic:cNvPicPr>
                        <pic:nvPr/>
                      </pic:nvPicPr>
                      <pic:blipFill rotWithShape="1">
                        <a:blip r:embed="rId571">
                          <a:extLst>
                            <a:ext uri="{96DAC541-7B7A-43D3-8B79-37D633B846F1}">
                              <asvg:svgBlip xmlns:asvg="http://schemas.microsoft.com/office/drawing/2016/SVG/main" r:embed="rId572"/>
                            </a:ext>
                          </a:extLst>
                        </a:blip>
                        <a:stretch/>
                      </pic:blipFill>
                      <pic:spPr bwMode="auto">
                        <a:xfrm>
                          <a:off x="0" y="0"/>
                          <a:ext cx="3009900" cy="10096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width:237.00pt;height:79.50pt;mso-wrap-distance-left:0.00pt;mso-wrap-distance-top:0.00pt;mso-wrap-distance-right:0.00pt;mso-wrap-distance-bottom:0.00pt;z-index:1;" stroked="false">
                <v:imagedata r:id="rId571" o:title=""/>
                <o:lock v:ext="edit" rotation="t"/>
              </v:shape>
            </w:pict>
          </mc:Fallback>
        </mc:AlternateContent>
      </w:r>
      <w:r>
        <w:rPr>
          <w:rFonts w:eastAsia="Calibri"/>
          <w:lang w:eastAsia="en-US"/>
        </w:rPr>
        <w:t xml:space="preserve">(2)</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где </w:t>
      </w:r>
      <w:r>
        <mc:AlternateContent>
          <mc:Choice Requires="wpg">
            <w:drawing>
              <wp:inline xmlns:wp="http://schemas.openxmlformats.org/drawingml/2006/wordprocessingDrawing" distT="0" distB="0" distL="0" distR="0">
                <wp:extent cx="457200" cy="266700"/>
                <wp:effectExtent l="0" t="0" r="0" b="0"/>
                <wp:docPr id="17" name="Рисунок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6" descr=""/>
                        <pic:cNvPicPr>
                          <a:picLocks noChangeAspect="1"/>
                        </pic:cNvPicPr>
                        <pic:nvPr/>
                      </pic:nvPicPr>
                      <pic:blipFill rotWithShape="1">
                        <a:blip r:embed="rId573">
                          <a:extLst>
                            <a:ext uri="{96DAC541-7B7A-43D3-8B79-37D633B846F1}">
                              <asvg:svgBlip xmlns:asvg="http://schemas.microsoft.com/office/drawing/2016/SVG/main" r:embed="rId574"/>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width:36.00pt;height:21.00pt;mso-wrap-distance-left:0.00pt;mso-wrap-distance-top:0.00pt;mso-wrap-distance-right:0.00pt;mso-wrap-distance-bottom:0.00pt;z-index:1;" stroked="false">
                <v:imagedata r:id="rId573" o:title=""/>
                <o:lock v:ext="edit" rotation="t"/>
              </v:shape>
            </w:pict>
          </mc:Fallback>
        </mc:AlternateContent>
      </w:r>
      <w:r>
        <w:rPr>
          <w:rFonts w:eastAsia="Calibri"/>
          <w:lang w:eastAsia="en-US"/>
        </w:rPr>
        <w:t xml:space="preserve"> - ожидаемые на период регулирования среднегодовые тепловые потери через изоляцию по участкам подземной прокладки, Гкал/ч;</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18" name="Рисунок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7" descr=""/>
                        <pic:cNvPicPr>
                          <a:picLocks noChangeAspect="1"/>
                        </pic:cNvPicPr>
                        <pic:nvPr/>
                      </pic:nvPicPr>
                      <pic:blipFill rotWithShape="1">
                        <a:blip r:embed="rId575">
                          <a:extLst>
                            <a:ext uri="{96DAC541-7B7A-43D3-8B79-37D633B846F1}">
                              <asvg:svgBlip xmlns:asvg="http://schemas.microsoft.com/office/drawing/2016/SVG/main" r:embed="rId576"/>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width:36.00pt;height:21.00pt;mso-wrap-distance-left:0.00pt;mso-wrap-distance-top:0.00pt;mso-wrap-distance-right:0.00pt;mso-wrap-distance-bottom:0.00pt;z-index:1;" stroked="false">
                <v:imagedata r:id="rId575" o:title=""/>
                <o:lock v:ext="edit" rotation="t"/>
              </v:shape>
            </w:pict>
          </mc:Fallback>
        </mc:AlternateContent>
      </w:r>
      <w:r>
        <w:rPr>
          <w:rFonts w:eastAsia="Calibri"/>
          <w:lang w:eastAsia="en-US"/>
        </w:rPr>
        <w:t xml:space="preserve"> </w:t>
      </w:r>
      <w:r>
        <w:rPr>
          <w:rFonts w:eastAsia="Calibri"/>
          <w:lang w:eastAsia="en-US"/>
        </w:rPr>
        <w:t xml:space="preserve">-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19"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8" descr=""/>
                        <pic:cNvPicPr>
                          <a:picLocks noChangeAspect="1"/>
                        </pic:cNvPicPr>
                        <pic:nvPr/>
                      </pic:nvPicPr>
                      <pic:blipFill rotWithShape="1">
                        <a:blip r:embed="rId577">
                          <a:extLst>
                            <a:ext uri="{96DAC541-7B7A-43D3-8B79-37D633B846F1}">
                              <asvg:svgBlip xmlns:asvg="http://schemas.microsoft.com/office/drawing/2016/SVG/main" r:embed="rId578"/>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width:36.00pt;height:21.00pt;mso-wrap-distance-left:0.00pt;mso-wrap-distance-top:0.00pt;mso-wrap-distance-right:0.00pt;mso-wrap-distance-bottom:0.00pt;z-index:1;" stroked="false">
                <v:imagedata r:id="rId577" o:title=""/>
                <o:lock v:ext="edit" rotation="t"/>
              </v:shape>
            </w:pict>
          </mc:Fallback>
        </mc:AlternateContent>
      </w:r>
      <w:r>
        <w:rPr>
          <w:rFonts w:eastAsia="Calibri"/>
          <w:lang w:eastAsia="en-US"/>
        </w:rPr>
        <w:t xml:space="preserve">- ожидаемая на период регулирования суммарная материальная характеристика участков тепловых сетей подземной прокладки, м</w:t>
      </w:r>
      <w:r>
        <w:rPr>
          <w:rFonts w:eastAsia="Calibri"/>
          <w:vertAlign w:val="superscript"/>
          <w:lang w:eastAsia="en-US"/>
        </w:rPr>
        <w:t xml:space="preserve">2</w:t>
      </w:r>
      <w:r>
        <w:rPr>
          <w:rFonts w:eastAsia="Calibri"/>
          <w:lang w:eastAsia="en-US"/>
        </w:rPr>
        <w:t xml:space="preserve">;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20" name="Рисунок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9" descr=""/>
                        <pic:cNvPicPr>
                          <a:picLocks noChangeAspect="1"/>
                        </pic:cNvPicPr>
                        <pic:nvPr/>
                      </pic:nvPicPr>
                      <pic:blipFill rotWithShape="1">
                        <a:blip r:embed="rId579">
                          <a:extLst>
                            <a:ext uri="{96DAC541-7B7A-43D3-8B79-37D633B846F1}">
                              <asvg:svgBlip xmlns:asvg="http://schemas.microsoft.com/office/drawing/2016/SVG/main" r:embed="rId580"/>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width:36.00pt;height:21.00pt;mso-wrap-distance-left:0.00pt;mso-wrap-distance-top:0.00pt;mso-wrap-distance-right:0.00pt;mso-wrap-distance-bottom:0.00pt;z-index:1;" stroked="false">
                <v:imagedata r:id="rId579" o:title=""/>
                <o:lock v:ext="edit" rotation="t"/>
              </v:shape>
            </w:pict>
          </mc:Fallback>
        </mc:AlternateContent>
      </w:r>
      <w:r>
        <w:rPr>
          <w:rFonts w:eastAsia="Calibri"/>
          <w:lang w:eastAsia="en-US"/>
        </w:rPr>
        <w:t xml:space="preserve"> </w:t>
      </w:r>
      <w:r>
        <w:rPr>
          <w:rFonts w:eastAsia="Calibri"/>
          <w:lang w:eastAsia="en-US"/>
        </w:rPr>
        <w:t xml:space="preserve">- суммарная материальная характеристика участков тепловых сетей подземной прокладки на момент разработки энергетических характеристик, м</w:t>
      </w:r>
      <w:r>
        <w:rPr>
          <w:rFonts w:eastAsia="Calibri"/>
          <w:vertAlign w:val="superscript"/>
          <w:lang w:eastAsia="en-US"/>
        </w:rPr>
        <w:t xml:space="preserve">2</w:t>
      </w:r>
      <w:r>
        <w:rPr>
          <w:rFonts w:eastAsia="Calibri"/>
          <w:lang w:eastAsia="en-US"/>
        </w:rPr>
        <w:t xml:space="preserve">;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1009650" cy="266700"/>
                <wp:effectExtent l="0" t="0" r="0" b="0"/>
                <wp:docPr id="21" name="Рисунок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0" descr=""/>
                        <pic:cNvPicPr>
                          <a:picLocks noChangeAspect="1"/>
                        </pic:cNvPicPr>
                        <pic:nvPr/>
                      </pic:nvPicPr>
                      <pic:blipFill rotWithShape="1">
                        <a:blip r:embed="rId581">
                          <a:extLst>
                            <a:ext uri="{96DAC541-7B7A-43D3-8B79-37D633B846F1}">
                              <asvg:svgBlip xmlns:asvg="http://schemas.microsoft.com/office/drawing/2016/SVG/main" r:embed="rId582"/>
                            </a:ext>
                          </a:extLst>
                        </a:blip>
                        <a:stretch/>
                      </pic:blipFill>
                      <pic:spPr bwMode="auto">
                        <a:xfrm>
                          <a:off x="0" y="0"/>
                          <a:ext cx="10096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width:79.50pt;height:21.00pt;mso-wrap-distance-left:0.00pt;mso-wrap-distance-top:0.00pt;mso-wrap-distance-right:0.00pt;mso-wrap-distance-bottom:0.00pt;z-index:1;" stroked="false">
                <v:imagedata r:id="rId581" o:title=""/>
                <o:lock v:ext="edit" rotation="t"/>
              </v:shape>
            </w:pict>
          </mc:Fallback>
        </mc:AlternateContent>
      </w:r>
      <w:r>
        <w:rPr>
          <w:rFonts w:eastAsia="Calibri"/>
          <w:lang w:eastAsia="en-US"/>
        </w:rPr>
        <w:t xml:space="preserve"> </w:t>
      </w:r>
      <w:r>
        <w:rPr>
          <w:rFonts w:eastAsia="Calibri"/>
          <w:lang w:eastAsia="en-US"/>
        </w:rPr>
        <w:t xml:space="preserve">-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теплопроводов, °C;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1009650" cy="266700"/>
                <wp:effectExtent l="0" t="0" r="0" b="0"/>
                <wp:docPr id="22" name="Рисунок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1" descr=""/>
                        <pic:cNvPicPr>
                          <a:picLocks noChangeAspect="1"/>
                        </pic:cNvPicPr>
                        <pic:nvPr/>
                      </pic:nvPicPr>
                      <pic:blipFill rotWithShape="1">
                        <a:blip r:embed="rId583">
                          <a:extLst>
                            <a:ext uri="{96DAC541-7B7A-43D3-8B79-37D633B846F1}">
                              <asvg:svgBlip xmlns:asvg="http://schemas.microsoft.com/office/drawing/2016/SVG/main" r:embed="rId584"/>
                            </a:ext>
                          </a:extLst>
                        </a:blip>
                        <a:stretch/>
                      </pic:blipFill>
                      <pic:spPr bwMode="auto">
                        <a:xfrm>
                          <a:off x="0" y="0"/>
                          <a:ext cx="10096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width:79.50pt;height:21.00pt;mso-wrap-distance-left:0.00pt;mso-wrap-distance-top:0.00pt;mso-wrap-distance-right:0.00pt;mso-wrap-distance-bottom:0.00pt;z-index:1;" stroked="false">
                <v:imagedata r:id="rId583" o:title=""/>
                <o:lock v:ext="edit" rotation="t"/>
              </v:shape>
            </w:pict>
          </mc:Fallback>
        </mc:AlternateContent>
      </w:r>
      <w:r>
        <w:rPr>
          <w:rFonts w:eastAsia="Calibri"/>
          <w:lang w:eastAsia="en-US"/>
        </w:rPr>
        <w:t xml:space="preserve"> </w:t>
      </w:r>
      <w:r>
        <w:rPr>
          <w:rFonts w:eastAsia="Calibri"/>
          <w:lang w:eastAsia="en-US"/>
        </w:rPr>
        <w:t xml:space="preserve">- среднегодовые температуры сетевой воды в подающих и обратных трубопроводах, и грунта на средней глубине заложения теплопроводов, принятые при разработке энергетических характеристик, °C; </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для участков надземной прокладки: </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(раздельно по подающим и обратным трубопроводам)</w:t>
      </w:r>
      <w:r>
        <w:rPr>
          <w:rFonts w:eastAsia="Calibri"/>
          <w:lang w:eastAsia="en-US"/>
        </w:rPr>
      </w:r>
    </w:p>
    <w:p>
      <w:pPr>
        <w:pStyle w:val="10533"/>
        <w:pBdr/>
        <w:tabs>
          <w:tab w:val="clear" w:leader="none" w:pos="708"/>
          <w:tab w:val="center" w:leader="none" w:pos="4678"/>
          <w:tab w:val="right" w:leader="none" w:pos="9356"/>
        </w:tabs>
        <w:spacing w:line="360" w:lineRule="auto"/>
        <w:ind/>
        <w:jc w:val="center"/>
        <w:rPr>
          <w:rFonts w:eastAsia="Calibri"/>
          <w:lang w:eastAsia="en-US"/>
        </w:rPr>
      </w:pPr>
      <w:r>
        <mc:AlternateContent>
          <mc:Choice Requires="wpg">
            <w:drawing>
              <wp:inline xmlns:wp="http://schemas.openxmlformats.org/drawingml/2006/wordprocessingDrawing" distT="0" distB="0" distL="0" distR="0">
                <wp:extent cx="3009900" cy="1009650"/>
                <wp:effectExtent l="0" t="0" r="0" b="0"/>
                <wp:docPr id="23" name="Рисунок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2" descr=""/>
                        <pic:cNvPicPr>
                          <a:picLocks noChangeAspect="1"/>
                        </pic:cNvPicPr>
                        <pic:nvPr/>
                      </pic:nvPicPr>
                      <pic:blipFill rotWithShape="1">
                        <a:blip r:embed="rId585">
                          <a:extLst>
                            <a:ext uri="{96DAC541-7B7A-43D3-8B79-37D633B846F1}">
                              <asvg:svgBlip xmlns:asvg="http://schemas.microsoft.com/office/drawing/2016/SVG/main" r:embed="rId586"/>
                            </a:ext>
                          </a:extLst>
                        </a:blip>
                        <a:stretch/>
                      </pic:blipFill>
                      <pic:spPr bwMode="auto">
                        <a:xfrm>
                          <a:off x="0" y="0"/>
                          <a:ext cx="3009900" cy="10096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width:237.00pt;height:79.50pt;mso-wrap-distance-left:0.00pt;mso-wrap-distance-top:0.00pt;mso-wrap-distance-right:0.00pt;mso-wrap-distance-bottom:0.00pt;z-index:1;" stroked="false">
                <v:imagedata r:id="rId585" o:title=""/>
                <o:lock v:ext="edit" rotation="t"/>
              </v:shape>
            </w:pict>
          </mc:Fallback>
        </mc:AlternateContent>
      </w:r>
      <w:r>
        <w:rPr>
          <w:rFonts w:eastAsia="Calibri"/>
          <w:lang w:eastAsia="en-US"/>
        </w:rPr>
        <w:t xml:space="preserve">(3)</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где </w:t>
      </w:r>
      <w:r>
        <mc:AlternateContent>
          <mc:Choice Requires="wpg">
            <w:drawing>
              <wp:inline xmlns:wp="http://schemas.openxmlformats.org/drawingml/2006/wordprocessingDrawing" distT="0" distB="0" distL="0" distR="0">
                <wp:extent cx="457200" cy="266700"/>
                <wp:effectExtent l="0" t="0" r="0" b="0"/>
                <wp:docPr id="24" name="Рисунок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3" descr=""/>
                        <pic:cNvPicPr>
                          <a:picLocks noChangeAspect="1"/>
                        </pic:cNvPicPr>
                        <pic:nvPr/>
                      </pic:nvPicPr>
                      <pic:blipFill rotWithShape="1">
                        <a:blip r:embed="rId587">
                          <a:extLst>
                            <a:ext uri="{96DAC541-7B7A-43D3-8B79-37D633B846F1}">
                              <asvg:svgBlip xmlns:asvg="http://schemas.microsoft.com/office/drawing/2016/SVG/main" r:embed="rId588"/>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 o:spid="_x0000_s25" type="#_x0000_t75" style="width:36.00pt;height:21.00pt;mso-wrap-distance-left:0.00pt;mso-wrap-distance-top:0.00pt;mso-wrap-distance-right:0.00pt;mso-wrap-distance-bottom:0.00pt;z-index:1;" stroked="false">
                <v:imagedata r:id="rId587" o:title=""/>
                <o:lock v:ext="edit" rotation="t"/>
              </v:shape>
            </w:pict>
          </mc:Fallback>
        </mc:AlternateContent>
      </w:r>
      <w:r>
        <w:rPr>
          <w:rFonts w:eastAsia="Calibri"/>
          <w:lang w:eastAsia="en-US"/>
        </w:rPr>
        <w:t xml:space="preserve"> -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25" name="Рисунок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4" descr=""/>
                        <pic:cNvPicPr>
                          <a:picLocks noChangeAspect="1"/>
                        </pic:cNvPicPr>
                        <pic:nvPr/>
                      </pic:nvPicPr>
                      <pic:blipFill rotWithShape="1">
                        <a:blip r:embed="rId589">
                          <a:extLst>
                            <a:ext uri="{96DAC541-7B7A-43D3-8B79-37D633B846F1}">
                              <asvg:svgBlip xmlns:asvg="http://schemas.microsoft.com/office/drawing/2016/SVG/main" r:embed="rId590"/>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width:36.00pt;height:21.00pt;mso-wrap-distance-left:0.00pt;mso-wrap-distance-top:0.00pt;mso-wrap-distance-right:0.00pt;mso-wrap-distance-bottom:0.00pt;z-index:1;" stroked="false">
                <v:imagedata r:id="rId589" o:title=""/>
                <o:lock v:ext="edit" rotation="t"/>
              </v:shape>
            </w:pict>
          </mc:Fallback>
        </mc:AlternateContent>
      </w:r>
      <w:r>
        <w:rPr>
          <w:rFonts w:eastAsia="Calibri"/>
          <w:lang w:eastAsia="en-US"/>
        </w:rPr>
        <w:t xml:space="preserve">-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обратным трубопроводам, Гкал/ч;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26" name="Рисунок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5" descr=""/>
                        <pic:cNvPicPr>
                          <a:picLocks noChangeAspect="1"/>
                        </pic:cNvPicPr>
                        <pic:nvPr/>
                      </pic:nvPicPr>
                      <pic:blipFill rotWithShape="1">
                        <a:blip r:embed="rId591">
                          <a:extLst>
                            <a:ext uri="{96DAC541-7B7A-43D3-8B79-37D633B846F1}">
                              <asvg:svgBlip xmlns:asvg="http://schemas.microsoft.com/office/drawing/2016/SVG/main" r:embed="rId592"/>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width:36.00pt;height:21.00pt;mso-wrap-distance-left:0.00pt;mso-wrap-distance-top:0.00pt;mso-wrap-distance-right:0.00pt;mso-wrap-distance-bottom:0.00pt;z-index:1;" stroked="false">
                <v:imagedata r:id="rId591" o:title=""/>
                <o:lock v:ext="edit" rotation="t"/>
              </v:shape>
            </w:pict>
          </mc:Fallback>
        </mc:AlternateContent>
      </w:r>
      <w:r>
        <w:rPr>
          <w:rFonts w:eastAsia="Calibri"/>
          <w:lang w:eastAsia="en-US"/>
        </w:rPr>
        <w:t xml:space="preserve"> </w:t>
      </w:r>
      <w:r>
        <w:rPr>
          <w:rFonts w:eastAsia="Calibri"/>
          <w:lang w:eastAsia="en-US"/>
        </w:rPr>
        <w:t xml:space="preserve">- ожидаемая на период регулирования суммарная материальная характеристика участков тепловых сетей надземной прокладки, м</w:t>
      </w:r>
      <w:r>
        <w:rPr>
          <w:rFonts w:eastAsia="Calibri"/>
          <w:vertAlign w:val="superscript"/>
          <w:lang w:eastAsia="en-US"/>
        </w:rPr>
        <w:t xml:space="preserve">2</w:t>
      </w:r>
      <w:r>
        <w:rPr>
          <w:rFonts w:eastAsia="Calibri"/>
          <w:lang w:eastAsia="en-US"/>
        </w:rPr>
        <w:t xml:space="preserve">;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27" name="Рисунок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6" descr=""/>
                        <pic:cNvPicPr>
                          <a:picLocks noChangeAspect="1"/>
                        </pic:cNvPicPr>
                        <pic:nvPr/>
                      </pic:nvPicPr>
                      <pic:blipFill rotWithShape="1">
                        <a:blip r:embed="rId593">
                          <a:extLst>
                            <a:ext uri="{96DAC541-7B7A-43D3-8B79-37D633B846F1}">
                              <asvg:svgBlip xmlns:asvg="http://schemas.microsoft.com/office/drawing/2016/SVG/main" r:embed="rId594"/>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width:36.00pt;height:21.00pt;mso-wrap-distance-left:0.00pt;mso-wrap-distance-top:0.00pt;mso-wrap-distance-right:0.00pt;mso-wrap-distance-bottom:0.00pt;z-index:1;" stroked="false">
                <v:imagedata r:id="rId593" o:title=""/>
                <o:lock v:ext="edit" rotation="t"/>
              </v:shape>
            </w:pict>
          </mc:Fallback>
        </mc:AlternateContent>
      </w:r>
      <w:r>
        <w:rPr>
          <w:rFonts w:eastAsia="Calibri"/>
          <w:lang w:eastAsia="en-US"/>
        </w:rPr>
        <w:t xml:space="preserve"> </w:t>
      </w:r>
      <w:r>
        <w:rPr>
          <w:rFonts w:eastAsia="Calibri"/>
          <w:lang w:eastAsia="en-US"/>
        </w:rPr>
        <w:t xml:space="preserve">- суммарная материальная характеристика участков тепловых сетей надземной прокладки на момент разработки энергетической характеристики, м</w:t>
      </w:r>
      <w:r>
        <w:rPr>
          <w:rFonts w:eastAsia="Calibri"/>
          <w:vertAlign w:val="superscript"/>
          <w:lang w:eastAsia="en-US"/>
        </w:rPr>
        <w:t xml:space="preserve">2</w:t>
      </w:r>
      <w:r>
        <w:rPr>
          <w:rFonts w:eastAsia="Calibri"/>
          <w:lang w:eastAsia="en-US"/>
        </w:rPr>
        <w:t xml:space="preserve">;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361950" cy="266700"/>
                <wp:effectExtent l="0" t="0" r="0" b="0"/>
                <wp:docPr id="28" name="Рисунок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7" descr=""/>
                        <pic:cNvPicPr>
                          <a:picLocks noChangeAspect="1"/>
                        </pic:cNvPicPr>
                        <pic:nvPr/>
                      </pic:nvPicPr>
                      <pic:blipFill rotWithShape="1">
                        <a:blip r:embed="rId595">
                          <a:extLst>
                            <a:ext uri="{96DAC541-7B7A-43D3-8B79-37D633B846F1}">
                              <asvg:svgBlip xmlns:asvg="http://schemas.microsoft.com/office/drawing/2016/SVG/main" r:embed="rId596"/>
                            </a:ext>
                          </a:extLst>
                        </a:blip>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width:28.50pt;height:21.00pt;mso-wrap-distance-left:0.00pt;mso-wrap-distance-top:0.00pt;mso-wrap-distance-right:0.00pt;mso-wrap-distance-bottom:0.00pt;z-index:1;" stroked="false">
                <v:imagedata r:id="rId595" o:title=""/>
                <o:lock v:ext="edit" rotation="t"/>
              </v:shape>
            </w:pict>
          </mc:Fallback>
        </mc:AlternateContent>
      </w:r>
      <w:r>
        <w:rPr>
          <w:rFonts w:eastAsia="Calibri"/>
          <w:lang w:eastAsia="en-US"/>
        </w:rPr>
        <w:t xml:space="preserve"> </w:t>
      </w:r>
      <w:r>
        <w:rPr>
          <w:rFonts w:eastAsia="Calibri"/>
          <w:lang w:eastAsia="en-US"/>
        </w:rPr>
        <w:t xml:space="preserve">- ожидаемая на период регулирования среднегодовая температура наружного воздуха, °C; </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361950" cy="266700"/>
                <wp:effectExtent l="0" t="0" r="0" b="0"/>
                <wp:docPr id="29" name="Рисунок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28" descr=""/>
                        <pic:cNvPicPr>
                          <a:picLocks noChangeAspect="1"/>
                        </pic:cNvPicPr>
                        <pic:nvPr/>
                      </pic:nvPicPr>
                      <pic:blipFill rotWithShape="1">
                        <a:blip r:embed="rId595"/>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width:28.50pt;height:21.00pt;mso-wrap-distance-left:0.00pt;mso-wrap-distance-top:0.00pt;mso-wrap-distance-right:0.00pt;mso-wrap-distance-bottom:0.00pt;z-index:1;" stroked="false">
                <v:imagedata r:id="rId595" o:title=""/>
                <o:lock v:ext="edit" rotation="t"/>
              </v:shape>
            </w:pict>
          </mc:Fallback>
        </mc:AlternateContent>
      </w:r>
      <w:r>
        <w:rPr>
          <w:rFonts w:eastAsia="Calibri"/>
          <w:lang w:eastAsia="en-US"/>
        </w:rPr>
        <w:t xml:space="preserve"> </w:t>
      </w:r>
      <w:r>
        <w:rPr>
          <w:rFonts w:eastAsia="Calibri"/>
          <w:lang w:eastAsia="en-US"/>
        </w:rPr>
        <w:t xml:space="preserve">- среднегодовая температура наружного воздуха, принятая при составлении энергетических характеристик, °C.</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8.2. Расчет ожидаемых на период регулирования среднегодовых тепловых потерь с потерями сетевой воды осуществляется по формуле: </w:t>
      </w:r>
      <w:r>
        <w:rPr>
          <w:rFonts w:eastAsia="Calibri"/>
          <w:lang w:eastAsia="en-US"/>
        </w:rPr>
      </w:r>
    </w:p>
    <w:p>
      <w:pPr>
        <w:pStyle w:val="10533"/>
        <w:pBdr/>
        <w:tabs>
          <w:tab w:val="clear" w:leader="none" w:pos="708"/>
          <w:tab w:val="center" w:leader="none" w:pos="4678"/>
          <w:tab w:val="right" w:leader="none" w:pos="9356"/>
        </w:tabs>
        <w:spacing w:line="360" w:lineRule="auto"/>
        <w:ind/>
        <w:jc w:val="center"/>
        <w:rPr>
          <w:rFonts w:eastAsia="Calibri"/>
          <w:lang w:eastAsia="en-US"/>
        </w:rPr>
      </w:pPr>
      <w:r>
        <mc:AlternateContent>
          <mc:Choice Requires="wpg">
            <w:drawing>
              <wp:inline xmlns:wp="http://schemas.openxmlformats.org/drawingml/2006/wordprocessingDrawing" distT="0" distB="0" distL="0" distR="0">
                <wp:extent cx="3486150" cy="457200"/>
                <wp:effectExtent l="0" t="0" r="0" b="0"/>
                <wp:docPr id="30" name="Рисунок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9" descr=""/>
                        <pic:cNvPicPr>
                          <a:picLocks noChangeAspect="1"/>
                        </pic:cNvPicPr>
                        <pic:nvPr/>
                      </pic:nvPicPr>
                      <pic:blipFill rotWithShape="1">
                        <a:blip r:embed="rId597">
                          <a:extLst>
                            <a:ext uri="{96DAC541-7B7A-43D3-8B79-37D633B846F1}">
                              <asvg:svgBlip xmlns:asvg="http://schemas.microsoft.com/office/drawing/2016/SVG/main" r:embed="rId598"/>
                            </a:ext>
                          </a:extLst>
                        </a:blip>
                        <a:stretch/>
                      </pic:blipFill>
                      <pic:spPr bwMode="auto">
                        <a:xfrm>
                          <a:off x="0" y="0"/>
                          <a:ext cx="3486150" cy="4572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width:274.50pt;height:36.00pt;mso-wrap-distance-left:0.00pt;mso-wrap-distance-top:0.00pt;mso-wrap-distance-right:0.00pt;mso-wrap-distance-bottom:0.00pt;z-index:1;" stroked="false">
                <v:imagedata r:id="rId597" o:title=""/>
                <o:lock v:ext="edit" rotation="t"/>
              </v:shape>
            </w:pict>
          </mc:Fallback>
        </mc:AlternateContent>
      </w:r>
      <w:r>
        <w:rPr>
          <w:rFonts w:eastAsia="Calibri"/>
          <w:lang w:eastAsia="en-US"/>
        </w:rPr>
        <w:t xml:space="preserve">(4)</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где </w:t>
      </w:r>
      <w:r>
        <mc:AlternateContent>
          <mc:Choice Requires="wpg">
            <w:drawing>
              <wp:inline xmlns:wp="http://schemas.openxmlformats.org/drawingml/2006/wordprocessingDrawing" distT="0" distB="0" distL="0" distR="0">
                <wp:extent cx="457200" cy="266700"/>
                <wp:effectExtent l="0" t="0" r="0" b="0"/>
                <wp:docPr id="31" name="Рисунок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0" descr=""/>
                        <pic:cNvPicPr>
                          <a:picLocks noChangeAspect="1"/>
                        </pic:cNvPicPr>
                        <pic:nvPr/>
                      </pic:nvPicPr>
                      <pic:blipFill rotWithShape="1">
                        <a:blip r:embed="rId599">
                          <a:extLst>
                            <a:ext uri="{96DAC541-7B7A-43D3-8B79-37D633B846F1}">
                              <asvg:svgBlip xmlns:asvg="http://schemas.microsoft.com/office/drawing/2016/SVG/main" r:embed="rId600"/>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 o:spid="_x0000_s32" type="#_x0000_t75" style="width:36.00pt;height:21.00pt;mso-wrap-distance-left:0.00pt;mso-wrap-distance-top:0.00pt;mso-wrap-distance-right:0.00pt;mso-wrap-distance-bottom:0.00pt;z-index:1;" stroked="false">
                <v:imagedata r:id="rId599" o:title=""/>
                <o:lock v:ext="edit" rotation="t"/>
              </v:shape>
            </w:pict>
          </mc:Fallback>
        </mc:AlternateContent>
      </w:r>
      <w:r>
        <w:rPr>
          <w:rFonts w:eastAsia="Calibri"/>
          <w:lang w:eastAsia="en-US"/>
        </w:rPr>
        <w:t xml:space="preserve"> - ожидаемые на период регулирования среднегодовые тепловые потери с потерями сетевой воды, Гкал/ч; </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С – удельная теплоемкость сетевой воды, принимаемая равной 1 ккал/кг °C; </w:t>
      </w:r>
      <w:r>
        <w:rPr>
          <w:rFonts w:eastAsia="Calibri"/>
          <w:lang w:eastAsia="en-US"/>
        </w:rPr>
      </w:r>
    </w:p>
    <w:p>
      <w:pPr>
        <w:pStyle w:val="10533"/>
        <w:keepLines w:val="true"/>
        <w:pBdr/>
        <w:spacing w:line="360" w:lineRule="auto"/>
        <w:ind w:firstLine="566"/>
        <w:jc w:val="both"/>
        <w:rPr>
          <w:rFonts w:eastAsia="Calibri"/>
          <w:lang w:eastAsia="en-US"/>
        </w:rPr>
      </w:pPr>
      <w:r>
        <w:rPr>
          <w:rFonts w:eastAsia="Calibri"/>
          <w:lang w:eastAsia="en-US"/>
        </w:rPr>
        <w:t xml:space="preserve">ρ</w:t>
      </w:r>
      <w:r>
        <w:rPr>
          <w:rFonts w:eastAsia="Calibri"/>
          <w:vertAlign w:val="subscript"/>
          <w:lang w:eastAsia="en-US"/>
        </w:rPr>
        <w:t xml:space="preserve">ср</w:t>
      </w:r>
      <w:r>
        <w:rPr>
          <w:rFonts w:eastAsia="Calibri"/>
          <w:lang w:eastAsia="en-US"/>
        </w:rPr>
        <w:t xml:space="preserve"> – среднегодовая плотность воды, определяемая при среднем значении ожидаемых в период регулирования среднегодовых температур сетевой воды в подающих и обратных трубопроводах, кг/</w:t>
      </w:r>
      <w:r>
        <w:rPr>
          <w:rFonts w:eastAsia="Calibri"/>
          <w:vertAlign w:val="superscript"/>
          <w:lang w:eastAsia="en-US"/>
        </w:rPr>
        <w:t xml:space="preserve"> </w:t>
      </w:r>
      <w:r>
        <w:rPr>
          <w:rFonts w:eastAsia="Calibri"/>
          <w:lang w:eastAsia="en-US"/>
        </w:rPr>
        <w:t xml:space="preserve">м</w:t>
      </w:r>
      <w:r>
        <w:rPr>
          <w:rFonts w:eastAsia="Calibri"/>
          <w:vertAlign w:val="superscript"/>
          <w:lang w:eastAsia="en-US"/>
        </w:rPr>
        <w:t xml:space="preserve">3</w:t>
      </w:r>
      <w:r>
        <w:rPr>
          <w:rFonts w:eastAsia="Calibri"/>
          <w:lang w:eastAsia="en-US"/>
        </w:rPr>
        <w:t xml:space="preserve">;</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32" name="Рисунок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1" descr=""/>
                        <pic:cNvPicPr>
                          <a:picLocks noChangeAspect="1"/>
                        </pic:cNvPicPr>
                        <pic:nvPr/>
                      </pic:nvPicPr>
                      <pic:blipFill rotWithShape="1">
                        <a:blip r:embed="rId599"/>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width:36.00pt;height:21.00pt;mso-wrap-distance-left:0.00pt;mso-wrap-distance-top:0.00pt;mso-wrap-distance-right:0.00pt;mso-wrap-distance-bottom:0.00pt;z-index:1;" stroked="false">
                <v:imagedata r:id="rId599" o:title=""/>
                <o:lock v:ext="edit" rotation="t"/>
              </v:shape>
            </w:pict>
          </mc:Fallback>
        </mc:AlternateContent>
      </w:r>
      <w:r>
        <w:rPr>
          <w:rFonts w:eastAsia="Calibri"/>
          <w:lang w:eastAsia="en-US"/>
        </w:rPr>
        <w:t xml:space="preserve"> </w:t>
      </w:r>
      <w:r>
        <w:rPr>
          <w:rFonts w:eastAsia="Calibri"/>
          <w:lang w:eastAsia="en-US"/>
        </w:rPr>
        <w:t xml:space="preserve">- ожидаемые на период регулирования годовые потери сетевой воды в тепловых сетях, эксплуатируемых теплосетевой организацией;</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457200" cy="266700"/>
                <wp:effectExtent l="0" t="0" r="0" b="0"/>
                <wp:docPr id="33" name="Изображение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8" descr=""/>
                        <pic:cNvPicPr>
                          <a:picLocks noChangeAspect="1"/>
                        </pic:cNvPicPr>
                        <pic:nvPr/>
                      </pic:nvPicPr>
                      <pic:blipFill rotWithShape="1">
                        <a:blip r:embed="rId601">
                          <a:extLst>
                            <a:ext uri="{96DAC541-7B7A-43D3-8B79-37D633B846F1}">
                              <asvg:svgBlip xmlns:asvg="http://schemas.microsoft.com/office/drawing/2016/SVG/main" r:embed="rId602"/>
                            </a:ext>
                          </a:extLst>
                        </a:blip>
                        <a:stretch/>
                      </pic:blipFill>
                      <pic:spPr bwMode="auto">
                        <a:xfrm>
                          <a:off x="0" y="0"/>
                          <a:ext cx="45720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36.00pt;height:21.00pt;mso-wrap-distance-left:0.00pt;mso-wrap-distance-top:0.00pt;mso-wrap-distance-right:0.00pt;mso-wrap-distance-bottom:0.00pt;z-index:1;" stroked="false">
                <v:imagedata r:id="rId601" o:title=""/>
                <o:lock v:ext="edit" rotation="t"/>
              </v:shape>
            </w:pict>
          </mc:Fallback>
        </mc:AlternateContent>
      </w:r>
      <w:r>
        <w:rPr>
          <w:rFonts w:eastAsia="Calibri"/>
          <w:lang w:eastAsia="en-US"/>
        </w:rPr>
        <w:t xml:space="preserve"> </w:t>
      </w:r>
      <w:r>
        <w:rPr>
          <w:rFonts w:eastAsia="Calibri"/>
          <w:lang w:eastAsia="en-US"/>
        </w:rPr>
        <w:t xml:space="preserve">- ожидаемая на период регулирования продолжительность работы тепловой сети в году, ч;</w:t>
      </w:r>
      <w:r>
        <w:rPr>
          <w:rFonts w:eastAsia="Calibri"/>
          <w:lang w:eastAsia="en-US"/>
        </w:rPr>
      </w:r>
    </w:p>
    <w:p>
      <w:pPr>
        <w:pStyle w:val="10533"/>
        <w:keepLines w:val="true"/>
        <w:pBdr/>
        <w:spacing w:line="360" w:lineRule="auto"/>
        <w:ind w:firstLine="566"/>
        <w:jc w:val="both"/>
        <w:rPr>
          <w:rFonts w:eastAsia="Calibri"/>
          <w:lang w:eastAsia="en-US"/>
        </w:rPr>
      </w:pPr>
      <w:r>
        <mc:AlternateContent>
          <mc:Choice Requires="wpg">
            <w:drawing>
              <wp:inline xmlns:wp="http://schemas.openxmlformats.org/drawingml/2006/wordprocessingDrawing" distT="0" distB="0" distL="0" distR="0">
                <wp:extent cx="361950" cy="266700"/>
                <wp:effectExtent l="0" t="0" r="0" b="0"/>
                <wp:docPr id="34" name="Рисунок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3" descr=""/>
                        <pic:cNvPicPr>
                          <a:picLocks noChangeAspect="1"/>
                        </pic:cNvPicPr>
                        <pic:nvPr/>
                      </pic:nvPicPr>
                      <pic:blipFill rotWithShape="1">
                        <a:blip r:embed="rId603">
                          <a:extLst>
                            <a:ext uri="{96DAC541-7B7A-43D3-8B79-37D633B846F1}">
                              <asvg:svgBlip xmlns:asvg="http://schemas.microsoft.com/office/drawing/2016/SVG/main" r:embed="rId604"/>
                            </a:ext>
                          </a:extLst>
                        </a:blip>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width:28.50pt;height:21.00pt;mso-wrap-distance-left:0.00pt;mso-wrap-distance-top:0.00pt;mso-wrap-distance-right:0.00pt;mso-wrap-distance-bottom:0.00pt;z-index:1;" stroked="false">
                <v:imagedata r:id="rId603" o:title=""/>
                <o:lock v:ext="edit" rotation="t"/>
              </v:shape>
            </w:pict>
          </mc:Fallback>
        </mc:AlternateContent>
      </w:r>
      <w:r>
        <w:rPr>
          <w:rFonts w:eastAsia="Calibri"/>
          <w:lang w:eastAsia="en-US"/>
        </w:rPr>
        <w:t xml:space="preserve">- ожидаемая на период регулирования среднегодовая температура холодной воды, поступающей на источник тепловой энергии для подготовки и использования в качестве подпитки тепловой сети, °C.</w:t>
      </w:r>
      <w:r>
        <w:rPr>
          <w:rFonts w:eastAsia="Calibri"/>
          <w:lang w:eastAsia="en-US"/>
        </w:rPr>
      </w:r>
    </w:p>
    <w:p>
      <w:pPr>
        <w:pStyle w:val="12960"/>
        <w:pBdr/>
        <w:spacing/>
        <w:ind/>
        <w:rPr/>
      </w:pPr>
      <w:r>
        <w:t xml:space="preserve">8.3. Ожидаемые на период регулирования суммарные среднегодовые тепловые потери, Гкал/ч, определяются по формуле:</w:t>
      </w:r>
      <w:r/>
    </w:p>
    <w:p>
      <w:pPr>
        <w:pStyle w:val="10533"/>
        <w:pBdr/>
        <w:tabs>
          <w:tab w:val="clear" w:leader="none" w:pos="708"/>
          <w:tab w:val="center" w:leader="none" w:pos="4678"/>
          <w:tab w:val="right" w:leader="none" w:pos="9356"/>
        </w:tabs>
        <w:spacing w:line="360" w:lineRule="auto"/>
        <w:ind/>
        <w:jc w:val="center"/>
        <w:rPr>
          <w:rFonts w:eastAsia="Calibri"/>
          <w:lang w:eastAsia="en-US"/>
        </w:rPr>
      </w:pPr>
      <w:r>
        <mc:AlternateContent>
          <mc:Choice Requires="wpg">
            <w:drawing>
              <wp:inline xmlns:wp="http://schemas.openxmlformats.org/drawingml/2006/wordprocessingDrawing" distT="0" distB="0" distL="0" distR="0">
                <wp:extent cx="1924050" cy="266700"/>
                <wp:effectExtent l="0" t="0" r="0" b="0"/>
                <wp:docPr id="35" name="Рисунок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4" descr=""/>
                        <pic:cNvPicPr>
                          <a:picLocks noChangeAspect="1"/>
                        </pic:cNvPicPr>
                        <pic:nvPr/>
                      </pic:nvPicPr>
                      <pic:blipFill rotWithShape="1">
                        <a:blip r:embed="rId605">
                          <a:extLst>
                            <a:ext uri="{96DAC541-7B7A-43D3-8B79-37D633B846F1}">
                              <asvg:svgBlip xmlns:asvg="http://schemas.microsoft.com/office/drawing/2016/SVG/main" r:embed="rId606"/>
                            </a:ext>
                          </a:extLst>
                        </a:blip>
                        <a:stretch/>
                      </pic:blipFill>
                      <pic:spPr bwMode="auto">
                        <a:xfrm>
                          <a:off x="0" y="0"/>
                          <a:ext cx="19240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width:151.50pt;height:21.00pt;mso-wrap-distance-left:0.00pt;mso-wrap-distance-top:0.00pt;mso-wrap-distance-right:0.00pt;mso-wrap-distance-bottom:0.00pt;z-index:1;" stroked="false">
                <v:imagedata r:id="rId605" o:title=""/>
                <o:lock v:ext="edit" rotation="t"/>
              </v:shape>
            </w:pict>
          </mc:Fallback>
        </mc:AlternateContent>
      </w:r>
      <w:r>
        <w:rPr>
          <w:rFonts w:eastAsia="Calibri"/>
          <w:lang w:eastAsia="en-US"/>
        </w:rPr>
        <w:t xml:space="preserve">(5)</w:t>
      </w:r>
      <w:r>
        <w:rPr>
          <w:rFonts w:eastAsia="Calibri"/>
          <w:lang w:eastAsia="en-US"/>
        </w:rPr>
      </w:r>
    </w:p>
    <w:p>
      <w:pPr>
        <w:pStyle w:val="12960"/>
        <w:pBdr/>
        <w:spacing/>
        <w:ind/>
        <w:rPr/>
      </w:pPr>
      <w:r>
        <w:t xml:space="preserve">9. Расчет ожидаемых на период регулирования значений показателя «удельный расход электроэнергии».</w:t>
      </w:r>
      <w:r/>
    </w:p>
    <w:p>
      <w:pPr>
        <w:pStyle w:val="12960"/>
        <w:pBdr/>
        <w:spacing/>
        <w:ind/>
        <w:rPr/>
      </w:pPr>
      <w:r>
        <w:t xml:space="preserve">При планируемых на период регулирования изменениях влияющих факторов ожидаемые </w:t>
      </w:r>
      <w:r>
        <w:t xml:space="preserve">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w:t>
      </w:r>
      <w:r>
        <w:t xml:space="preserve">рования удельного расхода электроэнергии только при температуре наружного воздуха, соответствующей точке излома утвержденного температурного графика. В этом случае значения планируемого показателя «удельный расход электроэнергии» при других характерных тем</w:t>
      </w:r>
      <w:r>
        <w:t xml:space="preserve">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ожидаемого удельного расхода электроэнергии в точке излома.</w:t>
      </w:r>
      <w:r/>
    </w:p>
    <w:p>
      <w:pPr>
        <w:pStyle w:val="12960"/>
        <w:pBdr/>
        <w:spacing/>
        <w:ind/>
        <w:rPr/>
      </w:pPr>
      <w:r>
        <w:t xml:space="preserve">Значение планируемого на период регулирования удельного расхода электроэнергии в точке излома температурного графика </w:t>
      </w:r>
      <w:r>
        <mc:AlternateContent>
          <mc:Choice Requires="wpg">
            <w:drawing>
              <wp:inline xmlns:wp="http://schemas.openxmlformats.org/drawingml/2006/wordprocessingDrawing" distT="0" distB="0" distL="0" distR="0">
                <wp:extent cx="361950" cy="266700"/>
                <wp:effectExtent l="0" t="0" r="0" b="0"/>
                <wp:docPr id="36" name="Рисунок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5" descr=""/>
                        <pic:cNvPicPr>
                          <a:picLocks noChangeAspect="1"/>
                        </pic:cNvPicPr>
                        <pic:nvPr/>
                      </pic:nvPicPr>
                      <pic:blipFill rotWithShape="1">
                        <a:blip r:embed="rId607">
                          <a:extLst>
                            <a:ext uri="{96DAC541-7B7A-43D3-8B79-37D633B846F1}">
                              <asvg:svgBlip xmlns:asvg="http://schemas.microsoft.com/office/drawing/2016/SVG/main" r:embed="rId608"/>
                            </a:ext>
                          </a:extLst>
                        </a:blip>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width:28.50pt;height:21.00pt;mso-wrap-distance-left:0.00pt;mso-wrap-distance-top:0.00pt;mso-wrap-distance-right:0.00pt;mso-wrap-distance-bottom:0.00pt;z-index:1;" stroked="false">
                <v:imagedata r:id="rId607" o:title=""/>
                <o:lock v:ext="edit" rotation="t"/>
              </v:shape>
            </w:pict>
          </mc:Fallback>
        </mc:AlternateContent>
      </w:r>
      <w:r>
        <w:t xml:space="preserve">, кВт·ч/Гкал, определяется по формуле:</w:t>
      </w:r>
      <w:r/>
    </w:p>
    <w:p>
      <w:pPr>
        <w:pStyle w:val="10533"/>
        <w:pBdr/>
        <w:tabs>
          <w:tab w:val="clear" w:leader="none" w:pos="708"/>
          <w:tab w:val="center" w:leader="none" w:pos="4678"/>
          <w:tab w:val="right" w:leader="none" w:pos="9356"/>
        </w:tabs>
        <w:spacing w:line="360" w:lineRule="auto"/>
        <w:ind/>
        <w:jc w:val="center"/>
        <w:rPr>
          <w:rFonts w:eastAsia="Calibri"/>
          <w:lang w:eastAsia="en-US"/>
        </w:rPr>
      </w:pPr>
      <w:r>
        <mc:AlternateContent>
          <mc:Choice Requires="wpg">
            <w:drawing>
              <wp:inline xmlns:wp="http://schemas.openxmlformats.org/drawingml/2006/wordprocessingDrawing" distT="0" distB="0" distL="0" distR="0">
                <wp:extent cx="819150" cy="457200"/>
                <wp:effectExtent l="0" t="0" r="0" b="0"/>
                <wp:docPr id="37" name="Рисунок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6" descr=""/>
                        <pic:cNvPicPr>
                          <a:picLocks noChangeAspect="1"/>
                        </pic:cNvPicPr>
                        <pic:nvPr/>
                      </pic:nvPicPr>
                      <pic:blipFill rotWithShape="1">
                        <a:blip r:embed="rId609">
                          <a:extLst>
                            <a:ext uri="{96DAC541-7B7A-43D3-8B79-37D633B846F1}">
                              <asvg:svgBlip xmlns:asvg="http://schemas.microsoft.com/office/drawing/2016/SVG/main" r:embed="rId610"/>
                            </a:ext>
                          </a:extLst>
                        </a:blip>
                        <a:stretch/>
                      </pic:blipFill>
                      <pic:spPr bwMode="auto">
                        <a:xfrm>
                          <a:off x="0" y="0"/>
                          <a:ext cx="819150" cy="4572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width:64.50pt;height:36.00pt;mso-wrap-distance-left:0.00pt;mso-wrap-distance-top:0.00pt;mso-wrap-distance-right:0.00pt;mso-wrap-distance-bottom:0.00pt;z-index:1;" stroked="false">
                <v:imagedata r:id="rId609" o:title=""/>
                <o:lock v:ext="edit" rotation="t"/>
              </v:shape>
            </w:pict>
          </mc:Fallback>
        </mc:AlternateContent>
      </w:r>
      <w:r>
        <w:rPr>
          <w:rFonts w:eastAsia="Calibri"/>
          <w:lang w:eastAsia="en-US"/>
        </w:rPr>
        <w:t xml:space="preserve">(6)</w:t>
      </w:r>
      <w:r>
        <w:rPr>
          <w:rFonts w:eastAsia="Calibri"/>
          <w:lang w:eastAsia="en-US"/>
        </w:rPr>
      </w:r>
    </w:p>
    <w:p>
      <w:pPr>
        <w:pStyle w:val="10533"/>
        <w:keepLines w:val="true"/>
        <w:pBdr/>
        <w:spacing w:line="360" w:lineRule="auto"/>
        <w:ind w:firstLine="566"/>
        <w:jc w:val="both"/>
        <w:rPr>
          <w:rFonts w:eastAsia="Calibri"/>
          <w:sz w:val="26"/>
          <w:szCs w:val="26"/>
          <w:lang w:eastAsia="en-US"/>
        </w:rPr>
      </w:pPr>
      <w:r>
        <w:rPr>
          <w:rFonts w:eastAsia="Calibri"/>
          <w:sz w:val="26"/>
          <w:szCs w:val="26"/>
          <w:lang w:eastAsia="en-US"/>
        </w:rPr>
        <w:t xml:space="preserve">где:</w:t>
      </w:r>
      <w:r>
        <w:rPr>
          <w:rFonts w:eastAsia="Calibri"/>
          <w:sz w:val="26"/>
          <w:szCs w:val="26"/>
          <w:lang w:eastAsia="en-US"/>
        </w:rPr>
      </w:r>
    </w:p>
    <w:p>
      <w:pPr>
        <w:pStyle w:val="12960"/>
        <w:pBdr/>
        <w:spacing/>
        <w:ind/>
        <w:rPr/>
      </w:pPr>
      <w:r>
        <mc:AlternateContent>
          <mc:Choice Requires="wpg">
            <w:drawing>
              <wp:inline xmlns:wp="http://schemas.openxmlformats.org/drawingml/2006/wordprocessingDrawing" distT="0" distB="0" distL="0" distR="0">
                <wp:extent cx="361950" cy="266700"/>
                <wp:effectExtent l="0" t="0" r="0" b="0"/>
                <wp:docPr id="38" name="Рисунок 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37" descr=""/>
                        <pic:cNvPicPr>
                          <a:picLocks noChangeAspect="1"/>
                        </pic:cNvPicPr>
                        <pic:nvPr/>
                      </pic:nvPicPr>
                      <pic:blipFill rotWithShape="1">
                        <a:blip r:embed="rId611">
                          <a:extLst>
                            <a:ext uri="{96DAC541-7B7A-43D3-8B79-37D633B846F1}">
                              <asvg:svgBlip xmlns:asvg="http://schemas.microsoft.com/office/drawing/2016/SVG/main" r:embed="rId612"/>
                            </a:ext>
                          </a:extLst>
                        </a:blip>
                        <a:stretch/>
                      </pic:blipFill>
                      <pic:spPr bwMode="auto">
                        <a:xfrm>
                          <a:off x="0" y="0"/>
                          <a:ext cx="361950" cy="266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 o:spid="_x0000_s39" type="#_x0000_t75" style="width:28.50pt;height:21.00pt;mso-wrap-distance-left:0.00pt;mso-wrap-distance-top:0.00pt;mso-wrap-distance-right:0.00pt;mso-wrap-distance-bottom:0.00pt;z-index:1;" stroked="false">
                <v:imagedata r:id="rId611" o:title=""/>
                <o:lock v:ext="edit" rotation="t"/>
              </v:shape>
            </w:pict>
          </mc:Fallback>
        </mc:AlternateContent>
      </w:r>
      <w:r>
        <w:t xml:space="preserve"> </w:t>
      </w:r>
      <w:r>
        <w:t xml:space="preserve">- ожидаемая на период регулирования суммарная электрическая мощность, используемая при транспорте и распределении тепловой энергии, при температуре наружного воздуха, соответствующей излому температурного графика, кВт.</w:t>
      </w:r>
      <w:r/>
    </w:p>
    <w:p>
      <w:pPr>
        <w:pStyle w:val="12960"/>
        <w:pBdr/>
        <w:spacing/>
        <w:ind/>
        <w:rPr>
          <w:color w:val="auto"/>
        </w:rPr>
      </w:pPr>
      <w:r>
        <w:t xml:space="preserve">Для расчета суммарной электрической мощности всех электродвигателей насосов различного назначения, участвующих в транспорте и распределении тепл</w:t>
      </w:r>
      <w:r>
        <w:t xml:space="preserve">овой энергии, рекомендуется использовать формулы, приведенные в действующих методиках по составлению энергетических характеристик для систем транспорта тепловой энергии и определения нормативных значений показателей функционирования водяных тепловых сетей.</w:t>
      </w:r>
      <w:r>
        <w:rPr>
          <w:color w:val="auto"/>
        </w:rPr>
      </w:r>
    </w:p>
    <w:p>
      <w:pPr>
        <w:pStyle w:val="12960"/>
        <w:pBdr/>
        <w:spacing/>
        <w:ind/>
        <w:rPr/>
      </w:pPr>
      <w:r>
        <w:t xml:space="preserve">Расчет и обоснование нормативов технол</w:t>
      </w:r>
      <w:r>
        <w:t xml:space="preserve">огических потерь теплоносителя и тепловой энергии в тепловых сетях ООО «АГК» производится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r/>
    </w:p>
    <w:p>
      <w:pPr>
        <w:pStyle w:val="12960"/>
        <w:pBdr/>
        <w:spacing/>
        <w:ind/>
        <w:rPr/>
      </w:pPr>
      <w:r>
        <w:t xml:space="preserve">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w:t>
      </w:r>
      <w:r>
        <w:t xml:space="preserve">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r/>
    </w:p>
    <w:p>
      <w:pPr>
        <w:pStyle w:val="12960"/>
        <w:pBdr/>
        <w:spacing/>
        <w:ind/>
        <w:rPr/>
      </w:pPr>
      <w:r>
        <w:t xml:space="preserve">Нормативы технологических потерь при передаче тепловой энергии разрабатываются по следующим показателям:</w:t>
      </w:r>
      <w:r/>
    </w:p>
    <w:p>
      <w:pPr>
        <w:pStyle w:val="12960"/>
        <w:pBdr/>
        <w:spacing/>
        <w:ind/>
        <w:rPr/>
      </w:pPr>
      <w:r>
        <w:t xml:space="preserve">- потери и затраты теплоносителей (пар, конденсат, вода);</w:t>
      </w:r>
      <w:r/>
    </w:p>
    <w:p>
      <w:pPr>
        <w:pStyle w:val="12960"/>
        <w:pBdr/>
        <w:spacing/>
        <w:ind/>
        <w:rPr/>
      </w:pPr>
      <w:r>
        <w:t xml:space="preserve">- 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r/>
    </w:p>
    <w:p>
      <w:pPr>
        <w:pStyle w:val="12960"/>
        <w:pBdr/>
        <w:spacing/>
        <w:ind/>
        <w:rPr/>
      </w:pPr>
      <w:r>
        <w:t xml:space="preserve">- затраты электрической энергии на передачу тепловой энергии. Экспертизу нормативов технологических потерь при передаче тепловой энергии по тепловым сетям. </w:t>
      </w:r>
      <w:r/>
    </w:p>
    <w:p>
      <w:pPr>
        <w:pStyle w:val="12960"/>
        <w:pBdr/>
        <w:spacing/>
        <w:ind/>
        <w:rPr/>
      </w:pPr>
      <w:r>
        <w:t xml:space="preserve">Испытания сетей на фактические тепловые потери не проводились.</w:t>
      </w:r>
      <w:r/>
    </w:p>
    <w:p>
      <w:pPr>
        <w:pStyle w:val="12960"/>
        <w:pBdr/>
        <w:spacing/>
        <w:ind/>
        <w:rPr>
          <w:b/>
          <w:bCs w:val="0"/>
        </w:rPr>
      </w:pPr>
      <w:r>
        <w:rPr>
          <w:b/>
          <w:bCs w:val="0"/>
        </w:rPr>
        <w:t xml:space="preserve">Таблица 1.3.13.1 - Расчетные технологические тепловые потери при передаче тепловой энергии</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722"/>
        <w:gridCol w:w="1925"/>
        <w:gridCol w:w="1821"/>
        <w:gridCol w:w="817"/>
        <w:gridCol w:w="750"/>
        <w:gridCol w:w="1149"/>
        <w:gridCol w:w="1169"/>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1722" w:type="dxa"/>
            <w:vAlign w:val="center"/>
          </w:tcPr>
          <w:p>
            <w:pPr>
              <w:pStyle w:val="12385"/>
              <w:pBdr/>
              <w:spacing/>
              <w:ind/>
              <w:rPr/>
            </w:pPr>
            <w:r>
              <w:t xml:space="preserve">Диаметр трубопровода, dу, мм</w:t>
            </w:r>
            <w:r/>
          </w:p>
        </w:tc>
        <w:tc>
          <w:tcPr>
            <w:shd w:val="clear" w:color="000000" w:fill="d9d9d9"/>
            <w:tcBorders>
              <w:top w:val="single" w:color="000000" w:sz="4" w:space="0"/>
              <w:bottom w:val="single" w:color="000000" w:sz="4" w:space="0"/>
              <w:right w:val="single" w:color="000000" w:sz="4" w:space="0"/>
            </w:tcBorders>
            <w:tcW w:w="1925" w:type="dxa"/>
            <w:vAlign w:val="center"/>
          </w:tcPr>
          <w:p>
            <w:pPr>
              <w:pStyle w:val="12385"/>
              <w:pBdr/>
              <w:spacing/>
              <w:ind/>
              <w:rPr/>
            </w:pPr>
            <w:r>
              <w:t xml:space="preserve">Норма плотности теплового потока </w:t>
            </w:r>
            <w:r>
              <w:rPr>
                <w:i/>
                <w:iCs/>
              </w:rPr>
              <w:t xml:space="preserve">q</w:t>
            </w:r>
            <w:r>
              <w:t xml:space="preserve">, ккал/м·ч</w:t>
            </w:r>
            <w:r/>
          </w:p>
        </w:tc>
        <w:tc>
          <w:tcPr>
            <w:shd w:val="clear" w:color="000000" w:fill="d9d9d9"/>
            <w:tcBorders>
              <w:top w:val="single" w:color="000000" w:sz="4" w:space="0"/>
              <w:bottom w:val="single" w:color="000000" w:sz="4" w:space="0"/>
              <w:right w:val="single" w:color="000000" w:sz="4" w:space="0"/>
            </w:tcBorders>
            <w:tcW w:w="1821" w:type="dxa"/>
            <w:vAlign w:val="center"/>
          </w:tcPr>
          <w:p>
            <w:pPr>
              <w:pStyle w:val="12385"/>
              <w:pBdr/>
              <w:spacing/>
              <w:ind/>
              <w:rPr/>
            </w:pPr>
            <w:r>
              <w:t xml:space="preserve">Протяженность участка сети, L, м</w:t>
            </w:r>
            <w:r/>
          </w:p>
        </w:tc>
        <w:tc>
          <w:tcPr>
            <w:shd w:val="clear" w:color="000000" w:fill="d9d9d9"/>
            <w:tcBorders>
              <w:top w:val="single" w:color="000000" w:sz="4" w:space="0"/>
              <w:bottom w:val="single" w:color="000000" w:sz="4" w:space="0"/>
              <w:right w:val="single" w:color="000000" w:sz="4" w:space="0"/>
            </w:tcBorders>
            <w:tcW w:w="817" w:type="dxa"/>
            <w:vAlign w:val="center"/>
          </w:tcPr>
          <w:p>
            <w:pPr>
              <w:pStyle w:val="12385"/>
              <w:pBdr/>
              <w:spacing/>
              <w:ind/>
              <w:rPr/>
            </w:pPr>
            <w:r>
              <w:t xml:space="preserve">b</w:t>
            </w:r>
            <w:r/>
          </w:p>
        </w:tc>
        <w:tc>
          <w:tcPr>
            <w:shd w:val="clear" w:color="000000" w:fill="d9d9d9"/>
            <w:tcBorders>
              <w:top w:val="single" w:color="000000" w:sz="4" w:space="0"/>
              <w:bottom w:val="single" w:color="000000" w:sz="4" w:space="0"/>
              <w:right w:val="single" w:color="000000" w:sz="4" w:space="0"/>
            </w:tcBorders>
            <w:tcW w:w="750" w:type="dxa"/>
            <w:vAlign w:val="center"/>
          </w:tcPr>
          <w:p>
            <w:pPr>
              <w:pStyle w:val="12385"/>
              <w:pBdr/>
              <w:spacing/>
              <w:ind/>
              <w:rPr>
                <w:i/>
                <w:iCs/>
              </w:rPr>
            </w:pPr>
            <w:r>
              <w:rPr>
                <w:i/>
                <w:iCs/>
              </w:rPr>
              <w:t xml:space="preserve">к</w:t>
            </w:r>
            <w:r>
              <w:rPr>
                <w:i/>
                <w:iCs/>
              </w:rPr>
            </w:r>
          </w:p>
        </w:tc>
        <w:tc>
          <w:tcPr>
            <w:shd w:val="clear" w:color="000000" w:fill="d9d9d9"/>
            <w:tcBorders>
              <w:top w:val="single" w:color="000000" w:sz="4" w:space="0"/>
              <w:bottom w:val="single" w:color="000000" w:sz="4" w:space="0"/>
              <w:right w:val="single" w:color="000000" w:sz="4" w:space="0"/>
            </w:tcBorders>
            <w:tcW w:w="1149" w:type="dxa"/>
            <w:vAlign w:val="center"/>
          </w:tcPr>
          <w:p>
            <w:pPr>
              <w:pStyle w:val="12385"/>
              <w:pBdr/>
              <w:spacing/>
              <w:ind/>
              <w:rPr>
                <w:i/>
                <w:iCs/>
              </w:rPr>
            </w:pPr>
            <w:r>
              <w:rPr>
                <w:i/>
                <w:iCs/>
              </w:rPr>
              <w:t xml:space="preserve">к</w:t>
            </w:r>
            <w:r>
              <w:t xml:space="preserve">·</w:t>
            </w:r>
            <w:r>
              <w:rPr>
                <w:i/>
                <w:iCs/>
              </w:rPr>
              <w:t xml:space="preserve">q</w:t>
            </w:r>
            <w:r>
              <w:t xml:space="preserve">·</w:t>
            </w:r>
            <w:r>
              <w:rPr>
                <w:i/>
                <w:iCs/>
              </w:rPr>
              <w:t xml:space="preserve">l</w:t>
            </w:r>
            <w:r>
              <w:rPr>
                <w:i/>
                <w:iCs/>
                <w:vertAlign w:val="subscript"/>
              </w:rPr>
              <w:t xml:space="preserve">i</w:t>
            </w:r>
            <w:r>
              <w:t xml:space="preserve">, ккал/ч</w:t>
            </w:r>
            <w:r>
              <w:rPr>
                <w:i/>
                <w:iCs/>
              </w:rPr>
            </w:r>
          </w:p>
        </w:tc>
        <w:tc>
          <w:tcPr>
            <w:shd w:val="clear" w:color="000000" w:fill="d9d9d9"/>
            <w:tcBorders>
              <w:top w:val="single" w:color="000000" w:sz="4" w:space="0"/>
              <w:bottom w:val="single" w:color="000000" w:sz="4" w:space="0"/>
              <w:right w:val="single" w:color="000000" w:sz="4" w:space="0"/>
            </w:tcBorders>
            <w:tcW w:w="1169" w:type="dxa"/>
            <w:vAlign w:val="center"/>
          </w:tcPr>
          <w:p>
            <w:pPr>
              <w:pStyle w:val="12385"/>
              <w:pBdr/>
              <w:spacing/>
              <w:ind/>
              <w:rPr>
                <w:i/>
                <w:iCs/>
              </w:rPr>
            </w:pPr>
            <w:r>
              <w:rPr>
                <w:i/>
                <w:iCs/>
              </w:rPr>
              <w:t xml:space="preserve">За период</w:t>
            </w:r>
            <w:r>
              <w:rPr>
                <w:i/>
                <w:iCs/>
              </w:rPr>
            </w:r>
          </w:p>
        </w:tc>
      </w:tr>
      <w:tr>
        <w:trPr>
          <w:trHeight w:val="20"/>
        </w:trPr>
        <w:tc>
          <w:tcPr>
            <w:shd w:val="clear" w:color="auto" w:fill="ffffff" w:themeFill="background1"/>
            <w:tcBorders>
              <w:left w:val="single" w:color="000000" w:sz="4" w:space="0"/>
              <w:bottom w:val="single" w:color="000000" w:sz="4" w:space="0"/>
              <w:right w:val="single" w:color="000000" w:sz="4" w:space="0"/>
            </w:tcBorders>
            <w:tcW w:w="1722" w:type="dxa"/>
            <w:vAlign w:val="center"/>
          </w:tcPr>
          <w:p>
            <w:pPr>
              <w:pStyle w:val="12385"/>
              <w:pBdr/>
              <w:spacing/>
              <w:ind/>
              <w:rPr/>
            </w:pPr>
            <w:r>
              <w:t xml:space="preserve">Котельная №5 д. Ясенки</w:t>
            </w:r>
            <w:r/>
          </w:p>
        </w:tc>
        <w:tc>
          <w:tcPr>
            <w:shd w:val="clear" w:color="auto" w:fill="ffffff" w:themeFill="background1"/>
            <w:tcBorders>
              <w:bottom w:val="single" w:color="000000" w:sz="4" w:space="0"/>
              <w:right w:val="single" w:color="000000" w:sz="4" w:space="0"/>
            </w:tcBorders>
            <w:tcW w:w="1925"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821" w:type="dxa"/>
            <w:vAlign w:val="center"/>
          </w:tcPr>
          <w:p>
            <w:pPr>
              <w:pStyle w:val="12385"/>
              <w:pBdr/>
              <w:spacing/>
              <w:ind/>
              <w:rPr/>
            </w:pPr>
            <w:r>
              <w:t xml:space="preserve">40</w:t>
            </w:r>
            <w:r/>
          </w:p>
        </w:tc>
        <w:tc>
          <w:tcPr>
            <w:shd w:val="clear" w:color="auto" w:fill="ffffff" w:themeFill="background1"/>
            <w:tcBorders>
              <w:bottom w:val="single" w:color="000000" w:sz="4" w:space="0"/>
              <w:right w:val="single" w:color="000000" w:sz="4" w:space="0"/>
            </w:tcBorders>
            <w:tcW w:w="817"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750"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149"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169" w:type="dxa"/>
            <w:vAlign w:val="center"/>
          </w:tcPr>
          <w:p>
            <w:pPr>
              <w:pStyle w:val="12385"/>
              <w:pBdr/>
              <w:spacing/>
              <w:ind/>
              <w:rPr/>
            </w:pPr>
            <w:r>
              <w:t xml:space="preserve">7,23</w:t>
            </w:r>
            <w:r/>
          </w:p>
        </w:tc>
      </w:tr>
      <w:tr>
        <w:trPr>
          <w:trHeight w:val="20"/>
        </w:trPr>
        <w:tc>
          <w:tcPr>
            <w:shd w:val="clear" w:color="auto" w:fill="ffffff" w:themeFill="background1"/>
            <w:tcBorders>
              <w:left w:val="single" w:color="000000" w:sz="4" w:space="0"/>
              <w:bottom w:val="single" w:color="000000" w:sz="4" w:space="0"/>
              <w:right w:val="single" w:color="000000" w:sz="4" w:space="0"/>
            </w:tcBorders>
            <w:tcW w:w="1722" w:type="dxa"/>
            <w:vAlign w:val="center"/>
          </w:tcPr>
          <w:p>
            <w:pPr>
              <w:pStyle w:val="12385"/>
              <w:pBdr/>
              <w:spacing/>
              <w:ind/>
              <w:rPr/>
            </w:pPr>
            <w:r>
              <w:t xml:space="preserve">40</w:t>
            </w:r>
            <w:r/>
          </w:p>
        </w:tc>
        <w:tc>
          <w:tcPr>
            <w:shd w:val="clear" w:color="auto" w:fill="ffffff" w:themeFill="background1"/>
            <w:tcBorders>
              <w:bottom w:val="single" w:color="000000" w:sz="4" w:space="0"/>
              <w:right w:val="single" w:color="000000" w:sz="4" w:space="0"/>
            </w:tcBorders>
            <w:tcW w:w="1925" w:type="dxa"/>
            <w:vAlign w:val="center"/>
          </w:tcPr>
          <w:p>
            <w:pPr>
              <w:pStyle w:val="12385"/>
              <w:pBdr/>
              <w:spacing/>
              <w:ind/>
              <w:rPr/>
            </w:pPr>
            <w:r>
              <w:t xml:space="preserve">21</w:t>
            </w:r>
            <w:r/>
          </w:p>
        </w:tc>
        <w:tc>
          <w:tcPr>
            <w:shd w:val="clear" w:color="auto" w:fill="ffffff" w:themeFill="background1"/>
            <w:tcBorders>
              <w:bottom w:val="single" w:color="000000" w:sz="4" w:space="0"/>
              <w:right w:val="single" w:color="000000" w:sz="4" w:space="0"/>
            </w:tcBorders>
            <w:tcW w:w="1821" w:type="dxa"/>
            <w:vAlign w:val="center"/>
          </w:tcPr>
          <w:p>
            <w:pPr>
              <w:pStyle w:val="12385"/>
              <w:pBdr/>
              <w:spacing/>
              <w:ind/>
              <w:rPr/>
            </w:pPr>
            <w:r>
              <w:t xml:space="preserve">40</w:t>
            </w:r>
            <w:r/>
          </w:p>
        </w:tc>
        <w:tc>
          <w:tcPr>
            <w:shd w:val="clear" w:color="auto" w:fill="ffffff" w:themeFill="background1"/>
            <w:tcBorders>
              <w:bottom w:val="single" w:color="000000" w:sz="4" w:space="0"/>
              <w:right w:val="single" w:color="000000" w:sz="4" w:space="0"/>
            </w:tcBorders>
            <w:tcW w:w="817" w:type="dxa"/>
            <w:vAlign w:val="center"/>
          </w:tcPr>
          <w:p>
            <w:pPr>
              <w:pStyle w:val="12385"/>
              <w:pBdr/>
              <w:spacing/>
              <w:ind/>
              <w:rPr/>
            </w:pPr>
            <w:r>
              <w:t xml:space="preserve">1,2</w:t>
            </w:r>
            <w:r/>
          </w:p>
        </w:tc>
        <w:tc>
          <w:tcPr>
            <w:shd w:val="clear" w:color="auto" w:fill="ffffff" w:themeFill="background1"/>
            <w:tcBorders>
              <w:bottom w:val="single" w:color="000000" w:sz="4" w:space="0"/>
              <w:right w:val="single" w:color="000000" w:sz="4" w:space="0"/>
            </w:tcBorders>
            <w:tcW w:w="750" w:type="dxa"/>
            <w:vAlign w:val="center"/>
          </w:tcPr>
          <w:p>
            <w:pPr>
              <w:pStyle w:val="12385"/>
              <w:pBdr/>
              <w:spacing/>
              <w:ind/>
              <w:rPr/>
            </w:pPr>
            <w:r>
              <w:t xml:space="preserve">1,41</w:t>
            </w:r>
            <w:r/>
          </w:p>
        </w:tc>
        <w:tc>
          <w:tcPr>
            <w:shd w:val="clear" w:color="auto" w:fill="ffffff" w:themeFill="background1"/>
            <w:tcBorders>
              <w:bottom w:val="single" w:color="000000" w:sz="4" w:space="0"/>
              <w:right w:val="single" w:color="000000" w:sz="4" w:space="0"/>
            </w:tcBorders>
            <w:tcW w:w="1149" w:type="dxa"/>
            <w:vAlign w:val="center"/>
          </w:tcPr>
          <w:p>
            <w:pPr>
              <w:pStyle w:val="12385"/>
              <w:pBdr/>
              <w:spacing/>
              <w:ind/>
              <w:rPr/>
            </w:pPr>
            <w:r>
              <w:t xml:space="preserve">1184</w:t>
            </w:r>
            <w:r/>
          </w:p>
        </w:tc>
        <w:tc>
          <w:tcPr>
            <w:shd w:val="clear" w:color="auto" w:fill="ffffff" w:themeFill="background1"/>
            <w:tcBorders>
              <w:bottom w:val="single" w:color="000000" w:sz="4" w:space="0"/>
              <w:right w:val="single" w:color="000000" w:sz="4" w:space="0"/>
            </w:tcBorders>
            <w:tcW w:w="1169" w:type="dxa"/>
            <w:vAlign w:val="center"/>
          </w:tcPr>
          <w:p>
            <w:pPr>
              <w:pStyle w:val="12385"/>
              <w:pBdr/>
              <w:spacing/>
              <w:ind/>
              <w:rPr/>
            </w:pPr>
            <w:r>
              <w:t xml:space="preserve">7,23</w:t>
            </w:r>
            <w:r/>
          </w:p>
        </w:tc>
      </w:tr>
      <w:tr>
        <w:trPr>
          <w:trHeight w:val="20"/>
        </w:trPr>
        <w:tc>
          <w:tcPr>
            <w:shd w:val="clear" w:color="auto" w:fill="ffffff" w:themeFill="background1"/>
            <w:tcBorders>
              <w:left w:val="single" w:color="000000" w:sz="4" w:space="0"/>
              <w:bottom w:val="single" w:color="000000" w:sz="4" w:space="0"/>
              <w:right w:val="single" w:color="000000" w:sz="4" w:space="0"/>
            </w:tcBorders>
            <w:tcW w:w="1722" w:type="dxa"/>
            <w:vAlign w:val="center"/>
          </w:tcPr>
          <w:p>
            <w:pPr>
              <w:pStyle w:val="12385"/>
              <w:pBdr/>
              <w:spacing/>
              <w:ind/>
              <w:rPr/>
            </w:pPr>
            <w:r>
              <w:t xml:space="preserve">Котельная №6 п. Первомайский</w:t>
            </w:r>
            <w:r/>
          </w:p>
        </w:tc>
        <w:tc>
          <w:tcPr>
            <w:shd w:val="clear" w:color="auto" w:fill="ffffff" w:themeFill="background1"/>
            <w:tcBorders>
              <w:bottom w:val="single" w:color="000000" w:sz="4" w:space="0"/>
              <w:right w:val="single" w:color="000000" w:sz="4" w:space="0"/>
            </w:tcBorders>
            <w:tcW w:w="1925"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821" w:type="dxa"/>
            <w:vAlign w:val="center"/>
          </w:tcPr>
          <w:p>
            <w:pPr>
              <w:pStyle w:val="12385"/>
              <w:pBdr/>
              <w:spacing/>
              <w:ind/>
              <w:rPr/>
            </w:pPr>
            <w:r>
              <w:t xml:space="preserve">70</w:t>
            </w:r>
            <w:r/>
          </w:p>
        </w:tc>
        <w:tc>
          <w:tcPr>
            <w:shd w:val="clear" w:color="auto" w:fill="ffffff" w:themeFill="background1"/>
            <w:tcBorders>
              <w:bottom w:val="single" w:color="000000" w:sz="4" w:space="0"/>
              <w:right w:val="single" w:color="000000" w:sz="4" w:space="0"/>
            </w:tcBorders>
            <w:tcW w:w="817"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750"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149"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169" w:type="dxa"/>
            <w:vAlign w:val="center"/>
          </w:tcPr>
          <w:p>
            <w:pPr>
              <w:pStyle w:val="12385"/>
              <w:pBdr/>
              <w:spacing/>
              <w:ind/>
              <w:rPr/>
            </w:pPr>
            <w:r>
              <w:t xml:space="preserve">12,66</w:t>
            </w:r>
            <w:r/>
          </w:p>
        </w:tc>
      </w:tr>
      <w:tr>
        <w:trPr>
          <w:trHeight w:val="20"/>
        </w:trPr>
        <w:tc>
          <w:tcPr>
            <w:shd w:val="clear" w:color="auto" w:fill="ffffff" w:themeFill="background1"/>
            <w:tcBorders>
              <w:left w:val="single" w:color="000000" w:sz="4" w:space="0"/>
              <w:bottom w:val="single" w:color="000000" w:sz="4" w:space="0"/>
              <w:right w:val="single" w:color="000000" w:sz="4" w:space="0"/>
            </w:tcBorders>
            <w:tcW w:w="1722" w:type="dxa"/>
            <w:vAlign w:val="center"/>
          </w:tcPr>
          <w:p>
            <w:pPr>
              <w:pStyle w:val="12385"/>
              <w:pBdr/>
              <w:spacing/>
              <w:ind/>
              <w:rPr/>
            </w:pPr>
            <w:r>
              <w:t xml:space="preserve">40</w:t>
            </w:r>
            <w:r/>
          </w:p>
        </w:tc>
        <w:tc>
          <w:tcPr>
            <w:shd w:val="clear" w:color="auto" w:fill="ffffff" w:themeFill="background1"/>
            <w:tcBorders>
              <w:bottom w:val="single" w:color="000000" w:sz="4" w:space="0"/>
              <w:right w:val="single" w:color="000000" w:sz="4" w:space="0"/>
            </w:tcBorders>
            <w:tcW w:w="1925" w:type="dxa"/>
            <w:vAlign w:val="center"/>
          </w:tcPr>
          <w:p>
            <w:pPr>
              <w:pStyle w:val="12385"/>
              <w:pBdr/>
              <w:spacing/>
              <w:ind/>
              <w:rPr/>
            </w:pPr>
            <w:r>
              <w:t xml:space="preserve">21</w:t>
            </w:r>
            <w:r/>
          </w:p>
        </w:tc>
        <w:tc>
          <w:tcPr>
            <w:shd w:val="clear" w:color="auto" w:fill="ffffff" w:themeFill="background1"/>
            <w:tcBorders>
              <w:bottom w:val="single" w:color="000000" w:sz="4" w:space="0"/>
              <w:right w:val="single" w:color="000000" w:sz="4" w:space="0"/>
            </w:tcBorders>
            <w:tcW w:w="1821" w:type="dxa"/>
            <w:vAlign w:val="center"/>
          </w:tcPr>
          <w:p>
            <w:pPr>
              <w:pStyle w:val="12385"/>
              <w:pBdr/>
              <w:spacing/>
              <w:ind/>
              <w:rPr/>
            </w:pPr>
            <w:r>
              <w:t xml:space="preserve">70</w:t>
            </w:r>
            <w:r/>
          </w:p>
        </w:tc>
        <w:tc>
          <w:tcPr>
            <w:shd w:val="clear" w:color="auto" w:fill="ffffff" w:themeFill="background1"/>
            <w:tcBorders>
              <w:bottom w:val="single" w:color="000000" w:sz="4" w:space="0"/>
              <w:right w:val="single" w:color="000000" w:sz="4" w:space="0"/>
            </w:tcBorders>
            <w:tcW w:w="817" w:type="dxa"/>
            <w:vAlign w:val="center"/>
          </w:tcPr>
          <w:p>
            <w:pPr>
              <w:pStyle w:val="12385"/>
              <w:pBdr/>
              <w:spacing/>
              <w:ind/>
              <w:rPr/>
            </w:pPr>
            <w:r>
              <w:t xml:space="preserve">1,2</w:t>
            </w:r>
            <w:r/>
          </w:p>
        </w:tc>
        <w:tc>
          <w:tcPr>
            <w:shd w:val="clear" w:color="auto" w:fill="ffffff" w:themeFill="background1"/>
            <w:tcBorders>
              <w:bottom w:val="single" w:color="000000" w:sz="4" w:space="0"/>
              <w:right w:val="single" w:color="000000" w:sz="4" w:space="0"/>
            </w:tcBorders>
            <w:tcW w:w="750" w:type="dxa"/>
            <w:vAlign w:val="center"/>
          </w:tcPr>
          <w:p>
            <w:pPr>
              <w:pStyle w:val="12385"/>
              <w:pBdr/>
              <w:spacing/>
              <w:ind/>
              <w:rPr/>
            </w:pPr>
            <w:r>
              <w:t xml:space="preserve">1,41</w:t>
            </w:r>
            <w:r/>
          </w:p>
        </w:tc>
        <w:tc>
          <w:tcPr>
            <w:shd w:val="clear" w:color="auto" w:fill="ffffff" w:themeFill="background1"/>
            <w:tcBorders>
              <w:bottom w:val="single" w:color="000000" w:sz="4" w:space="0"/>
              <w:right w:val="single" w:color="000000" w:sz="4" w:space="0"/>
            </w:tcBorders>
            <w:tcW w:w="1149" w:type="dxa"/>
            <w:vAlign w:val="center"/>
          </w:tcPr>
          <w:p>
            <w:pPr>
              <w:pStyle w:val="12385"/>
              <w:pBdr/>
              <w:spacing/>
              <w:ind/>
              <w:rPr/>
            </w:pPr>
            <w:r>
              <w:t xml:space="preserve">2073</w:t>
            </w:r>
            <w:r/>
          </w:p>
        </w:tc>
        <w:tc>
          <w:tcPr>
            <w:shd w:val="clear" w:color="auto" w:fill="ffffff" w:themeFill="background1"/>
            <w:tcBorders>
              <w:bottom w:val="single" w:color="000000" w:sz="4" w:space="0"/>
              <w:right w:val="single" w:color="000000" w:sz="4" w:space="0"/>
            </w:tcBorders>
            <w:tcW w:w="1169" w:type="dxa"/>
            <w:vAlign w:val="center"/>
          </w:tcPr>
          <w:p>
            <w:pPr>
              <w:pStyle w:val="12385"/>
              <w:pBdr/>
              <w:spacing/>
              <w:ind/>
              <w:rPr/>
            </w:pPr>
            <w:r>
              <w:t xml:space="preserve">12,66</w:t>
            </w:r>
            <w:r/>
          </w:p>
        </w:tc>
      </w:tr>
      <w:tr>
        <w:trPr>
          <w:trHeight w:val="20"/>
        </w:trPr>
        <w:tc>
          <w:tcPr>
            <w:shd w:val="clear" w:color="auto" w:fill="ffffff" w:themeFill="background1"/>
            <w:tcBorders>
              <w:left w:val="single" w:color="000000" w:sz="4" w:space="0"/>
              <w:bottom w:val="single" w:color="000000" w:sz="4" w:space="0"/>
              <w:right w:val="single" w:color="000000" w:sz="4" w:space="0"/>
            </w:tcBorders>
            <w:tcW w:w="1722" w:type="dxa"/>
            <w:vAlign w:val="center"/>
          </w:tcPr>
          <w:p>
            <w:pPr>
              <w:pStyle w:val="12385"/>
              <w:pBdr/>
              <w:spacing/>
              <w:ind/>
              <w:rPr/>
            </w:pPr>
            <w:r>
              <w:t xml:space="preserve">Котельная №7 с. Белый Колодезь</w:t>
            </w:r>
            <w:r/>
          </w:p>
        </w:tc>
        <w:tc>
          <w:tcPr>
            <w:shd w:val="clear" w:color="auto" w:fill="ffffff" w:themeFill="background1"/>
            <w:tcBorders>
              <w:bottom w:val="single" w:color="000000" w:sz="4" w:space="0"/>
              <w:right w:val="single" w:color="000000" w:sz="4" w:space="0"/>
            </w:tcBorders>
            <w:tcW w:w="1925"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821" w:type="dxa"/>
            <w:vAlign w:val="center"/>
          </w:tcPr>
          <w:p>
            <w:pPr>
              <w:pStyle w:val="12385"/>
              <w:pBdr/>
              <w:spacing/>
              <w:ind/>
              <w:rPr/>
            </w:pPr>
            <w:r>
              <w:t xml:space="preserve">70</w:t>
            </w:r>
            <w:r/>
          </w:p>
        </w:tc>
        <w:tc>
          <w:tcPr>
            <w:shd w:val="clear" w:color="auto" w:fill="ffffff" w:themeFill="background1"/>
            <w:tcBorders>
              <w:bottom w:val="single" w:color="000000" w:sz="4" w:space="0"/>
              <w:right w:val="single" w:color="000000" w:sz="4" w:space="0"/>
            </w:tcBorders>
            <w:tcW w:w="817"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750"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149" w:type="dxa"/>
            <w:vAlign w:val="center"/>
          </w:tcPr>
          <w:p>
            <w:pPr>
              <w:pStyle w:val="12385"/>
              <w:pBdr/>
              <w:spacing/>
              <w:ind/>
              <w:rPr/>
            </w:pPr>
            <w:r/>
            <w:r/>
          </w:p>
        </w:tc>
        <w:tc>
          <w:tcPr>
            <w:shd w:val="clear" w:color="auto" w:fill="ffffff" w:themeFill="background1"/>
            <w:tcBorders>
              <w:bottom w:val="single" w:color="000000" w:sz="4" w:space="0"/>
              <w:right w:val="single" w:color="000000" w:sz="4" w:space="0"/>
            </w:tcBorders>
            <w:tcW w:w="1169" w:type="dxa"/>
            <w:vAlign w:val="center"/>
          </w:tcPr>
          <w:p>
            <w:pPr>
              <w:pStyle w:val="12385"/>
              <w:pBdr/>
              <w:spacing/>
              <w:ind/>
              <w:rPr/>
            </w:pPr>
            <w:r>
              <w:t xml:space="preserve">12,66</w:t>
            </w:r>
            <w:r/>
          </w:p>
        </w:tc>
      </w:tr>
      <w:tr>
        <w:trPr>
          <w:trHeight w:val="20"/>
        </w:trPr>
        <w:tc>
          <w:tcPr>
            <w:shd w:val="clear" w:color="auto" w:fill="ffffff" w:themeFill="background1"/>
            <w:tcBorders>
              <w:left w:val="single" w:color="000000" w:sz="4" w:space="0"/>
              <w:bottom w:val="single" w:color="000000" w:sz="4" w:space="0"/>
              <w:right w:val="single" w:color="000000" w:sz="4" w:space="0"/>
            </w:tcBorders>
            <w:tcW w:w="1722" w:type="dxa"/>
            <w:vAlign w:val="center"/>
          </w:tcPr>
          <w:p>
            <w:pPr>
              <w:pStyle w:val="12385"/>
              <w:pBdr/>
              <w:spacing/>
              <w:ind/>
              <w:rPr/>
            </w:pPr>
            <w:r>
              <w:t xml:space="preserve">40</w:t>
            </w:r>
            <w:r/>
          </w:p>
        </w:tc>
        <w:tc>
          <w:tcPr>
            <w:shd w:val="clear" w:color="auto" w:fill="ffffff" w:themeFill="background1"/>
            <w:tcBorders>
              <w:bottom w:val="single" w:color="000000" w:sz="4" w:space="0"/>
              <w:right w:val="single" w:color="000000" w:sz="4" w:space="0"/>
            </w:tcBorders>
            <w:tcW w:w="1925" w:type="dxa"/>
            <w:vAlign w:val="center"/>
          </w:tcPr>
          <w:p>
            <w:pPr>
              <w:pStyle w:val="12385"/>
              <w:pBdr/>
              <w:spacing/>
              <w:ind/>
              <w:rPr/>
            </w:pPr>
            <w:r>
              <w:t xml:space="preserve">21</w:t>
            </w:r>
            <w:r/>
          </w:p>
        </w:tc>
        <w:tc>
          <w:tcPr>
            <w:shd w:val="clear" w:color="auto" w:fill="ffffff" w:themeFill="background1"/>
            <w:tcBorders>
              <w:bottom w:val="single" w:color="000000" w:sz="4" w:space="0"/>
              <w:right w:val="single" w:color="000000" w:sz="4" w:space="0"/>
            </w:tcBorders>
            <w:tcW w:w="1821" w:type="dxa"/>
            <w:vAlign w:val="center"/>
          </w:tcPr>
          <w:p>
            <w:pPr>
              <w:pStyle w:val="12385"/>
              <w:pBdr/>
              <w:spacing/>
              <w:ind/>
              <w:rPr/>
            </w:pPr>
            <w:r>
              <w:t xml:space="preserve">70</w:t>
            </w:r>
            <w:r/>
          </w:p>
        </w:tc>
        <w:tc>
          <w:tcPr>
            <w:shd w:val="clear" w:color="auto" w:fill="ffffff" w:themeFill="background1"/>
            <w:tcBorders>
              <w:bottom w:val="single" w:color="000000" w:sz="4" w:space="0"/>
              <w:right w:val="single" w:color="000000" w:sz="4" w:space="0"/>
            </w:tcBorders>
            <w:tcW w:w="817" w:type="dxa"/>
            <w:vAlign w:val="center"/>
          </w:tcPr>
          <w:p>
            <w:pPr>
              <w:pStyle w:val="12385"/>
              <w:pBdr/>
              <w:spacing/>
              <w:ind/>
              <w:rPr/>
            </w:pPr>
            <w:r>
              <w:t xml:space="preserve">1,2</w:t>
            </w:r>
            <w:r/>
          </w:p>
        </w:tc>
        <w:tc>
          <w:tcPr>
            <w:shd w:val="clear" w:color="auto" w:fill="ffffff" w:themeFill="background1"/>
            <w:tcBorders>
              <w:bottom w:val="single" w:color="000000" w:sz="4" w:space="0"/>
              <w:right w:val="single" w:color="000000" w:sz="4" w:space="0"/>
            </w:tcBorders>
            <w:tcW w:w="750" w:type="dxa"/>
            <w:vAlign w:val="center"/>
          </w:tcPr>
          <w:p>
            <w:pPr>
              <w:pStyle w:val="12385"/>
              <w:pBdr/>
              <w:spacing/>
              <w:ind/>
              <w:rPr/>
            </w:pPr>
            <w:r>
              <w:t xml:space="preserve">1,41</w:t>
            </w:r>
            <w:r/>
          </w:p>
        </w:tc>
        <w:tc>
          <w:tcPr>
            <w:shd w:val="clear" w:color="auto" w:fill="ffffff" w:themeFill="background1"/>
            <w:tcBorders>
              <w:bottom w:val="single" w:color="000000" w:sz="4" w:space="0"/>
              <w:right w:val="single" w:color="000000" w:sz="4" w:space="0"/>
            </w:tcBorders>
            <w:tcW w:w="1149" w:type="dxa"/>
            <w:vAlign w:val="center"/>
          </w:tcPr>
          <w:p>
            <w:pPr>
              <w:pStyle w:val="12385"/>
              <w:pBdr/>
              <w:spacing/>
              <w:ind/>
              <w:rPr/>
            </w:pPr>
            <w:r>
              <w:t xml:space="preserve">2073</w:t>
            </w:r>
            <w:r/>
          </w:p>
        </w:tc>
        <w:tc>
          <w:tcPr>
            <w:shd w:val="clear" w:color="auto" w:fill="ffffff" w:themeFill="background1"/>
            <w:tcBorders>
              <w:bottom w:val="single" w:color="000000" w:sz="4" w:space="0"/>
              <w:right w:val="single" w:color="000000" w:sz="4" w:space="0"/>
            </w:tcBorders>
            <w:tcW w:w="1169" w:type="dxa"/>
            <w:vAlign w:val="center"/>
          </w:tcPr>
          <w:p>
            <w:pPr>
              <w:pStyle w:val="12385"/>
              <w:pBdr/>
              <w:spacing/>
              <w:ind/>
              <w:rPr/>
            </w:pPr>
            <w:r>
              <w:t xml:space="preserve">12,66</w:t>
            </w:r>
            <w:r/>
          </w:p>
        </w:tc>
      </w:tr>
    </w:tbl>
    <w:p>
      <w:pPr>
        <w:pBdr/>
        <w:spacing/>
        <w:ind/>
        <w:rPr/>
        <w:sectPr>
          <w:headerReference w:type="default" r:id="rId32"/>
          <w:headerReference w:type="first" r:id="rId33"/>
          <w:footerReference w:type="default" r:id="rId298"/>
          <w:footerReference w:type="first" r:id="rId299"/>
          <w:footnotePr/>
          <w:endnotePr/>
          <w:type w:val="nextPage"/>
          <w:pgSz w:h="16838" w:orient="portrait" w:w="11906"/>
          <w:pgMar w:top="1134" w:right="851" w:bottom="1134" w:left="1701" w:header="567" w:footer="454" w:gutter="0"/>
          <w:cols w:num="1" w:sep="0" w:space="1701" w:equalWidth="1"/>
        </w:sectPr>
      </w:pPr>
      <w:r/>
      <w:r/>
    </w:p>
    <w:p>
      <w:pPr>
        <w:pStyle w:val="10535"/>
        <w:keepNext w:val="true"/>
        <w:widowControl w:val="true"/>
        <w:numPr>
          <w:ilvl w:val="1"/>
          <w:numId w:val="13"/>
        </w:numPr>
        <w:pBdr/>
        <w:tabs>
          <w:tab w:val="clear" w:leader="none" w:pos="708"/>
          <w:tab w:val="left" w:leader="none" w:pos="1878"/>
        </w:tabs>
        <w:bidi w:val="false"/>
        <w:spacing w:after="0" w:before="0" w:line="360" w:lineRule="auto"/>
        <w:ind w:right="0" w:hanging="737" w:left="737"/>
        <w:jc w:val="center"/>
        <w:rPr/>
      </w:pPr>
      <w:r/>
      <w:bookmarkStart w:id="258" w:name="_Toc198483508"/>
      <w:r/>
      <w:bookmarkStart w:id="259" w:name="_Toc166767168"/>
      <w:r/>
      <w:bookmarkStart w:id="260" w:name="_Toc78674715"/>
      <w:r/>
      <w:bookmarkStart w:id="261" w:name="_Toc475879448"/>
      <w:r/>
      <w:bookmarkStart w:id="262" w:name="_Toc84970952"/>
      <w:r>
        <w:rPr>
          <w:rFonts w:cs="Times New Roman"/>
        </w:rPr>
        <w:t xml:space="preserve">Оценка тепловых потерь в тепловых сетях за последние 3 года при отсутствии приборов учета тепловой энергии</w:t>
      </w:r>
      <w:bookmarkEnd w:id="258"/>
      <w:r/>
      <w:bookmarkEnd w:id="259"/>
      <w:r/>
      <w:bookmarkEnd w:id="260"/>
      <w:r/>
      <w:bookmarkEnd w:id="261"/>
      <w:r/>
      <w:bookmarkEnd w:id="262"/>
      <w:r/>
      <w:r/>
    </w:p>
    <w:p>
      <w:pPr>
        <w:pStyle w:val="12960"/>
        <w:pBdr/>
        <w:spacing/>
        <w:ind/>
        <w:rPr/>
      </w:pPr>
      <w:r>
        <w:t xml:space="preserve">Уровень потерь тепловой энергии напрямую зависит от уровня износа и протяженности тепловой сети от исто</w:t>
      </w:r>
      <w:r>
        <w:t xml:space="preserve">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r/>
    </w:p>
    <w:p>
      <w:pPr>
        <w:pStyle w:val="12960"/>
        <w:pBdr/>
        <w:spacing/>
        <w:ind/>
        <w:rPr/>
      </w:pPr>
      <w:r>
        <w:t xml:space="preserve">Отсутствие приборов учета не позволяет определить фактические потери тепловой энергии при транспортировке за последние 3 года.</w:t>
      </w:r>
      <w:r/>
    </w:p>
    <w:p>
      <w:pPr>
        <w:pStyle w:val="12960"/>
        <w:pBdr/>
        <w:spacing/>
        <w:ind/>
        <w:rPr/>
      </w:pPr>
      <w:r>
        <w:t xml:space="preserve">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r/>
    </w:p>
    <w:p>
      <w:pPr>
        <w:pStyle w:val="12960"/>
        <w:pBdr/>
        <w:spacing/>
        <w:ind/>
        <w:rPr/>
      </w:pPr>
      <w:r>
        <w:t xml:space="preserve">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r/>
    </w:p>
    <w:p>
      <w:pPr>
        <w:pStyle w:val="12960"/>
        <w:pBdr/>
        <w:spacing/>
        <w:ind/>
        <w:rPr/>
      </w:pPr>
      <w:r>
        <w:t xml:space="preserve">«Удельный расход сетевой воды», «Разность температур сетевой воды в подающих и обратных трубопроводах», «Удельный расход электроэнергии».</w:t>
      </w:r>
      <w:r/>
    </w:p>
    <w:p>
      <w:pPr>
        <w:pStyle w:val="12960"/>
        <w:pBdr/>
        <w:spacing/>
        <w:ind/>
        <w:rPr/>
      </w:pPr>
      <w:r>
        <w:t xml:space="preserve">Согласно Приказа №325 от 30.12.2008 г., ежегодно производится расчет нормативов технологических потерь при передаче тепловой энергии с последующим их утверждением в Минэнерго РФ.</w:t>
      </w:r>
      <w:r/>
    </w:p>
    <w:p>
      <w:pPr>
        <w:pStyle w:val="12960"/>
        <w:pBdr/>
        <w:spacing/>
        <w:ind/>
        <w:rPr/>
      </w:pPr>
      <w:r>
        <w:t xml:space="preserve">В соответствии с утвержденными норматива</w:t>
      </w:r>
      <w:r>
        <w:t xml:space="preserve">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r/>
    </w:p>
    <w:p>
      <w:pPr>
        <w:pStyle w:val="12960"/>
        <w:pBdr/>
        <w:spacing/>
        <w:ind/>
        <w:rPr>
          <w:rFonts w:eastAsia="Times New Roman"/>
        </w:rPr>
      </w:pPr>
      <w:r>
        <w:rPr>
          <w:rFonts w:eastAsia="Times New Roman"/>
        </w:rPr>
        <w:t xml:space="preserve">Годовые потери тепловой энергии за последние 2 года при отсутствии приборов учета определены путем суммирования тепловых потерь по участка</w:t>
      </w:r>
      <w:r>
        <w:rPr>
          <w:rFonts w:eastAsia="Times New Roman"/>
        </w:rPr>
        <w:t xml:space="preserve">м тепловых сетей с учетом пересчета нормативных часовых среднегодовых тепловых потерь на их фактические среднемесячные значения отдельно для участков подземной и надземной прокладки применительно к фактическим среднемесячным условиям работы тепловых сетей:</w:t>
      </w:r>
      <w:r>
        <w:rPr>
          <w:rFonts w:eastAsia="Times New Roman"/>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624" w:left="0"/>
        <w:jc w:val="both"/>
        <w:rPr/>
      </w:pPr>
      <w:r>
        <w:t xml:space="preserve">фактическим среднемесячным температурам воды в подающем и обратном трубопроводах тепловой сети, определённым по эксплуатационному температурному графику при фактической среднемесячной температуре;</w:t>
      </w:r>
      <w:r/>
    </w:p>
    <w:p>
      <w:pPr>
        <w:pStyle w:val="13832"/>
        <w:keepNext w:val="false"/>
        <w:widowControl w:val="true"/>
        <w:numPr>
          <w:ilvl w:val="0"/>
          <w:numId w:val="61"/>
        </w:numPr>
        <w:pBdr/>
        <w:bidi w:val="false"/>
        <w:spacing w:after="0" w:before="0" w:line="360" w:lineRule="auto"/>
        <w:ind w:right="0" w:firstLine="567" w:left="0"/>
        <w:jc w:val="both"/>
        <w:rPr/>
      </w:pPr>
      <w:r>
        <w:t xml:space="preserve">среднегодовой температуре воды в подающем и обратном трубопроводах тепловой сети, определённой как среднеарифметическое из фактических среднемесячных температур в соответствующих линиях за весь год работы сети;</w:t>
      </w:r>
      <w:r/>
    </w:p>
    <w:p>
      <w:pPr>
        <w:pStyle w:val="13832"/>
        <w:keepNext w:val="false"/>
        <w:widowControl w:val="true"/>
        <w:numPr>
          <w:ilvl w:val="0"/>
          <w:numId w:val="61"/>
        </w:numPr>
        <w:pBdr/>
        <w:bidi w:val="false"/>
        <w:spacing w:after="0" w:before="0" w:line="360" w:lineRule="auto"/>
        <w:ind w:right="0" w:firstLine="567" w:left="0"/>
        <w:jc w:val="both"/>
        <w:rPr/>
      </w:pPr>
      <w:r>
        <w:t xml:space="preserve">среднемесячной и среднегодовой температуре грунта на глубине заложения трубопроводов;</w:t>
      </w:r>
      <w:r/>
    </w:p>
    <w:p>
      <w:pPr>
        <w:pStyle w:val="13832"/>
        <w:keepNext w:val="false"/>
        <w:widowControl w:val="true"/>
        <w:numPr>
          <w:ilvl w:val="0"/>
          <w:numId w:val="61"/>
        </w:numPr>
        <w:pBdr/>
        <w:bidi w:val="false"/>
        <w:spacing w:after="0" w:before="0" w:line="360" w:lineRule="auto"/>
        <w:ind w:right="0" w:firstLine="510" w:left="0"/>
        <w:jc w:val="both"/>
        <w:rPr/>
      </w:pPr>
      <w:r>
        <w:t xml:space="preserve">фактической среднемесячной и среднегодовой температуре наружного воздуха за год.</w:t>
      </w:r>
      <w:r/>
    </w:p>
    <w:p>
      <w:pPr>
        <w:pStyle w:val="12960"/>
        <w:pBdr/>
        <w:spacing/>
        <w:ind/>
        <w:rPr/>
      </w:pPr>
      <w:r>
        <w:t xml:space="preserve">Основная часть потребителей тепла, присоединённых к тепловым сетям, не обеспечены приборами учёта. Оценка тепловых потерь в тепловых сетях представлена в таблице.</w:t>
      </w:r>
      <w:bookmarkStart w:id="263" w:name="_Hlk211946827"/>
      <w:r/>
      <w:bookmarkEnd w:id="263"/>
      <w:r/>
      <w:r/>
    </w:p>
    <w:p>
      <w:pPr>
        <w:pStyle w:val="12960"/>
        <w:pBdr/>
        <w:spacing/>
        <w:ind/>
        <w:rPr>
          <w:b/>
          <w:bCs w:val="0"/>
        </w:rPr>
      </w:pPr>
      <w:r>
        <w:rPr>
          <w:b/>
          <w:bCs w:val="0"/>
        </w:rPr>
        <w:t xml:space="preserve">Таблица 1.3.14.2 - Фактические и расчетные тепловые потери при передаче тепловой энергии за 2025 г.</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390"/>
        <w:gridCol w:w="1524"/>
        <w:gridCol w:w="1327"/>
        <w:gridCol w:w="1113"/>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5390" w:type="dxa"/>
            <w:vAlign w:val="center"/>
            <w:vMerge w:val="restart"/>
          </w:tcPr>
          <w:p>
            <w:pPr>
              <w:pStyle w:val="12385"/>
              <w:pBdr/>
              <w:spacing/>
              <w:ind/>
              <w:rPr>
                <w:rFonts w:cs="Times New Roman"/>
              </w:rPr>
            </w:pPr>
            <w:r>
              <w:rPr>
                <w:rFonts w:cs="Times New Roman"/>
              </w:rPr>
              <w:t xml:space="preserve">Наименование котельной</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524" w:type="dxa"/>
            <w:vAlign w:val="center"/>
            <w:vMerge w:val="restart"/>
          </w:tcPr>
          <w:p>
            <w:pPr>
              <w:pStyle w:val="12385"/>
              <w:pBdr/>
              <w:spacing/>
              <w:ind/>
              <w:rPr>
                <w:rFonts w:cs="Times New Roman"/>
              </w:rPr>
            </w:pPr>
            <w:r>
              <w:rPr>
                <w:rFonts w:cs="Times New Roman"/>
              </w:rPr>
              <w:t xml:space="preserve">Объем производства тепловой энергии в год, Гкал</w:t>
            </w:r>
            <w:r>
              <w:rPr>
                <w:rFonts w:cs="Times New Roman"/>
              </w:rPr>
            </w:r>
          </w:p>
        </w:tc>
        <w:tc>
          <w:tcPr>
            <w:gridSpan w:val="2"/>
            <w:shd w:val="clear" w:color="000000" w:fill="d9d9d9"/>
            <w:tcBorders>
              <w:top w:val="single" w:color="000000" w:sz="4" w:space="0"/>
              <w:bottom w:val="single" w:color="000000" w:sz="4" w:space="0"/>
              <w:right w:val="single" w:color="000000" w:sz="4" w:space="0"/>
            </w:tcBorders>
            <w:tcW w:w="2440" w:type="dxa"/>
            <w:vAlign w:val="center"/>
          </w:tcPr>
          <w:p>
            <w:pPr>
              <w:pStyle w:val="12385"/>
              <w:pBdr/>
              <w:spacing/>
              <w:ind/>
              <w:rPr>
                <w:rFonts w:cs="Times New Roman"/>
              </w:rPr>
            </w:pPr>
            <w:r>
              <w:rPr>
                <w:rFonts w:cs="Times New Roman"/>
              </w:rPr>
              <w:t xml:space="preserve">Потери тепловой энергии в год, Гкал</w:t>
            </w:r>
            <w:r>
              <w:rPr>
                <w:rFonts w:cs="Times New Roman"/>
              </w:rPr>
            </w:r>
          </w:p>
        </w:tc>
      </w:tr>
      <w:tr>
        <w:trPr>
          <w:trHeight w:val="20"/>
          <w:tblHeader/>
        </w:trPr>
        <w:tc>
          <w:tcPr>
            <w:tcBorders>
              <w:top w:val="single" w:color="000000" w:sz="4" w:space="0"/>
              <w:left w:val="single" w:color="000000" w:sz="4" w:space="0"/>
              <w:bottom w:val="single" w:color="000000" w:sz="4" w:space="0"/>
              <w:right w:val="single" w:color="000000" w:sz="4" w:space="0"/>
            </w:tcBorders>
            <w:tcW w:w="539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524" w:type="dxa"/>
            <w:vAlign w:val="center"/>
            <w:vMerge w:val="continue"/>
          </w:tcPr>
          <w:p>
            <w:pPr>
              <w:pStyle w:val="12385"/>
              <w:pBdr/>
              <w:spacing/>
              <w:ind/>
              <w:rPr>
                <w:rFonts w:cs="Times New Roman"/>
              </w:rPr>
            </w:pPr>
            <w:r>
              <w:rPr>
                <w:rFonts w:cs="Times New Roman"/>
              </w:rPr>
            </w:r>
            <w:r>
              <w:rPr>
                <w:rFonts w:cs="Times New Roman"/>
              </w:rPr>
            </w:r>
          </w:p>
        </w:tc>
        <w:tc>
          <w:tcPr>
            <w:shd w:val="clear" w:color="000000" w:fill="d9d9d9"/>
            <w:tcBorders>
              <w:bottom w:val="single" w:color="000000" w:sz="4" w:space="0"/>
              <w:right w:val="single" w:color="000000" w:sz="4" w:space="0"/>
            </w:tcBorders>
            <w:tcW w:w="1327" w:type="dxa"/>
            <w:vAlign w:val="center"/>
          </w:tcPr>
          <w:p>
            <w:pPr>
              <w:pStyle w:val="12385"/>
              <w:pBdr/>
              <w:spacing/>
              <w:ind/>
              <w:rPr>
                <w:rFonts w:cs="Times New Roman"/>
              </w:rPr>
            </w:pPr>
            <w:r>
              <w:rPr>
                <w:rFonts w:cs="Times New Roman"/>
              </w:rPr>
              <w:t xml:space="preserve">Фактические</w:t>
            </w:r>
            <w:r>
              <w:rPr>
                <w:rFonts w:cs="Times New Roman"/>
              </w:rPr>
            </w:r>
          </w:p>
        </w:tc>
        <w:tc>
          <w:tcPr>
            <w:shd w:val="clear" w:color="000000" w:fill="d9d9d9"/>
            <w:tcBorders>
              <w:bottom w:val="single" w:color="000000" w:sz="4" w:space="0"/>
              <w:right w:val="single" w:color="000000" w:sz="4" w:space="0"/>
            </w:tcBorders>
            <w:tcW w:w="1113" w:type="dxa"/>
            <w:vAlign w:val="center"/>
          </w:tcPr>
          <w:p>
            <w:pPr>
              <w:pStyle w:val="12385"/>
              <w:pBdr/>
              <w:spacing/>
              <w:ind/>
              <w:rPr>
                <w:rFonts w:cs="Times New Roman"/>
              </w:rPr>
            </w:pPr>
            <w:r>
              <w:rPr>
                <w:rFonts w:cs="Times New Roman"/>
              </w:rPr>
              <w:t xml:space="preserve">Расчетные</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5390" w:type="dxa"/>
            <w:vAlign w:val="center"/>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24" w:type="dxa"/>
            <w:vAlign w:val="center"/>
          </w:tcPr>
          <w:p>
            <w:pPr>
              <w:pStyle w:val="12385"/>
              <w:pBdr/>
              <w:spacing/>
              <w:ind/>
              <w:rPr>
                <w:rFonts w:cs="Times New Roman"/>
              </w:rPr>
            </w:pPr>
            <w:r>
              <w:rPr>
                <w:color w:val="000000"/>
                <w:szCs w:val="20"/>
              </w:rPr>
              <w:t xml:space="preserve">118,58</w:t>
            </w:r>
            <w:r>
              <w:rPr>
                <w:rFonts w:cs="Times New Roman"/>
              </w:rPr>
            </w:r>
          </w:p>
        </w:tc>
        <w:tc>
          <w:tcPr>
            <w:shd w:val="clear" w:color="000000" w:fill="ffffff"/>
            <w:tcBorders>
              <w:bottom w:val="single" w:color="000000" w:sz="4" w:space="0"/>
              <w:right w:val="single" w:color="000000" w:sz="4" w:space="0"/>
            </w:tcBorders>
            <w:tcW w:w="1327" w:type="dxa"/>
            <w:vAlign w:val="bottom"/>
          </w:tcPr>
          <w:p>
            <w:pPr>
              <w:pStyle w:val="12385"/>
              <w:pBdr/>
              <w:spacing/>
              <w:ind/>
              <w:rPr>
                <w:rFonts w:cs="Times New Roman"/>
              </w:rPr>
            </w:pPr>
            <w:r>
              <w:rPr>
                <w:color w:val="000000"/>
                <w:szCs w:val="20"/>
              </w:rPr>
              <w:t xml:space="preserve">8,47</w:t>
            </w:r>
            <w:r>
              <w:rPr>
                <w:rFonts w:cs="Times New Roman"/>
              </w:rPr>
            </w:r>
          </w:p>
        </w:tc>
        <w:tc>
          <w:tcPr>
            <w:shd w:val="clear" w:color="000000" w:fill="ffffff"/>
            <w:tcBorders>
              <w:bottom w:val="single" w:color="000000" w:sz="4" w:space="0"/>
              <w:right w:val="single" w:color="000000" w:sz="4" w:space="0"/>
            </w:tcBorders>
            <w:tcW w:w="1113" w:type="dxa"/>
            <w:vAlign w:val="bottom"/>
          </w:tcPr>
          <w:p>
            <w:pPr>
              <w:pStyle w:val="12385"/>
              <w:pBdr/>
              <w:spacing/>
              <w:ind/>
              <w:rPr>
                <w:rFonts w:cs="Times New Roman"/>
              </w:rPr>
            </w:pPr>
            <w:r>
              <w:rPr>
                <w:color w:val="000000"/>
                <w:szCs w:val="20"/>
              </w:rPr>
              <w:t xml:space="preserve">7,2</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5390" w:type="dxa"/>
            <w:vAlign w:val="center"/>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24" w:type="dxa"/>
            <w:vAlign w:val="center"/>
          </w:tcPr>
          <w:p>
            <w:pPr>
              <w:pStyle w:val="12385"/>
              <w:pBdr/>
              <w:spacing/>
              <w:ind/>
              <w:rPr>
                <w:rFonts w:cs="Times New Roman"/>
              </w:rPr>
            </w:pPr>
            <w:r>
              <w:rPr>
                <w:color w:val="000000"/>
                <w:szCs w:val="20"/>
              </w:rPr>
              <w:t xml:space="preserve">316,16</w:t>
            </w:r>
            <w:r>
              <w:rPr>
                <w:rFonts w:cs="Times New Roman"/>
              </w:rPr>
            </w:r>
          </w:p>
        </w:tc>
        <w:tc>
          <w:tcPr>
            <w:shd w:val="clear" w:color="000000" w:fill="ffffff"/>
            <w:tcBorders>
              <w:bottom w:val="single" w:color="000000" w:sz="4" w:space="0"/>
              <w:right w:val="single" w:color="000000" w:sz="4" w:space="0"/>
            </w:tcBorders>
            <w:tcW w:w="1327" w:type="dxa"/>
            <w:vAlign w:val="bottom"/>
          </w:tcPr>
          <w:p>
            <w:pPr>
              <w:pStyle w:val="12385"/>
              <w:pBdr/>
              <w:spacing/>
              <w:ind/>
              <w:rPr>
                <w:rFonts w:cs="Times New Roman"/>
              </w:rPr>
            </w:pPr>
            <w:r>
              <w:rPr>
                <w:color w:val="000000"/>
                <w:szCs w:val="20"/>
              </w:rPr>
              <w:t xml:space="preserve">23,96</w:t>
            </w:r>
            <w:r>
              <w:rPr>
                <w:rFonts w:cs="Times New Roman"/>
              </w:rPr>
            </w:r>
          </w:p>
        </w:tc>
        <w:tc>
          <w:tcPr>
            <w:shd w:val="clear" w:color="000000" w:fill="ffffff"/>
            <w:tcBorders>
              <w:bottom w:val="single" w:color="000000" w:sz="4" w:space="0"/>
              <w:right w:val="single" w:color="000000" w:sz="4" w:space="0"/>
            </w:tcBorders>
            <w:tcW w:w="1113" w:type="dxa"/>
            <w:vAlign w:val="bottom"/>
          </w:tcPr>
          <w:p>
            <w:pPr>
              <w:pStyle w:val="12385"/>
              <w:pBdr/>
              <w:spacing/>
              <w:ind/>
              <w:rPr>
                <w:rFonts w:cs="Times New Roman"/>
              </w:rPr>
            </w:pPr>
            <w:r>
              <w:rPr>
                <w:color w:val="000000"/>
                <w:szCs w:val="20"/>
              </w:rPr>
              <w:t xml:space="preserve">12,7</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5390" w:type="dxa"/>
            <w:vAlign w:val="center"/>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24" w:type="dxa"/>
            <w:vAlign w:val="center"/>
          </w:tcPr>
          <w:p>
            <w:pPr>
              <w:pStyle w:val="12385"/>
              <w:pBdr/>
              <w:spacing/>
              <w:ind/>
              <w:rPr>
                <w:rFonts w:cs="Times New Roman"/>
              </w:rPr>
            </w:pPr>
            <w:r>
              <w:rPr>
                <w:color w:val="000000"/>
                <w:szCs w:val="20"/>
              </w:rPr>
              <w:t xml:space="preserve">159,96</w:t>
            </w:r>
            <w:r>
              <w:rPr>
                <w:rFonts w:cs="Times New Roman"/>
              </w:rPr>
            </w:r>
          </w:p>
        </w:tc>
        <w:tc>
          <w:tcPr>
            <w:shd w:val="clear" w:color="000000" w:fill="ffffff"/>
            <w:tcBorders>
              <w:bottom w:val="single" w:color="000000" w:sz="4" w:space="0"/>
              <w:right w:val="single" w:color="000000" w:sz="4" w:space="0"/>
            </w:tcBorders>
            <w:tcW w:w="1327" w:type="dxa"/>
            <w:vAlign w:val="bottom"/>
          </w:tcPr>
          <w:p>
            <w:pPr>
              <w:pStyle w:val="12385"/>
              <w:pBdr/>
              <w:spacing/>
              <w:ind/>
              <w:rPr>
                <w:rFonts w:cs="Times New Roman"/>
              </w:rPr>
            </w:pPr>
            <w:r>
              <w:rPr>
                <w:color w:val="000000"/>
                <w:szCs w:val="20"/>
              </w:rPr>
              <w:t xml:space="preserve">7,27</w:t>
            </w:r>
            <w:r>
              <w:rPr>
                <w:rFonts w:cs="Times New Roman"/>
              </w:rPr>
            </w:r>
          </w:p>
        </w:tc>
        <w:tc>
          <w:tcPr>
            <w:shd w:val="clear" w:color="000000" w:fill="ffffff"/>
            <w:tcBorders>
              <w:bottom w:val="single" w:color="000000" w:sz="4" w:space="0"/>
              <w:right w:val="single" w:color="000000" w:sz="4" w:space="0"/>
            </w:tcBorders>
            <w:tcW w:w="1113" w:type="dxa"/>
            <w:vAlign w:val="bottom"/>
          </w:tcPr>
          <w:p>
            <w:pPr>
              <w:pStyle w:val="12385"/>
              <w:pBdr/>
              <w:spacing/>
              <w:ind/>
              <w:rPr>
                <w:rFonts w:cs="Times New Roman"/>
              </w:rPr>
            </w:pPr>
            <w:r>
              <w:rPr>
                <w:color w:val="000000"/>
                <w:szCs w:val="20"/>
              </w:rPr>
              <w:t xml:space="preserve">12,7</w:t>
            </w:r>
            <w:r>
              <w:rPr>
                <w:rFonts w:cs="Times New Roman"/>
              </w:rPr>
            </w:r>
          </w:p>
        </w:tc>
      </w:tr>
    </w:tbl>
    <w:p>
      <w:pPr>
        <w:pStyle w:val="12960"/>
        <w:pBdr/>
        <w:spacing/>
        <w:ind w:firstLine="0"/>
        <w:rPr/>
      </w:pPr>
      <w:r/>
      <w:r/>
      <w:r/>
      <w:r/>
      <w:r/>
      <w:r/>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pPr>
      <w:r/>
      <w:bookmarkStart w:id="270" w:name="_Toc475879449"/>
      <w:r/>
      <w:bookmarkStart w:id="271" w:name="_Toc84970953"/>
      <w:r/>
      <w:bookmarkStart w:id="272" w:name="_Toc78674716"/>
      <w:r/>
      <w:bookmarkStart w:id="273" w:name="_Toc198483509"/>
      <w:r/>
      <w:bookmarkStart w:id="274" w:name="_Toc166767169"/>
      <w:r>
        <w:rPr>
          <w:rFonts w:cs="Times New Roman"/>
        </w:rPr>
        <w:t xml:space="preserve">Предписания надзорных органов по запрещению дальнейшей эксплуатации участков тепловой сети и результаты их исполнения</w:t>
      </w:r>
      <w:bookmarkEnd w:id="270"/>
      <w:r/>
      <w:bookmarkEnd w:id="271"/>
      <w:r/>
      <w:bookmarkEnd w:id="272"/>
      <w:r/>
      <w:bookmarkEnd w:id="273"/>
      <w:r/>
      <w:bookmarkEnd w:id="274"/>
      <w:r/>
      <w:r/>
    </w:p>
    <w:p>
      <w:pPr>
        <w:pStyle w:val="12960"/>
        <w:pBdr/>
        <w:spacing/>
        <w:ind/>
        <w:rPr/>
      </w:pPr>
      <w:r>
        <w:t xml:space="preserve">Предписания надзорных органов по запрещению дальнейшей эксплуатации участков тепловой сети отсутствуют.</w:t>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75" w:name="_Toc166767170"/>
      <w:r/>
      <w:bookmarkStart w:id="276" w:name="_Toc198483510"/>
      <w:r/>
      <w:bookmarkStart w:id="277" w:name="_Toc84970954"/>
      <w:r/>
      <w:bookmarkStart w:id="278" w:name="_Toc475879450"/>
      <w:r/>
      <w:bookmarkStart w:id="279" w:name="_Toc78674717"/>
      <w:r>
        <w:rPr>
          <w:rFonts w:cs="Times New Roman"/>
        </w:rPr>
        <w:t xml:space="preserve">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275"/>
      <w:r/>
      <w:bookmarkEnd w:id="276"/>
      <w:r/>
      <w:bookmarkEnd w:id="277"/>
      <w:r/>
      <w:bookmarkEnd w:id="278"/>
      <w:r/>
      <w:bookmarkEnd w:id="279"/>
      <w:r/>
      <w:r>
        <w:rPr>
          <w:rFonts w:cs="Times New Roman"/>
        </w:rPr>
      </w:r>
    </w:p>
    <w:p>
      <w:pPr>
        <w:pStyle w:val="12960"/>
        <w:pBdr/>
        <w:spacing/>
        <w:ind/>
        <w:rPr/>
      </w:pPr>
      <w:r>
        <w:t xml:space="preserve">Потребители представляют собой строения жилого, социально-культурного и административного назначения, и подключены непосредственно к тепловой сети.</w:t>
      </w:r>
      <w:r/>
    </w:p>
    <w:p>
      <w:pPr>
        <w:pStyle w:val="12960"/>
        <w:pBdr/>
        <w:spacing/>
        <w:ind/>
        <w:rPr/>
      </w:pPr>
      <w:r>
        <w:t xml:space="preserve">Присоединение теплопотребляющих установок систем отопления потребителей к тепловым сетям в Муниципальном образовании Астаповское осуществляется непосредственно че</w:t>
      </w:r>
      <w:r>
        <w:t xml:space="preserve">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r/>
    </w:p>
    <w:p>
      <w:pPr>
        <w:pStyle w:val="10533"/>
        <w:widowControl w:val="false"/>
        <w:pBdr/>
        <w:spacing/>
        <w:ind w:left="1957"/>
        <w:rPr>
          <w:sz w:val="20"/>
          <w:lang w:eastAsia="en-US"/>
        </w:rPr>
      </w:pPr>
      <w:r>
        <mc:AlternateContent>
          <mc:Choice Requires="wpg">
            <w:drawing>
              <wp:inline xmlns:wp="http://schemas.openxmlformats.org/drawingml/2006/wordprocessingDrawing" distT="0" distB="0" distL="0" distR="0">
                <wp:extent cx="4171950" cy="1933575"/>
                <wp:effectExtent l="0" t="0" r="0" b="0"/>
                <wp:docPr id="39" name="Image 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 65" descr=""/>
                        <pic:cNvPicPr>
                          <a:picLocks noChangeAspect="1"/>
                        </pic:cNvPicPr>
                        <pic:nvPr/>
                      </pic:nvPicPr>
                      <pic:blipFill rotWithShape="1">
                        <a:blip r:embed="rId613"/>
                        <a:stretch/>
                      </pic:blipFill>
                      <pic:spPr bwMode="auto">
                        <a:xfrm>
                          <a:off x="0" y="0"/>
                          <a:ext cx="4171950" cy="193357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width:328.50pt;height:152.25pt;mso-wrap-distance-left:0.00pt;mso-wrap-distance-top:0.00pt;mso-wrap-distance-right:0.00pt;mso-wrap-distance-bottom:0.00pt;z-index:1;" stroked="false">
                <v:imagedata r:id="rId613" o:title=""/>
                <o:lock v:ext="edit" rotation="t"/>
              </v:shape>
            </w:pict>
          </mc:Fallback>
        </mc:AlternateContent>
      </w:r>
      <w:r>
        <w:rPr>
          <w:sz w:val="20"/>
          <w:lang w:eastAsia="en-US"/>
        </w:rPr>
      </w:r>
    </w:p>
    <w:p>
      <w:pPr>
        <w:pStyle w:val="12960"/>
        <w:pBdr/>
        <w:spacing/>
        <w:ind/>
        <w:jc w:val="center"/>
        <w:rPr/>
      </w:pPr>
      <w:r/>
      <w:bookmarkStart w:id="280" w:name="_bookmark231"/>
      <w:r/>
      <w:bookmarkEnd w:id="280"/>
      <w:r>
        <w:t xml:space="preserve">Рисунок 1.3.16.1 Схема подключения потребителей к тепловым сетям</w:t>
      </w:r>
      <w:r/>
    </w:p>
    <w:p>
      <w:pPr>
        <w:pStyle w:val="12960"/>
        <w:pBdr/>
        <w:spacing/>
        <w:ind/>
        <w:rPr/>
      </w:pPr>
      <w:r>
        <w:t xml:space="preserve">На рисунках представлены другие распространенные схемы присоединения потребителей к тепловым сетям.</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jc w:val="center"/>
        <w:rPr/>
      </w:pPr>
      <w:r>
        <mc:AlternateContent>
          <mc:Choice Requires="wpg">
            <w:drawing>
              <wp:inline xmlns:wp="http://schemas.openxmlformats.org/drawingml/2006/wordprocessingDrawing" distT="0" distB="0" distL="0" distR="0">
                <wp:extent cx="3526790" cy="1614805"/>
                <wp:effectExtent l="0" t="0" r="0" b="0"/>
                <wp:docPr id="40" name="Изображение9" descr="https://www.politerm.com/zuluthermo/help/images/schemes/schem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9" descr="https://www.politerm.com/zuluthermo/help/images/schemes/scheme4.png"/>
                        <pic:cNvPicPr>
                          <a:picLocks noChangeAspect="1"/>
                        </pic:cNvPicPr>
                        <pic:nvPr/>
                      </pic:nvPicPr>
                      <pic:blipFill rotWithShape="1">
                        <a:blip r:embed="rId614"/>
                        <a:stretch/>
                      </pic:blipFill>
                      <pic:spPr bwMode="auto">
                        <a:xfrm>
                          <a:off x="0" y="0"/>
                          <a:ext cx="3526790" cy="161480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width:277.70pt;height:127.15pt;mso-wrap-distance-left:0.00pt;mso-wrap-distance-top:0.00pt;mso-wrap-distance-right:0.00pt;mso-wrap-distance-bottom:0.00pt;z-index:1;" stroked="false">
                <v:imagedata r:id="rId614" o:title=""/>
                <o:lock v:ext="edit" rotation="t"/>
              </v:shape>
            </w:pict>
          </mc:Fallback>
        </mc:AlternateContent>
      </w:r>
      <w:r/>
    </w:p>
    <w:p>
      <w:pPr>
        <w:pStyle w:val="12960"/>
        <w:pBdr/>
        <w:spacing/>
        <w:ind/>
        <w:jc w:val="center"/>
        <w:rPr/>
      </w:pPr>
      <w:r>
        <w:t xml:space="preserve">Рисунок 1.3.16.2 Схема присоединения теплопотребляющих установок потребителей к тепловым сетям при помощи ИТП</w:t>
      </w:r>
      <w:r/>
    </w:p>
    <w:p>
      <w:pPr>
        <w:pStyle w:val="12960"/>
        <w:pBdr/>
        <w:spacing/>
        <w:ind/>
        <w:rPr/>
      </w:pPr>
      <w:r/>
      <w:r/>
    </w:p>
    <w:p>
      <w:pPr>
        <w:pStyle w:val="10533"/>
        <w:pBdr/>
        <w:spacing w:line="360" w:lineRule="auto"/>
        <w:ind w:firstLine="709"/>
        <w:jc w:val="center"/>
        <w:rPr>
          <w:rFonts w:eastAsia="Calibri"/>
          <w:bCs/>
          <w:iCs/>
          <w:lang w:eastAsia="en-US"/>
        </w:rPr>
      </w:pPr>
      <w:r>
        <mc:AlternateContent>
          <mc:Choice Requires="wpg">
            <w:drawing>
              <wp:inline xmlns:wp="http://schemas.openxmlformats.org/drawingml/2006/wordprocessingDrawing" distT="0" distB="0" distL="0" distR="0">
                <wp:extent cx="3764280" cy="1844040"/>
                <wp:effectExtent l="0" t="0" r="0" b="0"/>
                <wp:docPr id="41" name="Рисунок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 descr=""/>
                        <pic:cNvPicPr>
                          <a:picLocks noChangeAspect="1"/>
                        </pic:cNvPicPr>
                        <pic:nvPr/>
                      </pic:nvPicPr>
                      <pic:blipFill rotWithShape="1">
                        <a:blip r:embed="rId615"/>
                        <a:stretch/>
                      </pic:blipFill>
                      <pic:spPr bwMode="auto">
                        <a:xfrm>
                          <a:off x="0" y="0"/>
                          <a:ext cx="3764280" cy="184404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width:296.40pt;height:145.20pt;mso-wrap-distance-left:0.00pt;mso-wrap-distance-top:0.00pt;mso-wrap-distance-right:0.00pt;mso-wrap-distance-bottom:0.00pt;z-index:1;" stroked="false">
                <v:imagedata r:id="rId615" o:title=""/>
                <o:lock v:ext="edit" rotation="t"/>
              </v:shape>
            </w:pict>
          </mc:Fallback>
        </mc:AlternateContent>
      </w:r>
      <w:r>
        <w:rPr>
          <w:rFonts w:eastAsia="Calibri"/>
          <w:bCs/>
          <w:iCs/>
          <w:lang w:eastAsia="en-US"/>
        </w:rPr>
      </w:r>
    </w:p>
    <w:p>
      <w:pPr>
        <w:pStyle w:val="10533"/>
        <w:pBdr/>
        <w:spacing w:line="360" w:lineRule="auto"/>
        <w:ind w:firstLine="709"/>
        <w:jc w:val="center"/>
        <w:rPr>
          <w:rFonts w:eastAsia="Calibri"/>
          <w:bCs/>
          <w:iCs/>
          <w:lang w:eastAsia="en-US"/>
        </w:rPr>
      </w:pPr>
      <w:r>
        <w:rPr>
          <w:rFonts w:eastAsia="Calibri"/>
          <w:bCs/>
          <w:iCs/>
          <w:lang w:eastAsia="en-US"/>
        </w:rPr>
      </w:r>
      <w:r>
        <w:rPr>
          <w:rFonts w:eastAsia="Calibri"/>
          <w:bCs/>
          <w:iCs/>
          <w:lang w:eastAsia="en-US"/>
        </w:rPr>
      </w:r>
    </w:p>
    <w:p>
      <w:pPr>
        <w:pStyle w:val="10533"/>
        <w:pBdr/>
        <w:spacing w:line="360" w:lineRule="auto"/>
        <w:ind w:firstLine="709"/>
        <w:jc w:val="center"/>
        <w:rPr>
          <w:rFonts w:eastAsia="Calibri"/>
          <w:bCs/>
          <w:iCs/>
          <w:lang w:eastAsia="en-US"/>
        </w:rPr>
      </w:pPr>
      <w:r>
        <w:rPr>
          <w:rFonts w:eastAsia="Calibri"/>
          <w:bCs/>
          <w:iCs/>
          <w:lang w:eastAsia="en-US"/>
        </w:rPr>
        <w:t xml:space="preserve">Рисунок 1.3.16.3 - Схема подключения потребителей к четырехтрубным системам теплоснабжения</w:t>
      </w:r>
      <w:r>
        <w:rPr>
          <w:rFonts w:eastAsia="Calibri"/>
          <w:bCs/>
          <w:iCs/>
          <w:lang w:eastAsia="en-US"/>
        </w:rPr>
      </w:r>
    </w:p>
    <w:p>
      <w:pPr>
        <w:pStyle w:val="10533"/>
        <w:pBdr/>
        <w:spacing w:line="360" w:lineRule="auto"/>
        <w:ind w:firstLine="709"/>
        <w:jc w:val="center"/>
        <w:rPr>
          <w:rFonts w:eastAsia="Calibri"/>
          <w:bCs/>
          <w:iCs/>
          <w:lang w:eastAsia="en-US"/>
        </w:rPr>
      </w:pPr>
      <w:r>
        <w:rPr>
          <w:rFonts w:eastAsia="Calibri"/>
          <w:bCs/>
          <w:iCs/>
          <w:lang w:eastAsia="en-US"/>
        </w:rPr>
      </w:r>
      <w:r>
        <w:rPr>
          <w:rFonts w:eastAsia="Calibri"/>
          <w:bCs/>
          <w:iCs/>
          <w:lang w:eastAsia="en-US"/>
        </w:rPr>
      </w:r>
    </w:p>
    <w:p>
      <w:pPr>
        <w:pStyle w:val="10533"/>
        <w:pBdr/>
        <w:spacing w:line="360" w:lineRule="auto"/>
        <w:ind w:firstLine="709"/>
        <w:jc w:val="center"/>
        <w:rPr>
          <w:rFonts w:eastAsia="Calibri"/>
          <w:bCs/>
          <w:iCs/>
          <w:lang w:eastAsia="en-US"/>
        </w:rPr>
      </w:pPr>
      <w:r>
        <w:rPr>
          <w:rFonts w:eastAsia="Calibri"/>
          <w:bCs/>
          <w:iCs/>
          <w:lang w:eastAsia="en-US"/>
        </w:rPr>
        <mc:AlternateContent>
          <mc:Choice Requires="wpg">
            <w:drawing>
              <wp:anchor xmlns:wp="http://schemas.openxmlformats.org/drawingml/2006/wordprocessingDrawing" xmlns:wp14="http://schemas.microsoft.com/office/word/2010/wordprocessingDrawing" distT="0" distB="0" distL="0" distR="0" simplePos="0" relativeHeight="59" behindDoc="0" locked="0" layoutInCell="0" allowOverlap="1">
                <wp:simplePos x="0" y="0"/>
                <wp:positionH relativeFrom="margin">
                  <wp:posOffset>999490</wp:posOffset>
                </wp:positionH>
                <wp:positionV relativeFrom="paragraph">
                  <wp:posOffset>-64135</wp:posOffset>
                </wp:positionV>
                <wp:extent cx="4034155" cy="1103630"/>
                <wp:effectExtent l="0" t="0" r="0" b="0"/>
                <wp:wrapTopAndBottom/>
                <wp:docPr id="42" name="Рисунок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 descr=""/>
                        <pic:cNvPicPr>
                          <a:picLocks noChangeAspect="1"/>
                        </pic:cNvPicPr>
                        <pic:nvPr/>
                      </pic:nvPicPr>
                      <pic:blipFill rotWithShape="1">
                        <a:blip r:embed="rId616"/>
                        <a:stretch/>
                      </pic:blipFill>
                      <pic:spPr bwMode="auto">
                        <a:xfrm>
                          <a:off x="0" y="0"/>
                          <a:ext cx="4034154" cy="1103630"/>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position:absolute;z-index:59;o:allowoverlap:true;o:allowincell:false;mso-position-horizontal-relative:margin;margin-left:78.70pt;mso-position-horizontal:absolute;mso-position-vertical-relative:text;margin-top:-5.05pt;mso-position-vertical:absolute;width:317.65pt;height:86.90pt;mso-wrap-distance-left:0.00pt;mso-wrap-distance-top:0.00pt;mso-wrap-distance-right:0.00pt;mso-wrap-distance-bottom:0.00pt;z-index:1;" stroked="false">
                <w10:wrap type="topAndBottom"/>
                <v:imagedata r:id="rId616" o:title=""/>
                <o:lock v:ext="edit" rotation="t"/>
              </v:shape>
            </w:pict>
          </mc:Fallback>
        </mc:AlternateContent>
      </w:r>
      <w:r>
        <w:rPr>
          <w:rFonts w:eastAsia="Calibri"/>
          <w:bCs/>
          <w:iCs/>
          <w:lang w:eastAsia="en-US"/>
        </w:rPr>
      </w:r>
    </w:p>
    <w:p>
      <w:pPr>
        <w:pStyle w:val="10533"/>
        <w:pBdr/>
        <w:spacing w:line="360" w:lineRule="auto"/>
        <w:ind w:firstLine="709"/>
        <w:jc w:val="center"/>
        <w:rPr>
          <w:rFonts w:eastAsia="Calibri"/>
          <w:bCs/>
          <w:iCs/>
          <w:lang w:eastAsia="en-US"/>
        </w:rPr>
      </w:pPr>
      <w:r>
        <w:rPr>
          <w:rFonts w:eastAsia="Calibri"/>
          <w:bCs/>
          <w:iCs/>
          <w:lang w:eastAsia="en-US"/>
        </w:rPr>
        <w:t xml:space="preserve">Рисунок 1.3.16.4 - Схема подключения потребителей к двухтрубной системе теплоснабжения</w:t>
        <w:br/>
      </w:r>
      <w:r>
        <w:rPr>
          <w:rFonts w:eastAsia="Calibri"/>
          <w:bCs/>
          <w:iCs/>
          <w:lang w:eastAsia="en-US"/>
        </w:rPr>
      </w:r>
    </w:p>
    <w:p>
      <w:pPr>
        <w:pStyle w:val="12960"/>
        <w:pBdr/>
        <w:spacing/>
        <w:ind/>
        <w:rPr/>
      </w:pPr>
      <w:r>
        <w:t xml:space="preserve">Потребители одноэтажной застройки, имеющие относительно малые гидравлические сопро</w:t>
      </w:r>
      <w:r>
        <w:t xml:space="preserve">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r/>
    </w:p>
    <w:p>
      <w:pPr>
        <w:pStyle w:val="12960"/>
        <w:pBdr/>
        <w:spacing/>
        <w:ind/>
        <w:rPr/>
      </w:pPr>
      <w:r>
        <w:t xml:space="preserve">Системы отопления зданий двухтрубные с верхней и нижней разводками. В качестве отопительных приборов установлены ра</w:t>
      </w:r>
      <w:r>
        <w:t xml:space="preserve">диаторы отопления. Системы отопления подключены непосредственно без смесительных устройств. Водяная система теплоснабжения является открытой, вода частично разбирается у абонентов для горячего водоснабжения. Регуляторы температуры горячей воды отсутствуют.</w:t>
      </w:r>
      <w:r/>
    </w:p>
    <w:p>
      <w:pPr>
        <w:pStyle w:val="12960"/>
        <w:pBdr/>
        <w:spacing/>
        <w:ind/>
        <w:rPr/>
      </w:pPr>
      <w:r>
        <w:t xml:space="preserve">Индивидуальные тепловые пункты отсутствуют.</w:t>
      </w:r>
      <w:r/>
    </w:p>
    <w:p>
      <w:pPr>
        <w:pStyle w:val="12960"/>
        <w:pBdr/>
        <w:spacing/>
        <w:ind/>
        <w:rPr>
          <w:b/>
        </w:rPr>
      </w:pPr>
      <w:r/>
      <w:bookmarkStart w:id="281" w:name="sub_11117"/>
      <w:r>
        <w:rPr>
          <w:b/>
        </w:rPr>
        <w:t xml:space="preserve">Таблица 1.3.16.1 - Индивидуальные тепловые пункты (далее - ИТП)</w:t>
      </w:r>
      <w:bookmarkEnd w:id="281"/>
      <w:r/>
      <w:r>
        <w:rPr>
          <w:b/>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1467"/>
        <w:gridCol w:w="1647"/>
        <w:gridCol w:w="2070"/>
        <w:gridCol w:w="4170"/>
      </w:tblGrid>
      <w:tr>
        <w:trPr>
          <w:trHeight w:val="283"/>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67" w:type="dxa"/>
            <w:vAlign w:val="center"/>
          </w:tcPr>
          <w:p>
            <w:pPr>
              <w:pStyle w:val="12385"/>
              <w:pBdr/>
              <w:spacing/>
              <w:ind/>
              <w:rPr>
                <w:rFonts w:cs="Times New Roman"/>
              </w:rPr>
            </w:pPr>
            <w:r>
              <w:rPr>
                <w:rFonts w:cs="Times New Roman"/>
              </w:rPr>
              <w:t xml:space="preserve">Наименование котельной</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47" w:type="dxa"/>
            <w:vAlign w:val="center"/>
          </w:tcPr>
          <w:p>
            <w:pPr>
              <w:pStyle w:val="12385"/>
              <w:pBdr/>
              <w:spacing/>
              <w:ind/>
              <w:rPr>
                <w:rFonts w:cs="Times New Roman"/>
              </w:rPr>
            </w:pPr>
            <w:r>
              <w:rPr>
                <w:rFonts w:cs="Times New Roman"/>
              </w:rPr>
              <w:t xml:space="preserve">Количество ИТП</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70" w:type="dxa"/>
            <w:vAlign w:val="center"/>
          </w:tcPr>
          <w:p>
            <w:pPr>
              <w:pStyle w:val="12385"/>
              <w:pBdr/>
              <w:spacing/>
              <w:ind/>
              <w:rPr>
                <w:rFonts w:cs="Times New Roman"/>
              </w:rPr>
            </w:pPr>
            <w:r>
              <w:rPr>
                <w:rFonts w:cs="Times New Roman"/>
              </w:rPr>
              <w:t xml:space="preserve">Средняя тепловая мощность ИТП, Гкал/ч</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170" w:type="dxa"/>
            <w:vAlign w:val="center"/>
          </w:tcPr>
          <w:p>
            <w:pPr>
              <w:pStyle w:val="12385"/>
              <w:pBdr/>
              <w:spacing/>
              <w:ind/>
              <w:rPr>
                <w:rFonts w:cs="Times New Roman"/>
              </w:rPr>
            </w:pPr>
            <w:r>
              <w:rPr>
                <w:rFonts w:cs="Times New Roman"/>
              </w:rPr>
              <w:t xml:space="preserve">Доля потребителей, присоединенных к тепловым сетям через ИТП (от общей тепловой нагрузки)</w:t>
            </w:r>
            <w:r>
              <w:rPr>
                <w:rFonts w:cs="Times New Roman"/>
              </w:rPr>
            </w:r>
          </w:p>
        </w:tc>
      </w:tr>
      <w:tr>
        <w:trPr>
          <w:trHeight w:val="283"/>
        </w:trPr>
        <w:tc>
          <w:tcPr>
            <w:tcBorders>
              <w:top w:val="single" w:color="000000" w:sz="4" w:space="0"/>
              <w:left w:val="single" w:color="000000" w:sz="4" w:space="0"/>
              <w:bottom w:val="single" w:color="000000" w:sz="4" w:space="0"/>
              <w:right w:val="single" w:color="000000" w:sz="4" w:space="0"/>
            </w:tcBorders>
            <w:tcW w:w="1467"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47"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070" w:type="dxa"/>
            <w:vAlign w:val="center"/>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4170" w:type="dxa"/>
            <w:vAlign w:val="center"/>
          </w:tcPr>
          <w:p>
            <w:pPr>
              <w:pStyle w:val="12385"/>
              <w:pBdr/>
              <w:spacing/>
              <w:ind/>
              <w:rPr>
                <w:rFonts w:cs="Times New Roman"/>
              </w:rPr>
            </w:pPr>
            <w:r>
              <w:rPr>
                <w:rFonts w:cs="Times New Roman"/>
              </w:rPr>
              <w:t xml:space="preserve">-</w:t>
            </w:r>
            <w:r>
              <w:rPr>
                <w:rFonts w:cs="Times New Roman"/>
              </w:rPr>
            </w:r>
          </w:p>
        </w:tc>
      </w:tr>
    </w:tbl>
    <w:p>
      <w:pPr>
        <w:pStyle w:val="12385"/>
        <w:pBdr/>
        <w:tabs>
          <w:tab w:val="clear" w:leader="none" w:pos="708"/>
          <w:tab w:val="left" w:leader="none" w:pos="1579"/>
          <w:tab w:val="left" w:leader="none" w:pos="3224"/>
          <w:tab w:val="left" w:leader="none" w:pos="5293"/>
        </w:tabs>
        <w:spacing/>
        <w:ind w:firstLine="0" w:left="113"/>
        <w:jc w:val="left"/>
        <w:rPr>
          <w:rFonts w:cs="Times New Roman"/>
        </w:rPr>
      </w:pPr>
      <w:r>
        <w:rPr>
          <w:rFonts w:cs="Times New Roman"/>
        </w:rPr>
        <w:tab/>
        <w:tab/>
        <w:tab/>
      </w:r>
      <w:r>
        <w:rPr>
          <w:rFonts w:cs="Times New Roman"/>
        </w:rP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82" w:name="_Toc198483511"/>
      <w:r/>
      <w:bookmarkStart w:id="283" w:name="_Toc78674718"/>
      <w:r/>
      <w:bookmarkStart w:id="284" w:name="_Toc84970955"/>
      <w:r/>
      <w:bookmarkStart w:id="285" w:name="_Toc475879451"/>
      <w:r/>
      <w:bookmarkStart w:id="286" w:name="_Toc166767171"/>
      <w:r>
        <w:rPr>
          <w:rFonts w:cs="Times New Roman"/>
        </w:rPr>
        <w:t xml:space="preserve">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82"/>
      <w:r/>
      <w:bookmarkEnd w:id="283"/>
      <w:r/>
      <w:bookmarkEnd w:id="284"/>
      <w:r/>
      <w:bookmarkEnd w:id="285"/>
      <w:r/>
      <w:bookmarkEnd w:id="286"/>
      <w:r/>
      <w:r>
        <w:rPr>
          <w:rFonts w:cs="Times New Roman"/>
        </w:rPr>
      </w:r>
    </w:p>
    <w:p>
      <w:pPr>
        <w:pStyle w:val="12960"/>
        <w:pBdr/>
        <w:spacing/>
        <w:ind/>
        <w:rPr>
          <w:color w:val="000000"/>
        </w:rPr>
      </w:pPr>
      <w:r>
        <w:rPr>
          <w:color w:val="000000"/>
        </w:rPr>
        <w:t xml:space="preserve">Коммерческие приборы учета у потребителей не установлены. У потребителей тепла, учет производится расчетным методом. </w:t>
      </w:r>
      <w:r>
        <w:rPr>
          <w:color w:val="000000"/>
        </w:rPr>
      </w:r>
    </w:p>
    <w:p>
      <w:pPr>
        <w:pStyle w:val="12960"/>
        <w:pBdr/>
        <w:spacing/>
        <w:ind/>
        <w:rPr>
          <w:b/>
        </w:rPr>
      </w:pPr>
      <w:r>
        <w:rPr>
          <w:b/>
        </w:rPr>
        <w:t xml:space="preserve">Таблица 1.3.17.2 - Планы по установке приборов учета тепловой энергии и теплоносителя</w:t>
      </w:r>
      <w:r>
        <w:rPr>
          <w:b/>
        </w:rPr>
      </w:r>
    </w:p>
    <w:tbl>
      <w:tblPr>
        <w:tblInd w:w="0" w:type="dxa"/>
        <w:tblW w:w="5000" w:type="pct"/>
        <w:tblCellMar>
          <w:left w:w="28" w:type="dxa"/>
          <w:top w:w="0" w:type="dxa"/>
          <w:right w:w="28" w:type="dxa"/>
          <w:bottom w:w="0" w:type="dxa"/>
        </w:tblCellMar>
        <w:tblBorders/>
        <w:tblLayout w:type="fixed"/>
        <w:tblLook w:val="00A0" w:firstRow="1" w:lastRow="0" w:firstColumn="1" w:lastColumn="0" w:noHBand="0" w:noVBand="0"/>
      </w:tblPr>
      <w:tblGrid>
        <w:gridCol w:w="2029"/>
        <w:gridCol w:w="1915"/>
        <w:gridCol w:w="3141"/>
        <w:gridCol w:w="2269"/>
      </w:tblGrid>
      <w:t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29" w:type="dxa"/>
            <w:vAlign w:val="center"/>
          </w:tcPr>
          <w:p>
            <w:pPr>
              <w:pStyle w:val="12385"/>
              <w:pBdr/>
              <w:spacing/>
              <w:ind/>
              <w:rPr>
                <w:rFonts w:cs="Times New Roman"/>
              </w:rPr>
            </w:pPr>
            <w:r>
              <w:rPr>
                <w:rFonts w:cs="Times New Roman"/>
              </w:rPr>
              <w:t xml:space="preserve">Объект (потребитель)</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915" w:type="dxa"/>
            <w:vAlign w:val="center"/>
          </w:tcPr>
          <w:p>
            <w:pPr>
              <w:pStyle w:val="12385"/>
              <w:pBdr/>
              <w:spacing/>
              <w:ind/>
              <w:rPr>
                <w:rFonts w:cs="Times New Roman"/>
              </w:rPr>
            </w:pPr>
            <w:r>
              <w:rPr>
                <w:rFonts w:cs="Times New Roman"/>
              </w:rPr>
              <w:t xml:space="preserve">Адрес</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41" w:type="dxa"/>
            <w:vAlign w:val="center"/>
          </w:tcPr>
          <w:p>
            <w:pPr>
              <w:pStyle w:val="12385"/>
              <w:pBdr/>
              <w:spacing/>
              <w:ind/>
              <w:rPr>
                <w:rFonts w:cs="Times New Roman"/>
              </w:rPr>
            </w:pPr>
            <w:r>
              <w:rPr>
                <w:rFonts w:cs="Times New Roman"/>
              </w:rPr>
              <w:t xml:space="preserve">Наименование котельной, к которой подключен объект</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269" w:type="dxa"/>
            <w:vAlign w:val="center"/>
          </w:tcPr>
          <w:p>
            <w:pPr>
              <w:pStyle w:val="12385"/>
              <w:pBdr/>
              <w:spacing/>
              <w:ind/>
              <w:rPr>
                <w:rFonts w:cs="Times New Roman"/>
              </w:rPr>
            </w:pPr>
            <w:r>
              <w:rPr>
                <w:rFonts w:cs="Times New Roman"/>
              </w:rPr>
              <w:t xml:space="preserve">Планируемый год установки прибора учета</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2029" w:type="dxa"/>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915" w:type="dxa"/>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3141" w:type="dxa"/>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269" w:type="dxa"/>
          </w:tcPr>
          <w:p>
            <w:pPr>
              <w:pStyle w:val="12385"/>
              <w:pBdr/>
              <w:spacing/>
              <w:ind/>
              <w:rPr>
                <w:rFonts w:cs="Times New Roman"/>
              </w:rPr>
            </w:pPr>
            <w:r>
              <w:rPr>
                <w:rFonts w:cs="Times New Roman"/>
              </w:rPr>
              <w:t xml:space="preserve">н/д</w:t>
            </w:r>
            <w:r>
              <w:rPr>
                <w:rFonts w:cs="Times New Roman"/>
              </w:rPr>
            </w:r>
          </w:p>
        </w:tc>
      </w:tr>
    </w:tbl>
    <w:p>
      <w:pPr>
        <w:pStyle w:val="12960"/>
        <w:pBdr/>
        <w:spacing/>
        <w:ind/>
        <w:rPr>
          <w:b/>
        </w:rPr>
      </w:pPr>
      <w:r>
        <w:rPr>
          <w:b/>
        </w:rPr>
      </w:r>
      <w:r>
        <w:rPr>
          <w:b/>
        </w:rPr>
      </w:r>
    </w:p>
    <w:p>
      <w:pPr>
        <w:pStyle w:val="12960"/>
        <w:pBdr/>
        <w:spacing/>
        <w:ind/>
        <w:rPr/>
      </w:pPr>
      <w:r>
        <w:t xml:space="preserve">В соответствии с Федеральным законом от 23 ноября 2009г.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w:t>
      </w:r>
      <w:r>
        <w:t xml:space="preserve">новку общедомовых приборов учёта необходимо произвести для всех объектов максимальное потребление, которых составляет не менее 0,2 Гкал/час, на территории муниципального образования Астаповское потребители с нагрузкой, превышающей это значение отсутствуют.</w:t>
      </w:r>
      <w:r/>
    </w:p>
    <w:p>
      <w:pPr>
        <w:pStyle w:val="12960"/>
        <w:pBdr/>
        <w:spacing/>
        <w:ind/>
        <w:rPr>
          <w:b/>
          <w:bCs w:val="0"/>
        </w:rPr>
      </w:pPr>
      <w:r>
        <w:rPr>
          <w:b/>
          <w:bCs w:val="0"/>
        </w:rPr>
        <w:t xml:space="preserve">Таблица 1.3.17.2 - Доля отпуска тепловой энергии, осуществляемой потребителям по приборам учета</w:t>
      </w:r>
      <w:r>
        <w:rPr>
          <w:b/>
          <w:bCs w:val="0"/>
        </w:rPr>
      </w:r>
    </w:p>
    <w:tbl>
      <w:tblPr>
        <w:jc w:val="center"/>
        <w:tblInd w:w="0" w:type="dxa"/>
        <w:tblW w:w="5000" w:type="pct"/>
        <w:tblCellMar>
          <w:left w:w="28" w:type="dxa"/>
          <w:top w:w="0" w:type="dxa"/>
          <w:right w:w="28" w:type="dxa"/>
          <w:bottom w:w="0" w:type="dxa"/>
        </w:tblCellMar>
        <w:tblBorders/>
        <w:tblLayout w:type="fixed"/>
        <w:tblLook w:val="04A0" w:firstRow="1" w:lastRow="0" w:firstColumn="1" w:lastColumn="0" w:noHBand="0" w:noVBand="1"/>
      </w:tblPr>
      <w:tblGrid>
        <w:gridCol w:w="7387"/>
        <w:gridCol w:w="1967"/>
      </w:tblGrid>
      <w:tr>
        <w:trPr>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387" w:type="dxa"/>
            <w:vAlign w:val="center"/>
          </w:tcPr>
          <w:p>
            <w:pPr>
              <w:pStyle w:val="12385"/>
              <w:pBdr/>
              <w:spacing/>
              <w:ind/>
              <w:rPr>
                <w:rFonts w:cs="Times New Roman"/>
                <w:lang w:eastAsia="en-US"/>
              </w:rPr>
            </w:pPr>
            <w:r>
              <w:rPr>
                <w:rFonts w:cs="Times New Roman"/>
                <w:lang w:eastAsia="en-US"/>
              </w:rPr>
              <w:t xml:space="preserve">Показатель, ед. изм.</w:t>
            </w:r>
            <w:r>
              <w:rPr>
                <w:rFonts w:cs="Times New Roman"/>
                <w:lang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967" w:type="dxa"/>
            <w:vAlign w:val="center"/>
          </w:tcPr>
          <w:p>
            <w:pPr>
              <w:pStyle w:val="12385"/>
              <w:pBdr/>
              <w:spacing/>
              <w:ind/>
              <w:rPr>
                <w:rFonts w:cs="Times New Roman"/>
                <w:lang w:eastAsia="en-US"/>
              </w:rPr>
            </w:pPr>
            <w:r>
              <w:rPr>
                <w:rFonts w:cs="Times New Roman"/>
                <w:lang w:eastAsia="en-US"/>
              </w:rPr>
            </w:r>
            <w:r>
              <w:rPr>
                <w:rFonts w:cs="Times New Roman"/>
                <w:lang w:eastAsia="en-US"/>
              </w:rPr>
            </w:r>
          </w:p>
        </w:tc>
      </w:tr>
      <w:tr>
        <w:trPr/>
        <w:tc>
          <w:tcPr>
            <w:tcBorders>
              <w:top w:val="single" w:color="000000" w:sz="4" w:space="0"/>
              <w:left w:val="single" w:color="000000" w:sz="4" w:space="0"/>
              <w:bottom w:val="single" w:color="000000" w:sz="4" w:space="0"/>
              <w:right w:val="single" w:color="000000" w:sz="4" w:space="0"/>
            </w:tcBorders>
            <w:tcW w:w="7387" w:type="dxa"/>
            <w:vAlign w:val="center"/>
          </w:tcPr>
          <w:p>
            <w:pPr>
              <w:pStyle w:val="12385"/>
              <w:pBdr/>
              <w:spacing/>
              <w:ind/>
              <w:rPr>
                <w:rFonts w:cs="Times New Roman"/>
                <w:lang w:eastAsia="en-US"/>
              </w:rPr>
            </w:pPr>
            <w:r>
              <w:rPr>
                <w:rFonts w:cs="Times New Roman"/>
                <w:lang w:eastAsia="en-US"/>
              </w:rPr>
              <w:t xml:space="preserve">Доля отпуска тепловой энергии, осуществляемой потребителям по приборам учета, в общем объеме отпущенной тепловой энергии, %</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967" w:type="dxa"/>
            <w:vAlign w:val="center"/>
          </w:tcPr>
          <w:p>
            <w:pPr>
              <w:pStyle w:val="12385"/>
              <w:pBdr/>
              <w:spacing/>
              <w:ind/>
              <w:rPr>
                <w:rFonts w:cs="Times New Roman"/>
                <w:lang w:eastAsia="en-US"/>
              </w:rPr>
            </w:pPr>
            <w:r>
              <w:rPr>
                <w:rFonts w:cs="Times New Roman"/>
                <w:lang w:eastAsia="en-US"/>
              </w:rPr>
              <w:t xml:space="preserve">н/д</w:t>
            </w:r>
            <w:r>
              <w:rPr>
                <w:rFonts w:cs="Times New Roman"/>
                <w:lang w:eastAsia="en-US"/>
              </w:rPr>
            </w:r>
          </w:p>
        </w:tc>
      </w:tr>
    </w:tbl>
    <w:p>
      <w:pPr>
        <w:pStyle w:val="12960"/>
        <w:pBdr/>
        <w:spacing/>
        <w:ind/>
        <w:rPr/>
      </w:pPr>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87" w:name="_Toc166767172"/>
      <w:r/>
      <w:bookmarkStart w:id="288" w:name="_Toc475879452"/>
      <w:r/>
      <w:bookmarkStart w:id="289" w:name="_Toc198483512"/>
      <w:r/>
      <w:bookmarkStart w:id="290" w:name="_Toc84970956"/>
      <w:r/>
      <w:bookmarkStart w:id="291" w:name="_Toc78674719"/>
      <w:r>
        <w:rPr>
          <w:rFonts w:cs="Times New Roman"/>
        </w:rPr>
        <w:t xml:space="preserve">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87"/>
      <w:r/>
      <w:bookmarkEnd w:id="288"/>
      <w:r/>
      <w:bookmarkEnd w:id="289"/>
      <w:r/>
      <w:bookmarkEnd w:id="290"/>
      <w:r/>
      <w:bookmarkEnd w:id="291"/>
      <w:r/>
      <w:r>
        <w:rPr>
          <w:rFonts w:cs="Times New Roman"/>
        </w:rPr>
      </w:r>
    </w:p>
    <w:p>
      <w:pPr>
        <w:pStyle w:val="12960"/>
        <w:pBdr/>
        <w:spacing/>
        <w:ind/>
        <w:rPr/>
      </w:pPr>
      <w:r>
        <w:t xml:space="preserve">Постоянный контроль за работой и функционированием инженерных сетей системы жизнеобеспечения осуществляет оперативно-дежурный персонал котельной.</w:t>
      </w:r>
      <w:r/>
    </w:p>
    <w:p>
      <w:pPr>
        <w:pStyle w:val="12960"/>
        <w:pBdr/>
        <w:spacing/>
        <w:ind/>
        <w:rPr/>
      </w:pPr>
      <w:r>
        <w:t xml:space="preserve">На предприятиях организована круглосуточная диспетчерская сл</w:t>
      </w:r>
      <w:r>
        <w:t xml:space="preserve">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r/>
    </w:p>
    <w:p>
      <w:pPr>
        <w:pStyle w:val="12960"/>
        <w:pBdr/>
        <w:spacing/>
        <w:ind/>
        <w:rPr>
          <w:b/>
          <w:bCs w:val="0"/>
        </w:rPr>
      </w:pPr>
      <w:r>
        <w:rPr>
          <w:b/>
          <w:bCs w:val="0"/>
        </w:rPr>
        <w:t xml:space="preserve">Таблица 1.</w:t>
      </w:r>
      <w:r>
        <w:rPr>
          <w:b/>
          <w:bCs w:val="0"/>
        </w:rPr>
        <w:t xml:space="preserve">3.18.1 - Анализ работы диспетчерских служб теплоснабжающих (теплосетевых) организаций</w:t>
      </w:r>
      <w:r>
        <w:rPr>
          <w:b/>
          <w:bCs w:val="0"/>
        </w:rPr>
      </w:r>
    </w:p>
    <w:tbl>
      <w:tblPr>
        <w:jc w:val="cente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311"/>
        <w:gridCol w:w="3048"/>
        <w:gridCol w:w="2085"/>
        <w:gridCol w:w="1910"/>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11" w:type="dxa"/>
            <w:vAlign w:val="center"/>
            <w:vMerge w:val="restart"/>
          </w:tcPr>
          <w:p>
            <w:pPr>
              <w:pStyle w:val="12385"/>
              <w:pBdr/>
              <w:spacing/>
              <w:ind/>
              <w:rPr>
                <w:rFonts w:cs="Times New Roman"/>
              </w:rPr>
            </w:pPr>
            <w:r>
              <w:rPr>
                <w:rFonts w:cs="Times New Roman"/>
              </w:rPr>
              <w:t xml:space="preserve">Наименование котельной (ресурсоснабжающей организации)</w:t>
            </w:r>
            <w:r>
              <w:rPr>
                <w:rFonts w:cs="Times New Roman"/>
              </w:rPr>
            </w:r>
          </w:p>
        </w:tc>
        <w:tc>
          <w:tcPr>
            <w:gridSpan w:val="3"/>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043" w:type="dxa"/>
            <w:vAlign w:val="center"/>
          </w:tcPr>
          <w:p>
            <w:pPr>
              <w:pStyle w:val="12385"/>
              <w:pBdr/>
              <w:spacing/>
              <w:ind/>
              <w:rPr>
                <w:rFonts w:cs="Times New Roman"/>
              </w:rPr>
            </w:pPr>
            <w:r>
              <w:rPr>
                <w:rFonts w:cs="Times New Roman"/>
              </w:rPr>
              <w:t xml:space="preserve">Показатель</w:t>
            </w:r>
            <w:r>
              <w:rPr>
                <w:rFonts w:cs="Times New Roman"/>
              </w:rPr>
            </w:r>
          </w:p>
        </w:tc>
      </w:tr>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11" w:type="dxa"/>
            <w:vAlign w:val="center"/>
            <w:vMerge w:val="continue"/>
          </w:tcPr>
          <w:p>
            <w:pPr>
              <w:pStyle w:val="12385"/>
              <w:pBdr/>
              <w:spacing/>
              <w:ind/>
              <w:rPr>
                <w:rFonts w:cs="Times New Roman"/>
              </w:rPr>
            </w:pPr>
            <w:r>
              <w:rPr>
                <w:rFonts w:cs="Times New Roman"/>
              </w:rPr>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048" w:type="dxa"/>
            <w:vAlign w:val="center"/>
          </w:tcPr>
          <w:p>
            <w:pPr>
              <w:pStyle w:val="12385"/>
              <w:pBdr/>
              <w:spacing/>
              <w:ind/>
              <w:rPr>
                <w:rFonts w:cs="Times New Roman"/>
              </w:rPr>
            </w:pPr>
            <w:r>
              <w:rPr>
                <w:rFonts w:cs="Times New Roman"/>
              </w:rPr>
              <w:t xml:space="preserve">Анализ работы диспетчерских служб теплоснабжающих (теплосетевых) организаций и используемых средств автоматизации, телемеханизации и связи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85" w:type="dxa"/>
            <w:vAlign w:val="center"/>
          </w:tcPr>
          <w:p>
            <w:pPr>
              <w:pStyle w:val="12385"/>
              <w:pBdr/>
              <w:spacing/>
              <w:ind/>
              <w:rPr>
                <w:rFonts w:cs="Times New Roman"/>
              </w:rPr>
            </w:pPr>
            <w:r>
              <w:rPr>
                <w:rFonts w:cs="Times New Roman"/>
              </w:rPr>
              <w:t xml:space="preserve">Уровень автоматизации и обслуживания центральных тепловых пунктов, насосных станций</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910" w:type="dxa"/>
            <w:vAlign w:val="center"/>
          </w:tcPr>
          <w:p>
            <w:pPr>
              <w:pStyle w:val="12385"/>
              <w:pBdr/>
              <w:spacing/>
              <w:ind/>
              <w:rPr>
                <w:rFonts w:cs="Times New Roman"/>
              </w:rPr>
            </w:pPr>
            <w:r>
              <w:rPr>
                <w:rFonts w:cs="Times New Roman"/>
              </w:rPr>
              <w:t xml:space="preserve">Сведения о наличии защиты тепловых сетей от превышения давления</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2311" w:type="dxa"/>
            <w:vAlign w:val="center"/>
          </w:tcPr>
          <w:p>
            <w:pPr>
              <w:pStyle w:val="12385"/>
              <w:pBdr/>
              <w:spacing/>
              <w:ind/>
              <w:rPr>
                <w:rFonts w:cs="Times New Roman"/>
              </w:rPr>
            </w:pPr>
            <w:r>
              <w:rPr>
                <w:rFonts w:cs="Times New Roman"/>
              </w:rPr>
              <w:t xml:space="preserve">ООО «АГК» </w:t>
            </w:r>
            <w:r>
              <w:rPr>
                <w:rFonts w:cs="Times New Roman"/>
              </w:rPr>
            </w:r>
          </w:p>
        </w:tc>
        <w:tc>
          <w:tcPr>
            <w:tcBorders>
              <w:top w:val="single" w:color="000000" w:sz="4" w:space="0"/>
              <w:left w:val="single" w:color="000000" w:sz="4" w:space="0"/>
              <w:bottom w:val="single" w:color="000000" w:sz="4" w:space="0"/>
              <w:right w:val="single" w:color="000000" w:sz="4" w:space="0"/>
            </w:tcBorders>
            <w:tcW w:w="3048" w:type="dxa"/>
            <w:vAlign w:val="center"/>
          </w:tcPr>
          <w:p>
            <w:pPr>
              <w:pStyle w:val="12385"/>
              <w:pBdr/>
              <w:spacing/>
              <w:ind/>
              <w:rPr>
                <w:rFonts w:cs="Times New Roman"/>
              </w:rPr>
            </w:pPr>
            <w:r>
              <w:rPr>
                <w:rFonts w:cs="Times New Roman"/>
              </w:rPr>
              <w:t xml:space="preserve">При работе диспетчерской службы используются средства телефонной связи</w:t>
            </w:r>
            <w:r>
              <w:rPr>
                <w:rFonts w:cs="Times New Roman"/>
              </w:rPr>
            </w:r>
          </w:p>
        </w:tc>
        <w:tc>
          <w:tcPr>
            <w:tcBorders>
              <w:top w:val="single" w:color="000000" w:sz="4" w:space="0"/>
              <w:left w:val="single" w:color="000000" w:sz="4" w:space="0"/>
              <w:bottom w:val="single" w:color="000000" w:sz="4" w:space="0"/>
              <w:right w:val="single" w:color="000000" w:sz="4" w:space="0"/>
            </w:tcBorders>
            <w:tcW w:w="2085" w:type="dxa"/>
            <w:vAlign w:val="center"/>
          </w:tcPr>
          <w:p>
            <w:pPr>
              <w:pStyle w:val="12385"/>
              <w:pBdr/>
              <w:spacing/>
              <w:ind/>
              <w:rPr>
                <w:rFonts w:cs="Times New Roman"/>
              </w:rPr>
            </w:pPr>
            <w:r>
              <w:rPr>
                <w:rFonts w:cs="Times New Roman"/>
              </w:rPr>
              <w:t xml:space="preserve">нет</w:t>
            </w:r>
            <w:r>
              <w:rPr>
                <w:rFonts w:cs="Times New Roman"/>
              </w:rPr>
            </w:r>
          </w:p>
        </w:tc>
        <w:tc>
          <w:tcPr>
            <w:tcBorders>
              <w:top w:val="single" w:color="000000" w:sz="4" w:space="0"/>
              <w:left w:val="single" w:color="000000" w:sz="4" w:space="0"/>
              <w:bottom w:val="single" w:color="000000" w:sz="4" w:space="0"/>
              <w:right w:val="single" w:color="000000" w:sz="4" w:space="0"/>
            </w:tcBorders>
            <w:tcW w:w="1910" w:type="dxa"/>
            <w:vAlign w:val="center"/>
          </w:tcPr>
          <w:p>
            <w:pPr>
              <w:pStyle w:val="12385"/>
              <w:pBdr/>
              <w:spacing/>
              <w:ind/>
              <w:rPr>
                <w:rFonts w:cs="Times New Roman"/>
              </w:rPr>
            </w:pPr>
            <w:r>
              <w:rPr>
                <w:rFonts w:cs="Times New Roman"/>
              </w:rPr>
              <w:t xml:space="preserve">Нет</w:t>
            </w:r>
            <w:r>
              <w:rPr>
                <w:rFonts w:cs="Times New Roman"/>
              </w:rPr>
            </w:r>
          </w:p>
        </w:tc>
      </w:tr>
    </w:tbl>
    <w:p>
      <w:pPr>
        <w:pStyle w:val="12960"/>
        <w:pBdr/>
        <w:spacing/>
        <w:ind/>
        <w:rPr/>
      </w:pPr>
      <w:r/>
      <w:r/>
    </w:p>
    <w:p>
      <w:pPr>
        <w:pStyle w:val="12960"/>
        <w:pBdr/>
        <w:spacing/>
        <w:ind/>
        <w:rPr>
          <w:rFonts w:eastAsia="宋体" w:eastAsiaTheme="majorEastAsia"/>
        </w:rPr>
      </w:pPr>
      <w:r>
        <w:t xml:space="preserve">В </w:t>
      </w:r>
      <w:r>
        <w:rPr>
          <w:rFonts w:eastAsia="宋体" w:eastAsiaTheme="majorEastAsia"/>
        </w:rPr>
        <w:t xml:space="preserve">цел</w:t>
      </w:r>
      <w:r>
        <w:rPr>
          <w:rFonts w:eastAsia="宋体" w:eastAsiaTheme="majorEastAsia"/>
        </w:rPr>
        <w:t xml:space="preserve">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лиц, участвующих в теплоснабжении.</w:t>
      </w:r>
      <w:r>
        <w:rPr>
          <w:rFonts w:eastAsia="宋体" w:eastAsiaTheme="majorEastAsia"/>
        </w:rPr>
      </w:r>
    </w:p>
    <w:p>
      <w:pPr>
        <w:pStyle w:val="12960"/>
        <w:pBdr/>
        <w:spacing/>
        <w:ind/>
        <w:rPr>
          <w:rFonts w:eastAsia="宋体" w:eastAsiaTheme="majorEastAsia"/>
        </w:rPr>
      </w:pPr>
      <w:r>
        <w:rPr>
          <w:rFonts w:eastAsia="宋体" w:eastAsiaTheme="majorEastAsia"/>
        </w:rPr>
        <w:t xml:space="preserve">Порядок взаимоотношений дежурных производственной диспетчерской службы ТСО и дежурных диспетчерских служб управляющих компаний регламентирован соответствующими положениями.</w:t>
      </w:r>
      <w:r>
        <w:rPr>
          <w:rFonts w:eastAsia="宋体" w:eastAsiaTheme="majorEastAsia"/>
        </w:rPr>
      </w:r>
    </w:p>
    <w:p>
      <w:pPr>
        <w:pStyle w:val="12960"/>
        <w:pBdr/>
        <w:spacing/>
        <w:ind/>
        <w:rPr>
          <w:rFonts w:eastAsia="宋体" w:eastAsiaTheme="majorEastAsia"/>
        </w:rPr>
      </w:pPr>
      <w:r>
        <w:rPr>
          <w:rFonts w:eastAsia="宋体" w:eastAsiaTheme="majorEastAsia"/>
        </w:rPr>
        <w:t xml:space="preserve">В обязанности диспетчерских служб жилищно-эксплуатацио</w:t>
      </w:r>
      <w:r>
        <w:rPr>
          <w:rFonts w:eastAsia="宋体" w:eastAsiaTheme="majorEastAsia"/>
        </w:rPr>
        <w:t xml:space="preserve">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r>
        <w:rPr>
          <w:rFonts w:eastAsia="宋体" w:eastAsiaTheme="majorEastAsia"/>
        </w:rPr>
      </w:r>
    </w:p>
    <w:p>
      <w:pPr>
        <w:pStyle w:val="12960"/>
        <w:pBdr/>
        <w:spacing/>
        <w:ind/>
        <w:rPr>
          <w:rFonts w:eastAsia="宋体" w:eastAsiaTheme="majorEastAsia"/>
        </w:rPr>
      </w:pPr>
      <w:r>
        <w:rPr>
          <w:rFonts w:eastAsia="宋体" w:eastAsiaTheme="majorEastAsia"/>
        </w:rPr>
        <w:t xml:space="preserve">Обязанности производственной диспетчерской службы по системам централизованного теплоснабжения муниципального образования осуществляет ТСО. Диспетчерская служба ТСО осуществляет координацию действия ремонтного и эксплуатационного пе</w:t>
      </w:r>
      <w:r>
        <w:rPr>
          <w:rFonts w:eastAsia="宋体" w:eastAsiaTheme="majorEastAsia"/>
        </w:rPr>
        <w:t xml:space="preserve">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r>
        <w:rPr>
          <w:rFonts w:eastAsia="宋体" w:eastAsiaTheme="majorEastAsia"/>
        </w:rPr>
      </w:r>
    </w:p>
    <w:p>
      <w:pPr>
        <w:pStyle w:val="12960"/>
        <w:pBdr/>
        <w:spacing/>
        <w:ind/>
        <w:rPr>
          <w:rFonts w:eastAsia="宋体" w:eastAsiaTheme="majorEastAsia"/>
        </w:rPr>
      </w:pPr>
      <w:r>
        <w:rPr>
          <w:rFonts w:eastAsia="宋体" w:eastAsiaTheme="majorEastAsia"/>
        </w:rPr>
        <w:t xml:space="preserve">Коммунальные услуги предоставляются потребителю в порядке, предусмотренном фед</w:t>
      </w:r>
      <w:r>
        <w:rPr>
          <w:rFonts w:eastAsia="宋体" w:eastAsiaTheme="majorEastAsia"/>
        </w:rPr>
        <w:t xml:space="preserve">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Федерации, относится к публичным договорам и является отдельным видом договоров купли-продажи. </w:t>
      </w:r>
      <w:r>
        <w:rPr>
          <w:rFonts w:eastAsia="宋体" w:eastAsiaTheme="majorEastAsia"/>
        </w:rPr>
      </w:r>
    </w:p>
    <w:p>
      <w:pPr>
        <w:pStyle w:val="12960"/>
        <w:pBdr/>
        <w:spacing/>
        <w:ind/>
        <w:rPr>
          <w:rFonts w:eastAsia="宋体" w:eastAsiaTheme="majorEastAsia"/>
        </w:rPr>
      </w:pPr>
      <w:r>
        <w:rPr>
          <w:rFonts w:eastAsia="宋体" w:eastAsiaTheme="majorEastAsia"/>
        </w:rPr>
        <w:t xml:space="preserve">В соответствии с Положением о формировании </w:t>
      </w:r>
      <w:r>
        <w:rPr>
          <w:rFonts w:eastAsia="宋体" w:eastAsiaTheme="majorEastAsia"/>
        </w:rPr>
        <w:t xml:space="preserve">договорных отношений в жилищно-коммунальном хозяйстве на территории муниципального образования, утвержденного приказом Минстроя России от 20.08.96 №17-113, договоры с поставщиками коммунальных услуг предусматривают следующие необходимые основные положения:</w:t>
      </w:r>
      <w:r>
        <w:rPr>
          <w:rFonts w:eastAsia="宋体" w:eastAsiaTheme="majorEastAsia"/>
        </w:rP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624" w:left="0"/>
        <w:jc w:val="both"/>
        <w:rPr>
          <w:rFonts w:eastAsia="宋体" w:eastAsiaTheme="majorEastAsia"/>
        </w:rPr>
      </w:pPr>
      <w:r>
        <w:rPr>
          <w:rFonts w:eastAsia="宋体" w:eastAsiaTheme="majorEastAsia"/>
        </w:rPr>
        <w:t xml:space="preserve">гарантируемый уровень качества, надежности и экологической безопасности оказываемых услуг;</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объем предоставляемых услуг;</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обязательства по оплате, включая сроки и способ оплаты;</w:t>
      </w:r>
      <w:r>
        <w:rPr>
          <w:rFonts w:eastAsia="宋体" w:eastAsiaTheme="majorEastAsia"/>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rFonts w:eastAsia="宋体" w:eastAsiaTheme="majorEastAsia"/>
        </w:rPr>
      </w:pPr>
      <w:r>
        <w:rPr>
          <w:rFonts w:eastAsia="宋体" w:eastAsiaTheme="majorEastAsia"/>
        </w:rPr>
        <w:t xml:space="preserve">экономические санкции, применяемые сторонами в случае нарушения условий договора;</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порядок разрешения споров, изменения условий, прекращения договора.</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В представленных договорах ТСО включены следующие условия и сведения:</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количество тепловой энергии (отопление, ГВС, вентиляция, пар);</w:t>
      </w:r>
      <w:r>
        <w:rPr>
          <w:rFonts w:eastAsia="宋体" w:eastAsiaTheme="majorEastAsia"/>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宋体" w:eastAsiaTheme="majorEastAsia"/>
        </w:rPr>
      </w:pPr>
      <w:r>
        <w:rPr>
          <w:rFonts w:eastAsia="宋体" w:eastAsiaTheme="majorEastAsia"/>
        </w:rPr>
        <w:t xml:space="preserve">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 расхода пара на технологические нужды);</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качество тепловой энергии:</w:t>
      </w:r>
      <w:r>
        <w:rPr>
          <w:rFonts w:eastAsia="宋体" w:eastAsiaTheme="majorEastAsia"/>
        </w:rPr>
      </w:r>
    </w:p>
    <w:p>
      <w:pPr>
        <w:pStyle w:val="13832"/>
        <w:keepNext w:val="false"/>
        <w:widowControl w:val="true"/>
        <w:numPr>
          <w:ilvl w:val="1"/>
          <w:numId w:val="61"/>
        </w:numPr>
        <w:pBdr/>
        <w:bidi w:val="false"/>
        <w:spacing w:after="0" w:before="0" w:line="360" w:lineRule="auto"/>
        <w:ind w:right="0" w:hanging="340" w:left="1134"/>
        <w:jc w:val="both"/>
        <w:rPr>
          <w:rFonts w:eastAsia="宋体" w:eastAsiaTheme="majorEastAsia"/>
        </w:rPr>
      </w:pPr>
      <w:r>
        <w:rPr>
          <w:rFonts w:eastAsia="宋体" w:eastAsiaTheme="majorEastAsia"/>
        </w:rPr>
        <w:t xml:space="preserve">по сетевой воде - температура в подающем трубопроводе по температурному графику регулирования отпуска теплоты, перепада давлений в подающем и обратном трубопроводах;</w:t>
      </w:r>
      <w:r>
        <w:rPr>
          <w:rFonts w:eastAsia="宋体" w:eastAsiaTheme="majorEastAsia"/>
        </w:rPr>
      </w:r>
    </w:p>
    <w:p>
      <w:pPr>
        <w:pStyle w:val="13832"/>
        <w:keepNext w:val="false"/>
        <w:widowControl w:val="true"/>
        <w:numPr>
          <w:ilvl w:val="1"/>
          <w:numId w:val="61"/>
        </w:numPr>
        <w:pBdr/>
        <w:bidi w:val="false"/>
        <w:spacing w:after="0" w:before="0" w:line="360" w:lineRule="auto"/>
        <w:ind w:right="0" w:hanging="340" w:left="1134"/>
        <w:jc w:val="both"/>
        <w:rPr>
          <w:rFonts w:eastAsia="宋体" w:eastAsiaTheme="majorEastAsia"/>
        </w:rPr>
      </w:pPr>
      <w:r>
        <w:rPr>
          <w:rFonts w:eastAsia="宋体" w:eastAsiaTheme="majorEastAsia"/>
        </w:rPr>
        <w:t xml:space="preserve">по пару - температура и давление пара на границе эксплуатационной ответственности).</w:t>
      </w:r>
      <w:r>
        <w:rPr>
          <w:rFonts w:eastAsia="宋体" w:eastAsiaTheme="majorEastAsia"/>
        </w:rPr>
      </w:r>
    </w:p>
    <w:p>
      <w:pPr>
        <w:pStyle w:val="13832"/>
        <w:keepNext w:val="false"/>
        <w:widowControl w:val="true"/>
        <w:numPr>
          <w:ilvl w:val="1"/>
          <w:numId w:val="61"/>
        </w:numPr>
        <w:pBdr/>
        <w:bidi w:val="false"/>
        <w:spacing w:after="0" w:before="0" w:line="360" w:lineRule="auto"/>
        <w:ind w:right="0" w:hanging="340" w:left="1134"/>
        <w:jc w:val="both"/>
        <w:rPr>
          <w:rFonts w:eastAsia="宋体" w:eastAsiaTheme="majorEastAsia"/>
        </w:rPr>
      </w:pPr>
      <w:r>
        <w:rPr>
          <w:rFonts w:eastAsia="宋体" w:eastAsiaTheme="majorEastAsia"/>
        </w:rPr>
        <w:t xml:space="preserve">качество теплоносителей (показатели качества теплоносителей принимаются):</w:t>
      </w:r>
      <w:r>
        <w:rPr>
          <w:rFonts w:eastAsia="宋体" w:eastAsiaTheme="majorEastAsia"/>
        </w:rPr>
      </w:r>
    </w:p>
    <w:p>
      <w:pPr>
        <w:pStyle w:val="13832"/>
        <w:keepNext w:val="false"/>
        <w:widowControl w:val="true"/>
        <w:numPr>
          <w:ilvl w:val="1"/>
          <w:numId w:val="61"/>
        </w:numPr>
        <w:pBdr/>
        <w:bidi w:val="false"/>
        <w:spacing w:after="0" w:before="0" w:line="360" w:lineRule="auto"/>
        <w:ind w:right="0" w:hanging="340" w:left="1134"/>
        <w:jc w:val="both"/>
        <w:rPr>
          <w:rFonts w:eastAsia="宋体" w:eastAsiaTheme="majorEastAsia"/>
        </w:rPr>
      </w:pPr>
      <w:r>
        <w:rPr>
          <w:rFonts w:eastAsia="宋体" w:eastAsiaTheme="majorEastAsia"/>
        </w:rPr>
        <w:t xml:space="preserve">по сетевой воде - соответствие физико-химических характеристик показателям, установленным Правилами технической эксплуатации электрических станций и сетей и ГОСТ 2874-82 «Вода питьевая»;</w:t>
      </w:r>
      <w:r>
        <w:rPr>
          <w:rFonts w:eastAsia="宋体" w:eastAsiaTheme="majorEastAsia"/>
        </w:rPr>
      </w:r>
    </w:p>
    <w:p>
      <w:pPr>
        <w:pStyle w:val="13832"/>
        <w:keepNext w:val="false"/>
        <w:widowControl w:val="true"/>
        <w:numPr>
          <w:ilvl w:val="1"/>
          <w:numId w:val="61"/>
        </w:numPr>
        <w:pBdr/>
        <w:bidi w:val="false"/>
        <w:spacing w:after="0" w:before="0" w:line="360" w:lineRule="auto"/>
        <w:ind w:right="0" w:hanging="340" w:left="1134"/>
        <w:jc w:val="both"/>
        <w:rPr>
          <w:rFonts w:eastAsia="宋体" w:eastAsiaTheme="majorEastAsia"/>
        </w:rPr>
      </w:pPr>
      <w:r>
        <w:rPr>
          <w:rFonts w:eastAsia="宋体" w:eastAsiaTheme="majorEastAsia"/>
        </w:rPr>
        <w:t xml:space="preserve">по пару - соответствие физико-химических характеристик показателям, установленным Правилами технической эксплуатации электрических станций и сетей;</w:t>
      </w:r>
      <w:r>
        <w:rPr>
          <w:rFonts w:eastAsia="宋体" w:eastAsiaTheme="majorEastAsia"/>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宋体" w:eastAsiaTheme="majorEastAsia"/>
        </w:rPr>
      </w:pPr>
      <w:r>
        <w:rPr>
          <w:rFonts w:eastAsia="宋体" w:eastAsiaTheme="majorEastAsia"/>
        </w:rPr>
        <w:t xml:space="preserve">обязанности абонента по поддержанию качества тепловой энергии и теп</w:t>
      </w:r>
      <w:r>
        <w:rPr>
          <w:rFonts w:eastAsia="宋体" w:eastAsiaTheme="majorEastAsia"/>
        </w:rPr>
        <w:t xml:space="preserve">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r>
        <w:rPr>
          <w:rFonts w:eastAsia="宋体" w:eastAsiaTheme="majorEastAsia"/>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宋体" w:eastAsiaTheme="majorEastAsia"/>
        </w:rPr>
      </w:pPr>
      <w:r>
        <w:rPr>
          <w:rFonts w:eastAsia="宋体" w:eastAsiaTheme="majorEastAsia"/>
        </w:rPr>
        <w:t xml:space="preserve">расчеты (порядок установления тарифов и их изменения, а также форма расчетов);</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порядок учета тепловой энергии и теплоносителей;</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Обязательными приложениями к договору являются:</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акты об установлении границ эксплуатационной ответственности;</w:t>
      </w:r>
      <w:r>
        <w:rPr>
          <w:rFonts w:eastAsia="宋体" w:eastAsiaTheme="majorEastAsia"/>
        </w:rPr>
      </w:r>
    </w:p>
    <w:p>
      <w:pPr>
        <w:pStyle w:val="13832"/>
        <w:numPr>
          <w:ilvl w:val="0"/>
          <w:numId w:val="61"/>
        </w:numPr>
        <w:pBdr/>
        <w:spacing/>
        <w:ind w:hanging="284" w:left="1135"/>
        <w:rPr>
          <w:rFonts w:eastAsia="宋体" w:eastAsiaTheme="majorEastAsia"/>
        </w:rPr>
      </w:pPr>
      <w:r>
        <w:rPr>
          <w:rFonts w:eastAsia="宋体" w:eastAsiaTheme="majorEastAsia"/>
        </w:rPr>
        <w:t xml:space="preserve">температурный график регулирования отпуска тепловой энергии.</w:t>
      </w:r>
      <w:r>
        <w:rPr>
          <w:rFonts w:eastAsia="宋体" w:eastAsiaTheme="majorEastAsia"/>
        </w:rPr>
      </w:r>
    </w:p>
    <w:p>
      <w:pPr>
        <w:pStyle w:val="12960"/>
        <w:pBdr/>
        <w:spacing/>
        <w:ind/>
        <w:rPr/>
      </w:pPr>
      <w:r>
        <w:t xml:space="preserve">Количество отпускаемой тепловой энергии в теплоносители по их параметрам, максимальные часовые тепловые нагрузки, макси</w:t>
      </w:r>
      <w:r>
        <w:t xml:space="preserve">мальные часовые и среднечасовые расходы теплоносителей (в паре и горячей воде) устанавливаются теплоснабжающей организацией на основании заявок абонентов, подтвержденных проектными данными и паспортами теплопотребляющих установок, и фиксируются в договоре.</w:t>
      </w:r>
      <w:r/>
    </w:p>
    <w:p>
      <w:pPr>
        <w:pStyle w:val="12960"/>
        <w:pBdr/>
        <w:spacing/>
        <w:ind/>
        <w:rPr>
          <w:color w:val="auto"/>
        </w:rPr>
      </w:pPr>
      <w:r>
        <w:rPr>
          <w:color w:val="auto"/>
          <w:lang w:eastAsia="ru-RU"/>
        </w:rPr>
        <w:t xml:space="preserve">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r>
        <w:rPr>
          <w:color w:val="auto"/>
        </w:rPr>
        <w:t xml:space="preserve">.</w:t>
      </w:r>
      <w:r>
        <w:rPr>
          <w:color w:val="auto"/>
        </w:rPr>
      </w:r>
    </w:p>
    <w:p>
      <w:pPr>
        <w:pStyle w:val="12960"/>
        <w:pBdr/>
        <w:spacing/>
        <w:ind/>
        <w:rPr>
          <w:color w:val="auto"/>
        </w:rPr>
      </w:pPr>
      <w:r>
        <w:rPr>
          <w:color w:val="auto"/>
        </w:rPr>
        <w:t xml:space="preserve">В основных теплоснабжающих организациях му</w:t>
      </w:r>
      <w:r>
        <w:rPr>
          <w:color w:val="auto"/>
        </w:rPr>
        <w:t xml:space="preserve">ниципального округа существует собственная аварийно-диспетчерская служба, осуществляющая контроль за параметрами работы источников тепловой энергии и тепловых сетей. Диспетчерский пункт не оборудован системой сбора и передачи данных на базе АСКУЭ и АСУ ТП.</w:t>
      </w:r>
      <w:r>
        <w:rPr>
          <w:color w:val="auto"/>
        </w:rPr>
      </w:r>
    </w:p>
    <w:p>
      <w:pPr>
        <w:pStyle w:val="12960"/>
        <w:pBdr/>
        <w:spacing/>
        <w:ind/>
        <w:rPr/>
      </w:pPr>
      <w:r>
        <w:rPr>
          <w:color w:val="auto"/>
        </w:rPr>
        <w:t xml:space="preserve">Информация об аварийных ситуациях стекается в Единую диспетчерскую службу муниципального образования.</w:t>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92" w:name="_Toc475879453"/>
      <w:r/>
      <w:bookmarkStart w:id="293" w:name="_Toc166767173"/>
      <w:r/>
      <w:bookmarkStart w:id="294" w:name="_Toc198483513"/>
      <w:r/>
      <w:bookmarkStart w:id="295" w:name="_Toc78674720"/>
      <w:r/>
      <w:bookmarkStart w:id="296" w:name="_Toc84970957"/>
      <w:r>
        <w:rPr>
          <w:rFonts w:cs="Times New Roman"/>
        </w:rPr>
        <w:t xml:space="preserve">Уровень автоматизации и обслуживания центральных тепловых пунктов, насосных станций</w:t>
      </w:r>
      <w:bookmarkEnd w:id="292"/>
      <w:r/>
      <w:bookmarkEnd w:id="293"/>
      <w:r/>
      <w:bookmarkEnd w:id="294"/>
      <w:r/>
      <w:bookmarkEnd w:id="295"/>
      <w:r/>
      <w:bookmarkEnd w:id="296"/>
      <w:r/>
      <w:r>
        <w:rPr>
          <w:rFonts w:cs="Times New Roman"/>
        </w:rPr>
      </w:r>
    </w:p>
    <w:p>
      <w:pPr>
        <w:pStyle w:val="12960"/>
        <w:pBdr/>
        <w:spacing/>
        <w:ind/>
        <w:rPr/>
      </w:pPr>
      <w:r/>
      <w:r/>
      <w:r>
        <w:t xml:space="preserve">Автоматическое регулирование температуры сетевой воды в соответствии с температурой наружного воздуха не производится. </w:t>
      </w:r>
      <w:r/>
    </w:p>
    <w:p>
      <w:pPr>
        <w:pStyle w:val="12960"/>
        <w:pBdr/>
        <w:spacing/>
        <w:ind/>
        <w:rPr/>
      </w:pPr>
      <w:r>
        <w:t xml:space="preserve">В муниципальном образовании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установленного на источнике теплоснабжения. </w:t>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299" w:name="_Toc78674721"/>
      <w:r/>
      <w:bookmarkStart w:id="300" w:name="_Toc475879454"/>
      <w:r/>
      <w:bookmarkStart w:id="301" w:name="_Toc198483514"/>
      <w:r/>
      <w:bookmarkStart w:id="302" w:name="_Toc166767174"/>
      <w:r/>
      <w:bookmarkStart w:id="303" w:name="_Toc84970958"/>
      <w:r>
        <w:rPr>
          <w:rFonts w:cs="Times New Roman"/>
        </w:rPr>
        <w:t xml:space="preserve">Сведения о наличии защиты тепловых сетей от превышения давления</w:t>
      </w:r>
      <w:bookmarkEnd w:id="299"/>
      <w:r/>
      <w:bookmarkEnd w:id="300"/>
      <w:r/>
      <w:bookmarkEnd w:id="301"/>
      <w:r/>
      <w:bookmarkEnd w:id="302"/>
      <w:r/>
      <w:bookmarkEnd w:id="303"/>
      <w:r/>
      <w:r>
        <w:rPr>
          <w:rFonts w:cs="Times New Roman"/>
        </w:rPr>
      </w:r>
    </w:p>
    <w:p>
      <w:pPr>
        <w:pStyle w:val="12960"/>
        <w:pBdr/>
        <w:spacing/>
        <w:ind/>
        <w:rPr/>
      </w:pPr>
      <w:r>
        <w:t xml:space="preserve">На тепловых сетях установлены ПСК (предохранительные сбросные клапаны) для защиты тепловых сетей от превышения давления.</w:t>
      </w:r>
      <w:r/>
    </w:p>
    <w:p>
      <w:pPr>
        <w:pStyle w:val="12960"/>
        <w:pBdr/>
        <w:spacing/>
        <w:ind/>
        <w:rPr/>
      </w:pPr>
      <w:r>
        <w:t xml:space="preserve">В системах теплоснабжения существует вероятность возникновения аварийных либо переходных гидравлических режимов, характеризуемых колебаниями либо повышением давле</w:t>
      </w:r>
      <w:r>
        <w:t xml:space="preserve">ния сетевой воды, значения которых выходят за пределы допустимых значений прочностных характеристик оборудования и сетей. Подобные процессы возможны в системах теплоснабжения невысокой мощности и протяженности, и могут иметь характер гидравлического удара.</w:t>
      </w:r>
      <w:r/>
    </w:p>
    <w:p>
      <w:pPr>
        <w:pStyle w:val="12960"/>
        <w:pBdr/>
        <w:spacing/>
        <w:ind/>
        <w:rPr/>
      </w:pPr>
      <w:r>
        <w:t xml:space="preserve"> </w:t>
      </w:r>
      <w:r/>
    </w:p>
    <w:p>
      <w:pPr>
        <w:pStyle w:val="12960"/>
        <w:pBdr/>
        <w:spacing/>
        <w:ind/>
        <w:rPr/>
      </w:pPr>
      <w:r>
        <w:t xml:space="preserve">Нарушения нормального гидравлического режима систем теплоснабжения имеют следующие технические причины:</w:t>
      </w:r>
      <w:r/>
    </w:p>
    <w:p>
      <w:pPr>
        <w:pStyle w:val="13832"/>
        <w:numPr>
          <w:ilvl w:val="0"/>
          <w:numId w:val="61"/>
        </w:numPr>
        <w:pBdr/>
        <w:spacing/>
        <w:ind w:hanging="284" w:left="1135"/>
        <w:rPr/>
      </w:pPr>
      <w:r>
        <w:t xml:space="preserve">аварийные отключения сетевых и подпиточных насосов котельных;</w:t>
      </w: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pPr>
      <w:r>
        <w:t xml:space="preserve">закрытие (открытие) регуляторов, запорной, предохранительной и обратной арматуры на источниках те</w:t>
      </w:r>
      <w:r>
        <w:t xml:space="preserve">плоснабжения, в тепловых сетях и в тепловых пунктах потребителей (причем разрывы коррозионно-ослабленных трубопроводов могут происходить даже в случае плановых переключений в тепловых схемах, при перепуске насосов, уменьшении или увеличении подпитки сети);</w:t>
      </w:r>
      <w:r/>
    </w:p>
    <w:p>
      <w:pPr>
        <w:pStyle w:val="13832"/>
        <w:numPr>
          <w:ilvl w:val="0"/>
          <w:numId w:val="61"/>
        </w:numPr>
        <w:pBdr/>
        <w:spacing/>
        <w:ind w:hanging="284" w:left="1135"/>
        <w:rPr/>
      </w:pPr>
      <w:r>
        <w:t xml:space="preserve">вскипание воды в котлах и оборудовании котельных;</w:t>
      </w:r>
      <w:r/>
    </w:p>
    <w:p>
      <w:pPr>
        <w:pStyle w:val="13832"/>
        <w:numPr>
          <w:ilvl w:val="0"/>
          <w:numId w:val="61"/>
        </w:numPr>
        <w:pBdr/>
        <w:spacing/>
        <w:ind w:hanging="284" w:left="1135"/>
        <w:rPr/>
      </w:pPr>
      <w:r>
        <w:t xml:space="preserve">разрывы магистральных сетевых трубопроводов.</w:t>
      </w:r>
      <w:r/>
    </w:p>
    <w:p>
      <w:pPr>
        <w:pStyle w:val="12960"/>
        <w:pBdr/>
        <w:spacing/>
        <w:ind/>
        <w:rPr/>
      </w:pPr>
      <w:r>
        <w:t xml:space="preserve">В</w:t>
      </w:r>
      <w:r>
        <w:t xml:space="preserve"> зависимости от инерционности системы трубопроводов и характеристик возмущения переходные гидравлические режимы можно подразделить на условно-стабильные и на гидравлические удары. Обе разновидности могут носить характер затухающего колебательного процесса.</w:t>
      </w:r>
      <w:r/>
    </w:p>
    <w:p>
      <w:pPr>
        <w:pStyle w:val="12960"/>
        <w:pBdr/>
        <w:spacing/>
        <w:ind/>
        <w:rPr/>
      </w:pPr>
      <w:r>
        <w:t xml:space="preserve">Условно-стабильные режимы характеризуются монотонными </w:t>
      </w:r>
      <w:r>
        <w:t xml:space="preserve">нарушениями стационарного гидравлического режима, при которых скорость изменения (в т.ч. нарастания) давления невысока. Подобные режимы наиболее часто являются следствием операций с регулирующими клапанами, закрытия или открытия арматуры с электроприводом.</w:t>
      </w:r>
      <w:r/>
    </w:p>
    <w:p>
      <w:pPr>
        <w:pStyle w:val="12960"/>
        <w:pBdr/>
        <w:spacing/>
        <w:ind/>
        <w:rPr/>
      </w:pPr>
      <w:r>
        <w:t xml:space="preserve">Гидравлическим ударом называется явление, возникающее в трубопроводе при быстром изменении скорости движения жидкости. Гидравлический удар характеризуется мгновенными повышениями и понижениями д</w:t>
      </w:r>
      <w:r>
        <w:t xml:space="preserve">авления, которые могут привести к разрушению трубопровода. Вероятность возникновения гидравлических ударов возрастает с увеличением мощности теплоисточников, увеличением диаметров и длины тепловых сетей, оснащения сети регуляторами, клапанами и задвижками.</w:t>
      </w:r>
      <w:r/>
    </w:p>
    <w:p>
      <w:pPr>
        <w:pStyle w:val="12960"/>
        <w:pBdr/>
        <w:spacing/>
        <w:ind/>
        <w:rPr/>
      </w:pPr>
      <w:r>
        <w:t xml:space="preserve">Причинами возникновения гидравлических ударов являются:</w:t>
      </w:r>
      <w:r/>
    </w:p>
    <w:p>
      <w:pPr>
        <w:pStyle w:val="12960"/>
        <w:pBdr/>
        <w:spacing/>
        <w:ind/>
        <w:rPr/>
      </w:pPr>
      <w:r>
        <w:t xml:space="preserve">- внезапный о</w:t>
      </w:r>
      <w:r>
        <w:t xml:space="preserve">станов насосов на теплоисточнике или насосной станции при прекращении подачи электроэнергии. Происходит волновой процесс, сопровождающийся уменьшением давления на нагнетательном коллекторе насосной установки и повышением давления на всасывающем коллекторе;</w:t>
      </w:r>
      <w:r/>
    </w:p>
    <w:p>
      <w:pPr>
        <w:pStyle w:val="12960"/>
        <w:pBdr/>
        <w:spacing/>
        <w:ind/>
        <w:rPr/>
      </w:pPr>
      <w:r>
        <w:t xml:space="preserve">- внезапное включение насосов;</w:t>
      </w:r>
      <w:r/>
    </w:p>
    <w:p>
      <w:pPr>
        <w:pStyle w:val="12960"/>
        <w:pBdr/>
        <w:spacing/>
        <w:ind/>
        <w:rPr/>
      </w:pPr>
      <w:r>
        <w:t xml:space="preserve"> </w:t>
      </w:r>
      <w:r>
        <w:t xml:space="preserve">- включение в систему пиковых водогрейных котлов. В этом случае внезапное изменение расхода воды через котел может привести к резкому повышению температуры воды в котле, а затем ее вскипанию в сети с последующей конденсацией;</w:t>
      </w:r>
      <w:r/>
    </w:p>
    <w:p>
      <w:pPr>
        <w:pStyle w:val="12960"/>
        <w:pBdr/>
        <w:spacing/>
        <w:ind/>
        <w:rPr/>
      </w:pPr>
      <w:r>
        <w:t xml:space="preserve">- быстрое закрытие регулирующих клапанов и задвижек на теплоисточнике, насосных станциях и тепловой сети.</w:t>
      </w:r>
      <w:r/>
    </w:p>
    <w:p>
      <w:pPr>
        <w:pStyle w:val="12960"/>
        <w:pBdr/>
        <w:spacing/>
        <w:ind/>
        <w:rPr/>
      </w:pPr>
      <w:r>
        <w:t xml:space="preserve">Волны гидравлического удара распространяются по системе со скоростью звука в воде и могут многократно повторяться, пока энергия удара не израсходуетс</w:t>
      </w:r>
      <w:r>
        <w:t xml:space="preserve">я на работу сил трения и деформацию трубопроводов или не будет погашена в специальных устройствах, ограничивающих распространение гидравлического удара. Наибольшую амплитуду изменения давления имеет обычно первая волна, которая и является наиболее опасной.</w:t>
      </w:r>
      <w:r/>
    </w:p>
    <w:p>
      <w:pPr>
        <w:pStyle w:val="12960"/>
        <w:pBdr/>
        <w:spacing/>
        <w:ind/>
        <w:rPr/>
      </w:pPr>
      <w:r>
        <w:t xml:space="preserve">Для сортамента труб, применяемых в тепловых сетях, в диапазоне изменения диаметров от 0,05 до 1,0 м отношение изменяется от 20 до 90 и скорость звука в воде составляет от 1300 до 1050 м/с.</w:t>
      </w:r>
      <w:r/>
    </w:p>
    <w:p>
      <w:pPr>
        <w:pStyle w:val="12960"/>
        <w:pBdr/>
        <w:spacing/>
        <w:ind/>
        <w:rPr/>
      </w:pPr>
      <w:r>
        <w:t xml:space="preserve">Отсутствие в с</w:t>
      </w:r>
      <w:r>
        <w:t xml:space="preserve">оставе систем теплоснабжения специализированных устройств защиты от названных выше явлений в значительной степени усугубляет аварийную ситуацию, приводит к цепному характеру ее распространения и серьезным последствиям для системы теплоснабжения, таким как:</w:t>
      </w:r>
      <w:r/>
    </w:p>
    <w:p>
      <w:pPr>
        <w:pStyle w:val="12960"/>
        <w:pBdr/>
        <w:spacing/>
        <w:ind/>
        <w:rPr/>
      </w:pPr>
      <w:r>
        <w:t xml:space="preserve">- повреждение тепломеханического оборудования источников теплоснабжения;</w:t>
      </w:r>
      <w:r/>
    </w:p>
    <w:p>
      <w:pPr>
        <w:pStyle w:val="12960"/>
        <w:pBdr/>
        <w:spacing/>
        <w:ind/>
        <w:rPr/>
      </w:pPr>
      <w:r>
        <w:t xml:space="preserve">- разрыв сетевых трубопроводов с затоплением помещений источников теплоснабжения, выводом из строя электрооборудования и потерей собственных нужд;</w:t>
      </w:r>
      <w:r/>
    </w:p>
    <w:p>
      <w:pPr>
        <w:pStyle w:val="12960"/>
        <w:pBdr/>
        <w:spacing/>
        <w:ind/>
        <w:rPr/>
      </w:pPr>
      <w:r>
        <w:t xml:space="preserve">- прекращение теплоснабжения объектов ЖКХ и социальной сферы, предприятий, влекущее серьезные социальные последствия и нанесение материального ущерба;</w:t>
      </w:r>
      <w:r/>
    </w:p>
    <w:p>
      <w:pPr>
        <w:pStyle w:val="12960"/>
        <w:pBdr/>
        <w:spacing/>
        <w:ind/>
        <w:rPr/>
      </w:pPr>
      <w:r>
        <w:t xml:space="preserve">- разрыв отопительных приборов внутренних систем теплопотребления с затоплением помещений.</w:t>
      </w:r>
      <w:r/>
    </w:p>
    <w:p>
      <w:pPr>
        <w:pStyle w:val="12960"/>
        <w:pBdr/>
        <w:spacing/>
        <w:ind/>
        <w:rPr/>
      </w:pPr>
      <w:r>
        <w:t xml:space="preserve">Подобные инциденты могут сопровождаться травматизмом обслуживающего персонала теплоснабжающих организаций и третьих лиц.</w:t>
      </w:r>
      <w:r/>
    </w:p>
    <w:p>
      <w:pPr>
        <w:pStyle w:val="12960"/>
        <w:pBdr/>
        <w:spacing/>
        <w:ind/>
        <w:rPr/>
      </w:pPr>
      <w:r>
        <w:t xml:space="preserve">Анализ защищенности систем теплоснабжения от резких скачков давления и гидравлических ударов</w:t>
      </w:r>
      <w:r/>
    </w:p>
    <w:p>
      <w:pPr>
        <w:pStyle w:val="12960"/>
        <w:pBdr/>
        <w:spacing/>
        <w:ind/>
        <w:rPr/>
      </w:pPr>
      <w:r>
        <w:t xml:space="preserve">Нормативными документами, такими как: «ПТЭ электрических станций и сетей Российской Федерации» п. 4.11.8, 4.12.40, «ПТЭ тепловых энергоустановок» п. 5.1.14, 6.2.62, 9.1.1, 9.1.42, а также СП 74.13330.2023 «Тепловые сети» п. 8.18, 15.14 устана</w:t>
      </w:r>
      <w:r>
        <w:t xml:space="preserve">вливаются требования по защите трубопроводов и оборудования всех элементов систем централизованного теплоснабжения, в том числе тепловых сетей и систем теплопотребления, от повышения давления сетевой воды сверх допускаемых значений и гидравлических ударов.</w:t>
      </w:r>
      <w:r/>
    </w:p>
    <w:p>
      <w:pPr>
        <w:pStyle w:val="12960"/>
        <w:pBdr/>
        <w:spacing/>
        <w:ind/>
        <w:rPr/>
      </w:pPr>
      <w:r>
        <w:t xml:space="preserve">Требования указанных нормативных документов обусловлены высокой вероятностью возникновения аварий, сопровождающихся повышениями давления сетевой воды и гидравлическими ударами, вызванными потерей или перерывом электроснабжения по</w:t>
      </w:r>
      <w:r>
        <w:t xml:space="preserve">дкачивающих насосных станций (ПНС), групп сетевых и подпиточных насосов источников тепловой энергии, действием запорно-регулирующей арматуры, а также несанкционированными действиями персонала или посторонних лиц, приводящими к подобным аварийным ситуациям.</w:t>
      </w:r>
      <w:r/>
    </w:p>
    <w:p>
      <w:pPr>
        <w:pStyle w:val="12960"/>
        <w:pBdr/>
        <w:spacing/>
        <w:ind/>
        <w:rPr/>
      </w:pPr>
      <w:r>
        <w:t xml:space="preserve">Обобщая вышеизложенное, можно сделать вывод: каждый элемент единой системы (источник тепла, тепловые сети, системы теплопотребления) должен быть оборудован специа</w:t>
      </w:r>
      <w:r>
        <w:t xml:space="preserve">льными устройствами защиты от недопустимого повышения (колебания; изменения) давления теплоносителя, обеспечивающими поддержание заданного давления на границах эксплуатационной ответственности субъектов теплоснабжения при внезапных изменениях гидравлическо</w:t>
      </w:r>
      <w:r>
        <w:t xml:space="preserve">го режима, вызванных оборудованием данного элемента системы теплоснабжения. То есть устройства защиты должны обеспечить поддержание давления в допустимых пределах для собственного оборудования независимо от источника возмущения и причин повышения давления.</w:t>
      </w:r>
      <w:r/>
    </w:p>
    <w:p>
      <w:pPr>
        <w:pStyle w:val="12960"/>
        <w:pBdr/>
        <w:spacing/>
        <w:ind/>
        <w:rPr/>
      </w:pPr>
      <w:r>
        <w:t xml:space="preserve">Решение проблемы защиты от изменения давления должно носить комплексный характер и учитывать взаимовлияние средств автоматизации и защиты, установленных в различных точках единой с</w:t>
      </w:r>
      <w:r>
        <w:t xml:space="preserve">истемы централизованного теплоснабжения. Следует отметить, что наиболее опасными в части возможных последствий аварийные ситуации, как правило, обусловлены отключением под нагрузкой сетевых насосов источников тепловой энергии или подкачивающих насосов ПНС.</w:t>
      </w:r>
      <w:r/>
    </w:p>
    <w:p>
      <w:pPr>
        <w:pStyle w:val="12960"/>
        <w:pBdr/>
        <w:spacing/>
        <w:ind/>
        <w:rPr/>
      </w:pPr>
      <w:r>
        <w:t xml:space="preserve">Обеспечение высокой степени надежности работы систем теплоснабжения и их защита от недопустимого изменения давления и гидравлических ударов может быть осуществлена за счет применения ряда специальных устройств:</w:t>
      </w:r>
      <w:r/>
    </w:p>
    <w:p>
      <w:pPr>
        <w:pStyle w:val="12960"/>
        <w:pBdr/>
        <w:spacing/>
        <w:ind/>
        <w:rPr/>
      </w:pPr>
      <w:r>
        <w:t xml:space="preserve">1. Установка на насосных ста</w:t>
      </w:r>
      <w:r>
        <w:t xml:space="preserve">нциях противоударной перемычки между обратным и подающим трубопроводами с установкой на ней обратного клапана. При внезапной остановке насосов противоударная перемычка приводит к выравниванию давлений в трубопроводах и затуханию ударной волны. При запуске </w:t>
      </w:r>
      <w:r>
        <w:t xml:space="preserve">насосов из неподвижного состояния «на сеть» с открытыми задвижками на подающем и обратном коллекторах также возникает волновой процесс, сопровождающийся повышением давления (напора) на подающем коллекторе и снижением напора на обратном коллекторе насосной.</w:t>
      </w:r>
      <w:r/>
    </w:p>
    <w:p>
      <w:pPr>
        <w:pStyle w:val="12960"/>
        <w:pBdr/>
        <w:spacing/>
        <w:ind/>
        <w:rPr/>
      </w:pPr>
      <w:r>
        <w:t xml:space="preserve">2. Установка устройств для сброса давлений: гидрозатворы переливы, быстродействующие сбросные клапаны, разрывные диафрагмы.</w:t>
      </w:r>
      <w:r/>
    </w:p>
    <w:p>
      <w:pPr>
        <w:pStyle w:val="12960"/>
        <w:pBdr/>
        <w:spacing/>
        <w:ind/>
        <w:rPr/>
      </w:pPr>
      <w:r>
        <w:t xml:space="preserve">3. Применение устройств частотного регулирования для насосных установок. Частотные преобразователи позволяют уменьшить колебания давления на переходных режимах, не создавать резких волновых возмущений в период планового пуска или останова насоса.</w:t>
      </w:r>
      <w:r/>
    </w:p>
    <w:p>
      <w:pPr>
        <w:pStyle w:val="12960"/>
        <w:pBdr/>
        <w:spacing/>
        <w:ind/>
        <w:rPr/>
      </w:pPr>
      <w:r>
        <w:t xml:space="preserve"> </w:t>
      </w:r>
      <w:r>
        <w:t xml:space="preserve">4. Установка устройств, тормозящих волновой процесс. К ним относятся ресиверы (воздушные колпаки).</w:t>
      </w:r>
      <w:r/>
    </w:p>
    <w:p>
      <w:pPr>
        <w:pStyle w:val="12960"/>
        <w:pBdr/>
        <w:spacing/>
        <w:ind/>
        <w:rPr/>
      </w:pPr>
      <w:r>
        <w:t xml:space="preserve">5. Установка устройств стабилизации давления. Такие устройства гасят пульсации давления незначительной амплитуды, чем повышают надежность системы, предотвращая преждевременное повреждение ветхих коррозионно-изношенных трубопроводов.</w:t>
      </w:r>
      <w:r/>
    </w:p>
    <w:p>
      <w:pPr>
        <w:pStyle w:val="12960"/>
        <w:pBdr/>
        <w:spacing/>
        <w:ind/>
        <w:rPr/>
      </w:pPr>
      <w:r>
        <w:t xml:space="preserve">6. Использование быстродействующих клапанов (давление настройки до 1,0 МПа и высокая плотность в закрытом состоянии).</w:t>
      </w:r>
      <w:r/>
    </w:p>
    <w:p>
      <w:pPr>
        <w:pStyle w:val="12960"/>
        <w:pBdr/>
        <w:spacing/>
        <w:ind/>
        <w:rPr/>
      </w:pPr>
      <w:r>
        <w:t xml:space="preserve">7. Использование мембранных предохранительных устройств (давление настройки 0,25 – 6 МПа, быстродействие – 3 м/сек).</w:t>
      </w:r>
      <w:r/>
    </w:p>
    <w:p>
      <w:pPr>
        <w:pStyle w:val="12960"/>
        <w:pBdr/>
        <w:spacing/>
        <w:ind/>
        <w:rPr/>
      </w:pPr>
      <w:r>
        <w:t xml:space="preserve">8. Установка демпфирующих устройств для защиты чувствительных элементов манометров, регуляторов, датчиков, от воздействия гидроударов (быстродействие – 0,52 сек).</w:t>
      </w:r>
      <w:r/>
    </w:p>
    <w:p>
      <w:pPr>
        <w:pStyle w:val="12960"/>
        <w:pBdr/>
        <w:spacing/>
        <w:ind/>
        <w:rPr/>
      </w:pPr>
      <w:r>
        <w:t xml:space="preserve">9. Применение тепловых схем с автоматической отсечкой потребителя при открытии сбросных устройств с небольшой выдержкой времени.</w:t>
      </w:r>
      <w:r/>
    </w:p>
    <w:p>
      <w:pPr>
        <w:pStyle w:val="10535"/>
        <w:keepNext w:val="true"/>
        <w:widowControl w:val="true"/>
        <w:numPr>
          <w:ilvl w:val="1"/>
          <w:numId w:val="13"/>
        </w:numPr>
        <w:pBdr/>
        <w:tabs>
          <w:tab w:val="clear" w:leader="none" w:pos="708"/>
          <w:tab w:val="left" w:leader="none" w:pos="709"/>
        </w:tabs>
        <w:bidi w:val="false"/>
        <w:spacing w:after="240" w:before="360" w:line="360" w:lineRule="auto"/>
        <w:ind w:right="0" w:hanging="737" w:left="737"/>
        <w:jc w:val="both"/>
        <w:rPr>
          <w:rFonts w:cs="Times New Roman"/>
        </w:rPr>
      </w:pPr>
      <w:r/>
      <w:bookmarkStart w:id="304" w:name="_Toc198483515"/>
      <w:r/>
      <w:bookmarkStart w:id="305" w:name="_Toc166767175"/>
      <w:r/>
      <w:bookmarkStart w:id="306" w:name="_Toc84970959"/>
      <w:r/>
      <w:bookmarkStart w:id="307" w:name="_Toc78674722"/>
      <w:r/>
      <w:bookmarkStart w:id="308" w:name="_Toc475879455"/>
      <w:r>
        <w:rPr>
          <w:rFonts w:cs="Times New Roman"/>
        </w:rPr>
        <w:t xml:space="preserve">Перечень выявленных бесхозяйных тепловых сетей и обоснование выбора организации, уполномоченной на их эксплуатацию</w:t>
      </w:r>
      <w:bookmarkEnd w:id="304"/>
      <w:r/>
      <w:bookmarkEnd w:id="305"/>
      <w:r/>
      <w:bookmarkEnd w:id="306"/>
      <w:r/>
      <w:bookmarkEnd w:id="307"/>
      <w:r/>
      <w:bookmarkEnd w:id="308"/>
      <w:r/>
      <w:r>
        <w:rPr>
          <w:rFonts w:cs="Times New Roman"/>
        </w:rPr>
      </w:r>
    </w:p>
    <w:p>
      <w:pPr>
        <w:pStyle w:val="12960"/>
        <w:pBdr/>
        <w:spacing/>
        <w:ind/>
        <w:rPr/>
      </w:pPr>
      <w:r>
        <w:t xml:space="preserve">На территории муниципального образования Астаповское не выявлены бесхозяйные тепловые сети.</w:t>
      </w:r>
      <w:r/>
    </w:p>
    <w:p>
      <w:pPr>
        <w:pStyle w:val="12960"/>
        <w:pBdr/>
        <w:spacing/>
        <w:ind/>
        <w:rPr/>
      </w:pPr>
      <w:r>
        <w:t xml:space="preserve">В соответствии сп.6 ст.15 ФЗ «О теплоснабжении» от 27.07.2010 №190-ФЗ в случае выявления бесхозяйных теплов</w:t>
      </w:r>
      <w:r>
        <w:t xml:space="preserve">ых сетей (тепловых сетей, не имеющих эксплуатирующей организации) орган местного самоуправления поселения или муниципального образования до признания права собственности на указанные бесхозяйные тепловые сети в течение тридцати дней с даты их выявления обя</w:t>
      </w:r>
      <w:r>
        <w:t xml:space="preserve">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w:t>
      </w:r>
      <w:r>
        <w:t xml:space="preserve">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309" w:name="_Toc198483516"/>
      <w:r/>
      <w:bookmarkStart w:id="310" w:name="_Toc166767176"/>
      <w:r/>
      <w:bookmarkStart w:id="311" w:name="_Toc84970960"/>
      <w:r/>
      <w:bookmarkStart w:id="312" w:name="_Toc78674723"/>
      <w:r>
        <w:rPr>
          <w:rFonts w:cs="Times New Roman"/>
        </w:rPr>
        <w:t xml:space="preserve">Данные энергетических характеристик тепловых сетей (при их наличии)</w:t>
      </w:r>
      <w:bookmarkEnd w:id="309"/>
      <w:r/>
      <w:bookmarkEnd w:id="310"/>
      <w:r/>
      <w:bookmarkEnd w:id="311"/>
      <w:r/>
      <w:bookmarkEnd w:id="312"/>
      <w:r/>
      <w:r>
        <w:rPr>
          <w:rFonts w:cs="Times New Roman"/>
        </w:rPr>
      </w:r>
    </w:p>
    <w:p>
      <w:pPr>
        <w:pStyle w:val="12960"/>
        <w:pBdr/>
        <w:spacing/>
        <w:ind/>
        <w:rPr/>
        <w:sectPr>
          <w:headerReference w:type="default" r:id="rId34"/>
          <w:headerReference w:type="first" r:id="rId35"/>
          <w:footerReference w:type="default" r:id="rId300"/>
          <w:footerReference w:type="first" r:id="rId301"/>
          <w:footnotePr/>
          <w:endnotePr/>
          <w:type w:val="nextPage"/>
          <w:pgSz w:h="16838" w:orient="portrait" w:w="11906"/>
          <w:pgMar w:top="1134" w:right="850" w:bottom="1134" w:left="1701" w:header="567" w:footer="454" w:gutter="0"/>
          <w:cols w:num="1" w:sep="0" w:space="1701" w:equalWidth="1"/>
        </w:sectPr>
      </w:pPr>
      <w:r>
        <w:t xml:space="preserve">Информация об энергетических характеристиках тепловых сетей на территории муниципального образования Астаповское представлена в таблице.</w:t>
      </w:r>
      <w:r/>
    </w:p>
    <w:p>
      <w:pPr>
        <w:pStyle w:val="12960"/>
        <w:pBdr/>
        <w:spacing/>
        <w:ind/>
        <w:rPr>
          <w:b/>
        </w:rPr>
      </w:pPr>
      <w:r>
        <w:rPr>
          <w:b/>
        </w:rPr>
        <w:t xml:space="preserve">Таблица 1.3.22.1 - Энергетические характеристики тепловых сетей</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038"/>
        <w:gridCol w:w="1667"/>
        <w:gridCol w:w="2158"/>
        <w:gridCol w:w="1077"/>
        <w:gridCol w:w="1143"/>
        <w:gridCol w:w="2403"/>
        <w:gridCol w:w="1652"/>
        <w:gridCol w:w="2147"/>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038" w:type="dxa"/>
            <w:vAlign w:val="center"/>
          </w:tcPr>
          <w:p>
            <w:pPr>
              <w:pStyle w:val="12385"/>
              <w:pBdr/>
              <w:spacing/>
              <w:ind/>
              <w:rPr/>
            </w:pPr>
            <w:r>
              <w:t xml:space="preserve">Диаметр, dу, мм</w:t>
            </w:r>
            <w:r/>
          </w:p>
        </w:tc>
        <w:tc>
          <w:tcPr>
            <w:shd w:val="clear" w:color="000000" w:fill="d9d9d9"/>
            <w:tcBorders>
              <w:top w:val="single" w:color="000000" w:sz="4" w:space="0"/>
              <w:bottom w:val="single" w:color="000000" w:sz="4" w:space="0"/>
              <w:right w:val="single" w:color="000000" w:sz="4" w:space="0"/>
            </w:tcBorders>
            <w:tcW w:w="1667" w:type="dxa"/>
            <w:vAlign w:val="center"/>
          </w:tcPr>
          <w:p>
            <w:pPr>
              <w:pStyle w:val="12385"/>
              <w:pBdr/>
              <w:spacing/>
              <w:ind/>
              <w:rPr/>
            </w:pPr>
            <w:r>
              <w:t xml:space="preserve">Норма плотности теплового потока q, ккал/м·ч</w:t>
            </w:r>
            <w:r/>
          </w:p>
        </w:tc>
        <w:tc>
          <w:tcPr>
            <w:shd w:val="clear" w:color="000000" w:fill="d9d9d9"/>
            <w:tcBorders>
              <w:top w:val="single" w:color="000000" w:sz="4" w:space="0"/>
              <w:bottom w:val="single" w:color="000000" w:sz="4" w:space="0"/>
              <w:right w:val="single" w:color="000000" w:sz="4" w:space="0"/>
            </w:tcBorders>
            <w:tcW w:w="2158" w:type="dxa"/>
            <w:vAlign w:val="center"/>
          </w:tcPr>
          <w:p>
            <w:pPr>
              <w:pStyle w:val="12385"/>
              <w:pBdr/>
              <w:spacing/>
              <w:ind/>
              <w:rPr/>
            </w:pPr>
            <w:r>
              <w:t xml:space="preserve">Протяженность участка тепловой сети li, м</w:t>
            </w:r>
            <w:r/>
          </w:p>
        </w:tc>
        <w:tc>
          <w:tcPr>
            <w:shd w:val="clear" w:color="000000" w:fill="d9d9d9"/>
            <w:tcBorders>
              <w:top w:val="single" w:color="000000" w:sz="4" w:space="0"/>
              <w:bottom w:val="single" w:color="000000" w:sz="4" w:space="0"/>
              <w:right w:val="single" w:color="000000" w:sz="4" w:space="0"/>
            </w:tcBorders>
            <w:tcW w:w="1077" w:type="dxa"/>
            <w:vAlign w:val="center"/>
          </w:tcPr>
          <w:p>
            <w:pPr>
              <w:pStyle w:val="12385"/>
              <w:pBdr/>
              <w:spacing/>
              <w:ind/>
              <w:rPr/>
            </w:pPr>
            <w:r>
              <w:t xml:space="preserve">к·q·li, ккал/ч</w:t>
            </w:r>
            <w:r/>
          </w:p>
        </w:tc>
        <w:tc>
          <w:tcPr>
            <w:shd w:val="clear" w:color="000000" w:fill="d9d9d9"/>
            <w:tcBorders>
              <w:top w:val="single" w:color="000000" w:sz="4" w:space="0"/>
              <w:bottom w:val="single" w:color="000000" w:sz="4" w:space="0"/>
              <w:right w:val="single" w:color="000000" w:sz="4" w:space="0"/>
            </w:tcBorders>
            <w:tcW w:w="1143" w:type="dxa"/>
            <w:vAlign w:val="center"/>
          </w:tcPr>
          <w:p>
            <w:pPr>
              <w:pStyle w:val="12385"/>
              <w:pBdr/>
              <w:spacing/>
              <w:ind/>
              <w:rPr/>
            </w:pPr>
            <w:r>
              <w:t xml:space="preserve">За период</w:t>
            </w:r>
            <w:r/>
          </w:p>
        </w:tc>
        <w:tc>
          <w:tcPr>
            <w:shd w:val="clear" w:color="000000" w:fill="d9d9d9"/>
            <w:tcBorders>
              <w:top w:val="single" w:color="000000" w:sz="4" w:space="0"/>
              <w:bottom w:val="single" w:color="000000" w:sz="4" w:space="0"/>
              <w:right w:val="single" w:color="000000" w:sz="4" w:space="0"/>
            </w:tcBorders>
            <w:tcW w:w="2403" w:type="dxa"/>
            <w:vAlign w:val="center"/>
          </w:tcPr>
          <w:p>
            <w:pPr>
              <w:pStyle w:val="12385"/>
              <w:pBdr/>
              <w:spacing/>
              <w:ind/>
              <w:rPr/>
            </w:pPr>
            <w:r>
              <w:t xml:space="preserve">Удельный объем воды трубопровода i-го диаметра, Vi, м</w:t>
            </w:r>
            <w:r>
              <w:rPr>
                <w:vertAlign w:val="superscript"/>
              </w:rPr>
              <w:t xml:space="preserve">3</w:t>
            </w:r>
            <w:r>
              <w:t xml:space="preserve">/км</w:t>
            </w:r>
            <w:r/>
          </w:p>
        </w:tc>
        <w:tc>
          <w:tcPr>
            <w:shd w:val="clear" w:color="000000" w:fill="d9d9d9"/>
            <w:tcBorders>
              <w:top w:val="single" w:color="000000" w:sz="4" w:space="0"/>
              <w:bottom w:val="single" w:color="000000" w:sz="4" w:space="0"/>
              <w:right w:val="single" w:color="000000" w:sz="4" w:space="0"/>
            </w:tcBorders>
            <w:tcW w:w="1652" w:type="dxa"/>
            <w:vAlign w:val="center"/>
          </w:tcPr>
          <w:p>
            <w:pPr>
              <w:pStyle w:val="12385"/>
              <w:pBdr/>
              <w:spacing/>
              <w:ind/>
              <w:rPr/>
            </w:pPr>
            <w:r>
              <w:t xml:space="preserve">Vi li, м</w:t>
            </w:r>
            <w:r>
              <w:rPr>
                <w:vertAlign w:val="superscript"/>
              </w:rPr>
              <w:t xml:space="preserve">3</w:t>
            </w:r>
            <w:r/>
          </w:p>
        </w:tc>
        <w:tc>
          <w:tcPr>
            <w:shd w:val="clear" w:color="000000" w:fill="d9d9d9"/>
            <w:tcBorders>
              <w:top w:val="single" w:color="000000" w:sz="4" w:space="0"/>
              <w:bottom w:val="single" w:color="000000" w:sz="4" w:space="0"/>
              <w:right w:val="single" w:color="000000" w:sz="4" w:space="0"/>
            </w:tcBorders>
            <w:tcW w:w="2147" w:type="dxa"/>
            <w:vAlign w:val="center"/>
          </w:tcPr>
          <w:p>
            <w:pPr>
              <w:pStyle w:val="12385"/>
              <w:pBdr/>
              <w:spacing/>
              <w:ind/>
              <w:rPr/>
            </w:pPr>
            <w:r>
              <w:t xml:space="preserve">Материальная характеристика участка, м</w:t>
            </w:r>
            <w:r>
              <w:rPr>
                <w:vertAlign w:val="superscript"/>
              </w:rPr>
              <w:t xml:space="preserve">2</w:t>
            </w:r>
            <w:r/>
          </w:p>
        </w:tc>
      </w:tr>
      <w:tr>
        <w:trPr>
          <w:trHeight w:val="20"/>
        </w:trPr>
        <w:tc>
          <w:tcPr>
            <w:shd w:val="clear" w:color="000000" w:fill="ffffff"/>
            <w:tcBorders>
              <w:left w:val="single" w:color="000000" w:sz="4" w:space="0"/>
              <w:bottom w:val="single" w:color="000000" w:sz="4" w:space="0"/>
              <w:right w:val="single" w:color="000000" w:sz="4" w:space="0"/>
            </w:tcBorders>
            <w:tcW w:w="2038"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667" w:type="dxa"/>
            <w:vAlign w:val="center"/>
          </w:tcPr>
          <w:p>
            <w:pPr>
              <w:pStyle w:val="12385"/>
              <w:pBdr/>
              <w:spacing/>
              <w:ind/>
              <w:rPr/>
            </w:pPr>
            <w:r/>
            <w:r/>
          </w:p>
        </w:tc>
        <w:tc>
          <w:tcPr>
            <w:tcBorders>
              <w:bottom w:val="single" w:color="000000" w:sz="4" w:space="0"/>
              <w:right w:val="single" w:color="000000" w:sz="4" w:space="0"/>
            </w:tcBorders>
            <w:tcW w:w="2158" w:type="dxa"/>
            <w:vAlign w:val="center"/>
          </w:tcPr>
          <w:p>
            <w:pPr>
              <w:pStyle w:val="12385"/>
              <w:pBdr/>
              <w:spacing/>
              <w:ind/>
              <w:rPr/>
            </w:pPr>
            <w:r/>
            <w:r/>
          </w:p>
        </w:tc>
        <w:tc>
          <w:tcPr>
            <w:tcBorders>
              <w:bottom w:val="single" w:color="000000" w:sz="4" w:space="0"/>
              <w:right w:val="single" w:color="000000" w:sz="4" w:space="0"/>
            </w:tcBorders>
            <w:tcW w:w="1077" w:type="dxa"/>
            <w:vAlign w:val="center"/>
          </w:tcPr>
          <w:p>
            <w:pPr>
              <w:pStyle w:val="12385"/>
              <w:pBdr/>
              <w:spacing/>
              <w:ind/>
              <w:rPr/>
            </w:pPr>
            <w:r/>
            <w:r/>
          </w:p>
        </w:tc>
        <w:tc>
          <w:tcPr>
            <w:tcBorders>
              <w:bottom w:val="single" w:color="000000" w:sz="4" w:space="0"/>
              <w:right w:val="single" w:color="000000" w:sz="4" w:space="0"/>
            </w:tcBorders>
            <w:tcW w:w="1143" w:type="dxa"/>
            <w:vAlign w:val="center"/>
          </w:tcPr>
          <w:p>
            <w:pPr>
              <w:pStyle w:val="12385"/>
              <w:pBdr/>
              <w:spacing/>
              <w:ind/>
              <w:rPr/>
            </w:pPr>
            <w:r/>
            <w:r/>
          </w:p>
        </w:tc>
        <w:tc>
          <w:tcPr>
            <w:tcBorders>
              <w:bottom w:val="single" w:color="000000" w:sz="4" w:space="0"/>
              <w:right w:val="single" w:color="000000" w:sz="4" w:space="0"/>
            </w:tcBorders>
            <w:tcW w:w="2403" w:type="dxa"/>
            <w:vAlign w:val="center"/>
          </w:tcPr>
          <w:p>
            <w:pPr>
              <w:pStyle w:val="12385"/>
              <w:pBdr/>
              <w:spacing/>
              <w:ind/>
              <w:rPr/>
            </w:pPr>
            <w:r/>
            <w:r/>
          </w:p>
        </w:tc>
        <w:tc>
          <w:tcPr>
            <w:tcBorders>
              <w:bottom w:val="single" w:color="000000" w:sz="4" w:space="0"/>
              <w:right w:val="single" w:color="000000" w:sz="4" w:space="0"/>
            </w:tcBorders>
            <w:tcW w:w="1652" w:type="dxa"/>
            <w:vAlign w:val="center"/>
          </w:tcPr>
          <w:p>
            <w:pPr>
              <w:pStyle w:val="12385"/>
              <w:pBdr/>
              <w:spacing/>
              <w:ind/>
              <w:rPr/>
            </w:pPr>
            <w:r/>
            <w:r/>
          </w:p>
        </w:tc>
        <w:tc>
          <w:tcPr>
            <w:tcBorders>
              <w:bottom w:val="single" w:color="000000" w:sz="4" w:space="0"/>
              <w:right w:val="single" w:color="000000" w:sz="4" w:space="0"/>
            </w:tcBorders>
            <w:tcW w:w="2147"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2038" w:type="dxa"/>
            <w:vAlign w:val="center"/>
          </w:tcPr>
          <w:p>
            <w:pPr>
              <w:pStyle w:val="12385"/>
              <w:pBdr/>
              <w:spacing/>
              <w:ind/>
              <w:rPr/>
            </w:pPr>
            <w:r>
              <w:t xml:space="preserve">40</w:t>
            </w:r>
            <w:r/>
          </w:p>
        </w:tc>
        <w:tc>
          <w:tcPr>
            <w:tcBorders>
              <w:bottom w:val="single" w:color="000000" w:sz="4" w:space="0"/>
              <w:right w:val="single" w:color="000000" w:sz="4" w:space="0"/>
            </w:tcBorders>
            <w:tcW w:w="1667" w:type="dxa"/>
            <w:vAlign w:val="center"/>
          </w:tcPr>
          <w:p>
            <w:pPr>
              <w:pStyle w:val="12385"/>
              <w:pBdr/>
              <w:spacing/>
              <w:ind/>
              <w:rPr/>
            </w:pPr>
            <w:r>
              <w:t xml:space="preserve">21</w:t>
            </w:r>
            <w:r/>
          </w:p>
        </w:tc>
        <w:tc>
          <w:tcPr>
            <w:tcBorders>
              <w:bottom w:val="single" w:color="000000" w:sz="4" w:space="0"/>
              <w:right w:val="single" w:color="000000" w:sz="4" w:space="0"/>
            </w:tcBorders>
            <w:tcW w:w="2158" w:type="dxa"/>
            <w:vAlign w:val="center"/>
          </w:tcPr>
          <w:p>
            <w:pPr>
              <w:pStyle w:val="12385"/>
              <w:pBdr/>
              <w:spacing/>
              <w:ind/>
              <w:rPr/>
            </w:pPr>
            <w:r>
              <w:t xml:space="preserve">40</w:t>
            </w:r>
            <w:r/>
          </w:p>
        </w:tc>
        <w:tc>
          <w:tcPr>
            <w:tcBorders>
              <w:bottom w:val="single" w:color="000000" w:sz="4" w:space="0"/>
              <w:right w:val="single" w:color="000000" w:sz="4" w:space="0"/>
            </w:tcBorders>
            <w:tcW w:w="1077" w:type="dxa"/>
            <w:vAlign w:val="center"/>
          </w:tcPr>
          <w:p>
            <w:pPr>
              <w:pStyle w:val="12385"/>
              <w:pBdr/>
              <w:spacing/>
              <w:ind/>
              <w:rPr/>
            </w:pPr>
            <w:r>
              <w:t xml:space="preserve">1184</w:t>
            </w:r>
            <w:r/>
          </w:p>
        </w:tc>
        <w:tc>
          <w:tcPr>
            <w:tcBorders>
              <w:bottom w:val="single" w:color="000000" w:sz="4" w:space="0"/>
              <w:right w:val="single" w:color="000000" w:sz="4" w:space="0"/>
            </w:tcBorders>
            <w:tcW w:w="1143" w:type="dxa"/>
            <w:vAlign w:val="center"/>
          </w:tcPr>
          <w:p>
            <w:pPr>
              <w:pStyle w:val="12385"/>
              <w:pBdr/>
              <w:spacing/>
              <w:ind/>
              <w:rPr/>
            </w:pPr>
            <w:r>
              <w:t xml:space="preserve">7</w:t>
            </w:r>
            <w:r/>
          </w:p>
        </w:tc>
        <w:tc>
          <w:tcPr>
            <w:tcBorders>
              <w:bottom w:val="single" w:color="000000" w:sz="4" w:space="0"/>
              <w:right w:val="single" w:color="000000" w:sz="4" w:space="0"/>
            </w:tcBorders>
            <w:tcW w:w="2403" w:type="dxa"/>
            <w:vAlign w:val="center"/>
          </w:tcPr>
          <w:p>
            <w:pPr>
              <w:pStyle w:val="12385"/>
              <w:pBdr/>
              <w:spacing/>
              <w:ind/>
              <w:rPr/>
            </w:pPr>
            <w:r>
              <w:t xml:space="preserve">1,2560</w:t>
            </w:r>
            <w:r/>
          </w:p>
        </w:tc>
        <w:tc>
          <w:tcPr>
            <w:tcBorders>
              <w:bottom w:val="single" w:color="000000" w:sz="4" w:space="0"/>
              <w:right w:val="single" w:color="000000" w:sz="4" w:space="0"/>
            </w:tcBorders>
            <w:tcW w:w="1652" w:type="dxa"/>
            <w:vAlign w:val="center"/>
          </w:tcPr>
          <w:p>
            <w:pPr>
              <w:pStyle w:val="12385"/>
              <w:pBdr/>
              <w:spacing/>
              <w:ind/>
              <w:rPr/>
            </w:pPr>
            <w:r>
              <w:t xml:space="preserve">0,1005</w:t>
            </w:r>
            <w:r/>
          </w:p>
        </w:tc>
        <w:tc>
          <w:tcPr>
            <w:tcBorders>
              <w:bottom w:val="single" w:color="000000" w:sz="4" w:space="0"/>
              <w:right w:val="single" w:color="000000" w:sz="4" w:space="0"/>
            </w:tcBorders>
            <w:tcW w:w="2147" w:type="dxa"/>
            <w:vAlign w:val="center"/>
          </w:tcPr>
          <w:p>
            <w:pPr>
              <w:pStyle w:val="12385"/>
              <w:pBdr/>
              <w:spacing/>
              <w:ind/>
              <w:rPr/>
            </w:pPr>
            <w:r>
              <w:t xml:space="preserve">3,20</w:t>
            </w:r>
            <w:r/>
          </w:p>
        </w:tc>
      </w:tr>
      <w:tr>
        <w:trPr>
          <w:trHeight w:val="20"/>
        </w:trPr>
        <w:tc>
          <w:tcPr>
            <w:shd w:val="clear" w:color="000000" w:fill="ffffff"/>
            <w:tcBorders>
              <w:left w:val="single" w:color="000000" w:sz="4" w:space="0"/>
              <w:bottom w:val="single" w:color="000000" w:sz="4" w:space="0"/>
              <w:right w:val="single" w:color="000000" w:sz="4" w:space="0"/>
            </w:tcBorders>
            <w:tcW w:w="2038"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667" w:type="dxa"/>
            <w:vAlign w:val="center"/>
          </w:tcPr>
          <w:p>
            <w:pPr>
              <w:pStyle w:val="12385"/>
              <w:pBdr/>
              <w:spacing/>
              <w:ind/>
              <w:rPr/>
            </w:pPr>
            <w:r/>
            <w:r/>
          </w:p>
        </w:tc>
        <w:tc>
          <w:tcPr>
            <w:tcBorders>
              <w:bottom w:val="single" w:color="000000" w:sz="4" w:space="0"/>
              <w:right w:val="single" w:color="000000" w:sz="4" w:space="0"/>
            </w:tcBorders>
            <w:tcW w:w="2158" w:type="dxa"/>
            <w:vAlign w:val="center"/>
          </w:tcPr>
          <w:p>
            <w:pPr>
              <w:pStyle w:val="12385"/>
              <w:pBdr/>
              <w:spacing/>
              <w:ind/>
              <w:rPr/>
            </w:pPr>
            <w:r/>
            <w:r/>
          </w:p>
        </w:tc>
        <w:tc>
          <w:tcPr>
            <w:tcBorders>
              <w:bottom w:val="single" w:color="000000" w:sz="4" w:space="0"/>
              <w:right w:val="single" w:color="000000" w:sz="4" w:space="0"/>
            </w:tcBorders>
            <w:tcW w:w="1077" w:type="dxa"/>
            <w:vAlign w:val="center"/>
          </w:tcPr>
          <w:p>
            <w:pPr>
              <w:pStyle w:val="12385"/>
              <w:pBdr/>
              <w:spacing/>
              <w:ind/>
              <w:rPr/>
            </w:pPr>
            <w:r/>
            <w:r/>
          </w:p>
        </w:tc>
        <w:tc>
          <w:tcPr>
            <w:tcBorders>
              <w:bottom w:val="single" w:color="000000" w:sz="4" w:space="0"/>
              <w:right w:val="single" w:color="000000" w:sz="4" w:space="0"/>
            </w:tcBorders>
            <w:tcW w:w="1143" w:type="dxa"/>
            <w:vAlign w:val="center"/>
          </w:tcPr>
          <w:p>
            <w:pPr>
              <w:pStyle w:val="12385"/>
              <w:pBdr/>
              <w:spacing/>
              <w:ind/>
              <w:rPr/>
            </w:pPr>
            <w:r/>
            <w:r/>
          </w:p>
        </w:tc>
        <w:tc>
          <w:tcPr>
            <w:tcBorders>
              <w:bottom w:val="single" w:color="000000" w:sz="4" w:space="0"/>
              <w:right w:val="single" w:color="000000" w:sz="4" w:space="0"/>
            </w:tcBorders>
            <w:tcW w:w="2403" w:type="dxa"/>
            <w:vAlign w:val="center"/>
          </w:tcPr>
          <w:p>
            <w:pPr>
              <w:pStyle w:val="12385"/>
              <w:pBdr/>
              <w:spacing/>
              <w:ind/>
              <w:rPr/>
            </w:pPr>
            <w:r/>
            <w:r/>
          </w:p>
        </w:tc>
        <w:tc>
          <w:tcPr>
            <w:tcBorders>
              <w:bottom w:val="single" w:color="000000" w:sz="4" w:space="0"/>
              <w:right w:val="single" w:color="000000" w:sz="4" w:space="0"/>
            </w:tcBorders>
            <w:tcW w:w="1652" w:type="dxa"/>
            <w:vAlign w:val="center"/>
          </w:tcPr>
          <w:p>
            <w:pPr>
              <w:pStyle w:val="12385"/>
              <w:pBdr/>
              <w:spacing/>
              <w:ind/>
              <w:rPr/>
            </w:pPr>
            <w:r/>
            <w:r/>
          </w:p>
        </w:tc>
        <w:tc>
          <w:tcPr>
            <w:tcBorders>
              <w:bottom w:val="single" w:color="000000" w:sz="4" w:space="0"/>
              <w:right w:val="single" w:color="000000" w:sz="4" w:space="0"/>
            </w:tcBorders>
            <w:tcW w:w="2147"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2038" w:type="dxa"/>
            <w:vAlign w:val="center"/>
          </w:tcPr>
          <w:p>
            <w:pPr>
              <w:pStyle w:val="12385"/>
              <w:pBdr/>
              <w:spacing/>
              <w:ind/>
              <w:rPr/>
            </w:pPr>
            <w:r>
              <w:t xml:space="preserve">40</w:t>
            </w:r>
            <w:r/>
          </w:p>
        </w:tc>
        <w:tc>
          <w:tcPr>
            <w:tcBorders>
              <w:bottom w:val="single" w:color="000000" w:sz="4" w:space="0"/>
              <w:right w:val="single" w:color="000000" w:sz="4" w:space="0"/>
            </w:tcBorders>
            <w:tcW w:w="1667" w:type="dxa"/>
            <w:vAlign w:val="center"/>
          </w:tcPr>
          <w:p>
            <w:pPr>
              <w:pStyle w:val="12385"/>
              <w:pBdr/>
              <w:spacing/>
              <w:ind/>
              <w:rPr/>
            </w:pPr>
            <w:r>
              <w:t xml:space="preserve">21</w:t>
            </w:r>
            <w:r/>
          </w:p>
        </w:tc>
        <w:tc>
          <w:tcPr>
            <w:tcBorders>
              <w:bottom w:val="single" w:color="000000" w:sz="4" w:space="0"/>
              <w:right w:val="single" w:color="000000" w:sz="4" w:space="0"/>
            </w:tcBorders>
            <w:tcW w:w="2158" w:type="dxa"/>
            <w:vAlign w:val="center"/>
          </w:tcPr>
          <w:p>
            <w:pPr>
              <w:pStyle w:val="12385"/>
              <w:pBdr/>
              <w:spacing/>
              <w:ind/>
              <w:rPr/>
            </w:pPr>
            <w:r>
              <w:t xml:space="preserve">70</w:t>
            </w:r>
            <w:r/>
          </w:p>
        </w:tc>
        <w:tc>
          <w:tcPr>
            <w:tcBorders>
              <w:bottom w:val="single" w:color="000000" w:sz="4" w:space="0"/>
              <w:right w:val="single" w:color="000000" w:sz="4" w:space="0"/>
            </w:tcBorders>
            <w:tcW w:w="1077" w:type="dxa"/>
            <w:vAlign w:val="center"/>
          </w:tcPr>
          <w:p>
            <w:pPr>
              <w:pStyle w:val="12385"/>
              <w:pBdr/>
              <w:spacing/>
              <w:ind/>
              <w:rPr/>
            </w:pPr>
            <w:r>
              <w:t xml:space="preserve">2073</w:t>
            </w:r>
            <w:r/>
          </w:p>
        </w:tc>
        <w:tc>
          <w:tcPr>
            <w:tcBorders>
              <w:bottom w:val="single" w:color="000000" w:sz="4" w:space="0"/>
              <w:right w:val="single" w:color="000000" w:sz="4" w:space="0"/>
            </w:tcBorders>
            <w:tcW w:w="1143" w:type="dxa"/>
            <w:vAlign w:val="center"/>
          </w:tcPr>
          <w:p>
            <w:pPr>
              <w:pStyle w:val="12385"/>
              <w:pBdr/>
              <w:spacing/>
              <w:ind/>
              <w:rPr/>
            </w:pPr>
            <w:r>
              <w:t xml:space="preserve">13</w:t>
            </w:r>
            <w:r/>
          </w:p>
        </w:tc>
        <w:tc>
          <w:tcPr>
            <w:tcBorders>
              <w:bottom w:val="single" w:color="000000" w:sz="4" w:space="0"/>
              <w:right w:val="single" w:color="000000" w:sz="4" w:space="0"/>
            </w:tcBorders>
            <w:tcW w:w="2403" w:type="dxa"/>
            <w:vAlign w:val="center"/>
          </w:tcPr>
          <w:p>
            <w:pPr>
              <w:pStyle w:val="12385"/>
              <w:pBdr/>
              <w:spacing/>
              <w:ind/>
              <w:rPr/>
            </w:pPr>
            <w:r>
              <w:t xml:space="preserve">1,2560</w:t>
            </w:r>
            <w:r/>
          </w:p>
        </w:tc>
        <w:tc>
          <w:tcPr>
            <w:tcBorders>
              <w:bottom w:val="single" w:color="000000" w:sz="4" w:space="0"/>
              <w:right w:val="single" w:color="000000" w:sz="4" w:space="0"/>
            </w:tcBorders>
            <w:tcW w:w="1652" w:type="dxa"/>
            <w:vAlign w:val="center"/>
          </w:tcPr>
          <w:p>
            <w:pPr>
              <w:pStyle w:val="12385"/>
              <w:pBdr/>
              <w:spacing/>
              <w:ind/>
              <w:rPr/>
            </w:pPr>
            <w:r>
              <w:t xml:space="preserve">0,1758</w:t>
            </w:r>
            <w:r/>
          </w:p>
        </w:tc>
        <w:tc>
          <w:tcPr>
            <w:tcBorders>
              <w:bottom w:val="single" w:color="000000" w:sz="4" w:space="0"/>
              <w:right w:val="single" w:color="000000" w:sz="4" w:space="0"/>
            </w:tcBorders>
            <w:tcW w:w="2147" w:type="dxa"/>
            <w:vAlign w:val="center"/>
          </w:tcPr>
          <w:p>
            <w:pPr>
              <w:pStyle w:val="12385"/>
              <w:pBdr/>
              <w:spacing/>
              <w:ind/>
              <w:rPr/>
            </w:pPr>
            <w:r>
              <w:t xml:space="preserve">5,60</w:t>
            </w:r>
            <w:r/>
          </w:p>
        </w:tc>
      </w:tr>
      <w:tr>
        <w:trPr>
          <w:trHeight w:val="20"/>
        </w:trPr>
        <w:tc>
          <w:tcPr>
            <w:shd w:val="clear" w:color="000000" w:fill="ffffff"/>
            <w:tcBorders>
              <w:left w:val="single" w:color="000000" w:sz="4" w:space="0"/>
              <w:bottom w:val="single" w:color="000000" w:sz="4" w:space="0"/>
              <w:right w:val="single" w:color="000000" w:sz="4" w:space="0"/>
            </w:tcBorders>
            <w:tcW w:w="2038"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667" w:type="dxa"/>
            <w:vAlign w:val="center"/>
          </w:tcPr>
          <w:p>
            <w:pPr>
              <w:pStyle w:val="12385"/>
              <w:pBdr/>
              <w:spacing/>
              <w:ind/>
              <w:rPr/>
            </w:pPr>
            <w:r/>
            <w:r/>
          </w:p>
        </w:tc>
        <w:tc>
          <w:tcPr>
            <w:tcBorders>
              <w:bottom w:val="single" w:color="000000" w:sz="4" w:space="0"/>
              <w:right w:val="single" w:color="000000" w:sz="4" w:space="0"/>
            </w:tcBorders>
            <w:tcW w:w="2158" w:type="dxa"/>
            <w:vAlign w:val="center"/>
          </w:tcPr>
          <w:p>
            <w:pPr>
              <w:pStyle w:val="12385"/>
              <w:pBdr/>
              <w:spacing/>
              <w:ind/>
              <w:rPr/>
            </w:pPr>
            <w:r/>
            <w:r/>
          </w:p>
        </w:tc>
        <w:tc>
          <w:tcPr>
            <w:tcBorders>
              <w:bottom w:val="single" w:color="000000" w:sz="4" w:space="0"/>
              <w:right w:val="single" w:color="000000" w:sz="4" w:space="0"/>
            </w:tcBorders>
            <w:tcW w:w="1077" w:type="dxa"/>
            <w:vAlign w:val="center"/>
          </w:tcPr>
          <w:p>
            <w:pPr>
              <w:pStyle w:val="12385"/>
              <w:pBdr/>
              <w:spacing/>
              <w:ind/>
              <w:rPr/>
            </w:pPr>
            <w:r/>
            <w:r/>
          </w:p>
        </w:tc>
        <w:tc>
          <w:tcPr>
            <w:tcBorders>
              <w:bottom w:val="single" w:color="000000" w:sz="4" w:space="0"/>
              <w:right w:val="single" w:color="000000" w:sz="4" w:space="0"/>
            </w:tcBorders>
            <w:tcW w:w="1143" w:type="dxa"/>
            <w:vAlign w:val="center"/>
          </w:tcPr>
          <w:p>
            <w:pPr>
              <w:pStyle w:val="12385"/>
              <w:pBdr/>
              <w:spacing/>
              <w:ind/>
              <w:rPr/>
            </w:pPr>
            <w:r/>
            <w:r/>
          </w:p>
        </w:tc>
        <w:tc>
          <w:tcPr>
            <w:tcBorders>
              <w:bottom w:val="single" w:color="000000" w:sz="4" w:space="0"/>
              <w:right w:val="single" w:color="000000" w:sz="4" w:space="0"/>
            </w:tcBorders>
            <w:tcW w:w="2403" w:type="dxa"/>
            <w:vAlign w:val="center"/>
          </w:tcPr>
          <w:p>
            <w:pPr>
              <w:pStyle w:val="12385"/>
              <w:pBdr/>
              <w:spacing/>
              <w:ind/>
              <w:rPr/>
            </w:pPr>
            <w:r/>
            <w:r/>
          </w:p>
        </w:tc>
        <w:tc>
          <w:tcPr>
            <w:tcBorders>
              <w:bottom w:val="single" w:color="000000" w:sz="4" w:space="0"/>
              <w:right w:val="single" w:color="000000" w:sz="4" w:space="0"/>
            </w:tcBorders>
            <w:tcW w:w="1652" w:type="dxa"/>
            <w:vAlign w:val="center"/>
          </w:tcPr>
          <w:p>
            <w:pPr>
              <w:pStyle w:val="12385"/>
              <w:pBdr/>
              <w:spacing/>
              <w:ind/>
              <w:rPr/>
            </w:pPr>
            <w:r/>
            <w:r/>
          </w:p>
        </w:tc>
        <w:tc>
          <w:tcPr>
            <w:tcBorders>
              <w:bottom w:val="single" w:color="000000" w:sz="4" w:space="0"/>
              <w:right w:val="single" w:color="000000" w:sz="4" w:space="0"/>
            </w:tcBorders>
            <w:tcW w:w="2147"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2038" w:type="dxa"/>
            <w:vAlign w:val="center"/>
          </w:tcPr>
          <w:p>
            <w:pPr>
              <w:pStyle w:val="12385"/>
              <w:pBdr/>
              <w:spacing/>
              <w:ind/>
              <w:rPr/>
            </w:pPr>
            <w:r>
              <w:t xml:space="preserve">40</w:t>
            </w:r>
            <w:r/>
          </w:p>
        </w:tc>
        <w:tc>
          <w:tcPr>
            <w:tcBorders>
              <w:bottom w:val="single" w:color="000000" w:sz="4" w:space="0"/>
              <w:right w:val="single" w:color="000000" w:sz="4" w:space="0"/>
            </w:tcBorders>
            <w:tcW w:w="1667" w:type="dxa"/>
            <w:vAlign w:val="center"/>
          </w:tcPr>
          <w:p>
            <w:pPr>
              <w:pStyle w:val="12385"/>
              <w:pBdr/>
              <w:spacing/>
              <w:ind/>
              <w:rPr/>
            </w:pPr>
            <w:r>
              <w:t xml:space="preserve">21</w:t>
            </w:r>
            <w:r/>
          </w:p>
        </w:tc>
        <w:tc>
          <w:tcPr>
            <w:tcBorders>
              <w:bottom w:val="single" w:color="000000" w:sz="4" w:space="0"/>
              <w:right w:val="single" w:color="000000" w:sz="4" w:space="0"/>
            </w:tcBorders>
            <w:tcW w:w="2158" w:type="dxa"/>
            <w:vAlign w:val="center"/>
          </w:tcPr>
          <w:p>
            <w:pPr>
              <w:pStyle w:val="12385"/>
              <w:pBdr/>
              <w:spacing/>
              <w:ind/>
              <w:rPr/>
            </w:pPr>
            <w:r>
              <w:t xml:space="preserve">70</w:t>
            </w:r>
            <w:r/>
          </w:p>
        </w:tc>
        <w:tc>
          <w:tcPr>
            <w:tcBorders>
              <w:bottom w:val="single" w:color="000000" w:sz="4" w:space="0"/>
              <w:right w:val="single" w:color="000000" w:sz="4" w:space="0"/>
            </w:tcBorders>
            <w:tcW w:w="1077" w:type="dxa"/>
            <w:vAlign w:val="center"/>
          </w:tcPr>
          <w:p>
            <w:pPr>
              <w:pStyle w:val="12385"/>
              <w:pBdr/>
              <w:spacing/>
              <w:ind/>
              <w:rPr/>
            </w:pPr>
            <w:r>
              <w:t xml:space="preserve">2073</w:t>
            </w:r>
            <w:r/>
          </w:p>
        </w:tc>
        <w:tc>
          <w:tcPr>
            <w:tcBorders>
              <w:bottom w:val="single" w:color="000000" w:sz="4" w:space="0"/>
              <w:right w:val="single" w:color="000000" w:sz="4" w:space="0"/>
            </w:tcBorders>
            <w:tcW w:w="1143" w:type="dxa"/>
            <w:vAlign w:val="center"/>
          </w:tcPr>
          <w:p>
            <w:pPr>
              <w:pStyle w:val="12385"/>
              <w:pBdr/>
              <w:spacing/>
              <w:ind/>
              <w:rPr/>
            </w:pPr>
            <w:r>
              <w:t xml:space="preserve">13</w:t>
            </w:r>
            <w:r/>
          </w:p>
        </w:tc>
        <w:tc>
          <w:tcPr>
            <w:tcBorders>
              <w:bottom w:val="single" w:color="000000" w:sz="4" w:space="0"/>
              <w:right w:val="single" w:color="000000" w:sz="4" w:space="0"/>
            </w:tcBorders>
            <w:tcW w:w="2403" w:type="dxa"/>
            <w:vAlign w:val="center"/>
          </w:tcPr>
          <w:p>
            <w:pPr>
              <w:pStyle w:val="12385"/>
              <w:pBdr/>
              <w:spacing/>
              <w:ind/>
              <w:rPr/>
            </w:pPr>
            <w:r>
              <w:t xml:space="preserve">1,2560</w:t>
            </w:r>
            <w:r/>
          </w:p>
        </w:tc>
        <w:tc>
          <w:tcPr>
            <w:tcBorders>
              <w:bottom w:val="single" w:color="000000" w:sz="4" w:space="0"/>
              <w:right w:val="single" w:color="000000" w:sz="4" w:space="0"/>
            </w:tcBorders>
            <w:tcW w:w="1652" w:type="dxa"/>
            <w:vAlign w:val="center"/>
          </w:tcPr>
          <w:p>
            <w:pPr>
              <w:pStyle w:val="12385"/>
              <w:pBdr/>
              <w:spacing/>
              <w:ind/>
              <w:rPr/>
            </w:pPr>
            <w:r>
              <w:t xml:space="preserve">0,1758</w:t>
            </w:r>
            <w:r/>
          </w:p>
        </w:tc>
        <w:tc>
          <w:tcPr>
            <w:tcBorders>
              <w:bottom w:val="single" w:color="000000" w:sz="4" w:space="0"/>
              <w:right w:val="single" w:color="000000" w:sz="4" w:space="0"/>
            </w:tcBorders>
            <w:tcW w:w="2147" w:type="dxa"/>
            <w:vAlign w:val="center"/>
          </w:tcPr>
          <w:p>
            <w:pPr>
              <w:pStyle w:val="12385"/>
              <w:pBdr/>
              <w:spacing/>
              <w:ind/>
              <w:rPr/>
            </w:pPr>
            <w:r>
              <w:t xml:space="preserve">5,60</w:t>
            </w:r>
            <w:r/>
          </w:p>
        </w:tc>
      </w:tr>
    </w:tbl>
    <w:p>
      <w:pPr>
        <w:pBdr/>
        <w:spacing/>
        <w:ind/>
        <w:rPr/>
        <w:sectPr>
          <w:headerReference w:type="default" r:id="rId36"/>
          <w:headerReference w:type="first" r:id="rId37"/>
          <w:footerReference w:type="default" r:id="rId302"/>
          <w:footerReference w:type="first" r:id="rId303"/>
          <w:footnotePr/>
          <w:endnotePr/>
          <w:type w:val="nextPage"/>
          <w:pgSz w:h="11906" w:orient="landscape" w:w="16838"/>
          <w:pgMar w:top="1134" w:right="850" w:bottom="1134" w:left="1701" w:header="567" w:footer="454" w:gutter="0"/>
          <w:cols w:num="1" w:sep="0" w:space="1701" w:equalWidth="1"/>
        </w:sectPr>
      </w:pPr>
      <w:r/>
      <w:r/>
    </w:p>
    <w:p>
      <w:pPr>
        <w:pStyle w:val="10534"/>
        <w:numPr>
          <w:ilvl w:val="0"/>
          <w:numId w:val="13"/>
        </w:numPr>
        <w:pBdr/>
        <w:spacing/>
        <w:ind/>
        <w:rPr>
          <w:spacing w:val="0"/>
        </w:rPr>
      </w:pPr>
      <w:r/>
      <w:bookmarkStart w:id="323" w:name="_Toc166767177"/>
      <w:r/>
      <w:bookmarkStart w:id="324" w:name="_Toc198483517"/>
      <w:r/>
      <w:bookmarkStart w:id="325" w:name="_Toc78674724"/>
      <w:r/>
      <w:bookmarkStart w:id="326" w:name="_Toc84970961"/>
      <w:r>
        <w:rPr>
          <w:spacing w:val="0"/>
        </w:rPr>
        <w:t xml:space="preserve">Зоны действия источников тепловой энергии</w:t>
      </w:r>
      <w:bookmarkEnd w:id="323"/>
      <w:r/>
      <w:bookmarkEnd w:id="324"/>
      <w:r/>
      <w:bookmarkEnd w:id="325"/>
      <w:r/>
      <w:bookmarkEnd w:id="326"/>
      <w:r/>
      <w:r>
        <w:rPr>
          <w:spacing w:val="0"/>
        </w:rPr>
      </w:r>
    </w:p>
    <w:p>
      <w:pPr>
        <w:pStyle w:val="12960"/>
        <w:pBdr/>
        <w:spacing/>
        <w:ind/>
        <w:rPr/>
      </w:pPr>
      <w:r>
        <w:t xml:space="preserve">Генеральным планом предусмотрены следующие зоны:</w:t>
      </w:r>
      <w:r/>
    </w:p>
    <w:p>
      <w:pPr>
        <w:pStyle w:val="13832"/>
        <w:numPr>
          <w:ilvl w:val="0"/>
          <w:numId w:val="61"/>
        </w:numPr>
        <w:pBdr/>
        <w:spacing/>
        <w:ind w:hanging="284" w:left="1135"/>
        <w:rPr/>
      </w:pPr>
      <w:r>
        <w:t xml:space="preserve">жилые;</w:t>
      </w:r>
      <w:r/>
    </w:p>
    <w:p>
      <w:pPr>
        <w:pStyle w:val="13832"/>
        <w:numPr>
          <w:ilvl w:val="0"/>
          <w:numId w:val="61"/>
        </w:numPr>
        <w:pBdr/>
        <w:spacing/>
        <w:ind w:hanging="284" w:left="1135"/>
        <w:rPr/>
      </w:pPr>
      <w:r>
        <w:t xml:space="preserve">общественно-деловые;</w:t>
      </w:r>
      <w:r/>
    </w:p>
    <w:p>
      <w:pPr>
        <w:pStyle w:val="13832"/>
        <w:numPr>
          <w:ilvl w:val="0"/>
          <w:numId w:val="61"/>
        </w:numPr>
        <w:pBdr/>
        <w:spacing/>
        <w:ind w:hanging="284" w:left="1135"/>
        <w:rPr/>
      </w:pPr>
      <w:r>
        <w:t xml:space="preserve">производственные;</w:t>
      </w:r>
      <w:r/>
    </w:p>
    <w:p>
      <w:pPr>
        <w:pStyle w:val="13832"/>
        <w:numPr>
          <w:ilvl w:val="0"/>
          <w:numId w:val="61"/>
        </w:numPr>
        <w:pBdr/>
        <w:spacing/>
        <w:ind w:hanging="284" w:left="1135"/>
        <w:rPr/>
      </w:pPr>
      <w:r>
        <w:t xml:space="preserve">рекреационные;</w:t>
      </w:r>
      <w:r/>
    </w:p>
    <w:p>
      <w:pPr>
        <w:pStyle w:val="13832"/>
        <w:numPr>
          <w:ilvl w:val="0"/>
          <w:numId w:val="61"/>
        </w:numPr>
        <w:pBdr/>
        <w:spacing/>
        <w:ind w:hanging="284" w:left="1135"/>
        <w:rPr/>
      </w:pPr>
      <w:r>
        <w:t xml:space="preserve">зоны инженерной и транспортной инфраструктуры.</w:t>
      </w:r>
      <w:r/>
    </w:p>
    <w:p>
      <w:pPr>
        <w:pStyle w:val="12960"/>
        <w:pBdr/>
        <w:spacing/>
        <w:ind/>
        <w:rPr/>
      </w:pPr>
      <w:r>
        <w:t xml:space="preserve">Центральное теплоснабжение охватывает следующие зоны муниципального образования:</w:t>
      </w:r>
      <w:r/>
    </w:p>
    <w:p>
      <w:pPr>
        <w:pStyle w:val="13832"/>
        <w:numPr>
          <w:ilvl w:val="0"/>
          <w:numId w:val="61"/>
        </w:numPr>
        <w:pBdr/>
        <w:spacing/>
        <w:ind w:hanging="284" w:left="1135"/>
        <w:rPr/>
      </w:pPr>
      <w:r>
        <w:t xml:space="preserve">жилые;</w:t>
      </w:r>
      <w:r/>
    </w:p>
    <w:p>
      <w:pPr>
        <w:pStyle w:val="13832"/>
        <w:numPr>
          <w:ilvl w:val="0"/>
          <w:numId w:val="61"/>
        </w:numPr>
        <w:pBdr/>
        <w:spacing/>
        <w:ind w:hanging="284" w:left="1135"/>
        <w:rPr/>
      </w:pPr>
      <w:r>
        <w:t xml:space="preserve">общественно-деловые;</w:t>
      </w:r>
      <w:r/>
    </w:p>
    <w:p>
      <w:pPr>
        <w:pStyle w:val="12960"/>
        <w:pBdr/>
        <w:spacing/>
        <w:ind/>
        <w:rPr/>
      </w:pPr>
      <w:r>
        <w:t xml:space="preserve">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r/>
    </w:p>
    <w:p>
      <w:pPr>
        <w:pStyle w:val="12960"/>
        <w:pBdr/>
        <w:spacing/>
        <w:ind/>
        <w:rPr/>
      </w:pPr>
      <w:r>
        <w:t xml:space="preserve">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r/>
    </w:p>
    <w:p>
      <w:pPr>
        <w:pStyle w:val="12960"/>
        <w:pBdr/>
        <w:spacing/>
        <w:ind/>
        <w:rPr/>
      </w:pPr>
      <w:r>
        <w:t xml:space="preserve">В состав общественно-деловых зон входят жилые территории,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r/>
    </w:p>
    <w:p>
      <w:pPr>
        <w:pStyle w:val="12960"/>
        <w:pBdr/>
        <w:spacing/>
        <w:ind/>
        <w:rPr/>
      </w:pPr>
      <w:r>
        <w:t xml:space="preserve">На территории муниципального образования Астаповское по состоянию на 01.01.2026г. одна теплоснабжающая организация, производящие и транспортирующие тепловую энергию потребителям: </w:t>
      </w:r>
      <w:r/>
    </w:p>
    <w:p>
      <w:pPr>
        <w:pStyle w:val="13832"/>
        <w:numPr>
          <w:ilvl w:val="0"/>
          <w:numId w:val="61"/>
        </w:numPr>
        <w:pBdr/>
        <w:spacing/>
        <w:ind w:hanging="284" w:left="1135"/>
        <w:rPr/>
      </w:pPr>
      <w:r>
        <w:t xml:space="preserve">ООО «АГК». </w:t>
      </w:r>
      <w:r/>
    </w:p>
    <w:p>
      <w:pPr>
        <w:pStyle w:val="12960"/>
        <w:pBdr/>
        <w:spacing/>
        <w:ind/>
        <w:rPr>
          <w:color w:val="auto"/>
        </w:rPr>
      </w:pPr>
      <w:r>
        <w:rPr>
          <w:color w:val="auto"/>
        </w:rPr>
        <w:t xml:space="preserve">Система централизованного теплоснабжения (СЦТ) муниципального образования состоит из 1 секционированной зоны действия (эксплуатационной ответственности) теплоснабжающих и теплосетевых организаций, представляет собой:</w:t>
      </w:r>
      <w:r>
        <w:rPr>
          <w:color w:val="auto"/>
        </w:rPr>
      </w:r>
    </w:p>
    <w:p>
      <w:pPr>
        <w:pStyle w:val="13832"/>
        <w:numPr>
          <w:ilvl w:val="0"/>
          <w:numId w:val="61"/>
        </w:numPr>
        <w:pBdr/>
        <w:spacing/>
        <w:ind w:hanging="284" w:left="1135"/>
        <w:rPr>
          <w:rFonts w:eastAsia="Calibri"/>
        </w:rPr>
      </w:pPr>
      <w:r>
        <w:rPr>
          <w:rFonts w:eastAsia="Calibri"/>
        </w:rPr>
        <w:t xml:space="preserve">СЦТ 1 - зона действия ООО «АГК». </w:t>
      </w:r>
      <w:r>
        <w:rPr>
          <w:rFonts w:eastAsia="Calibri"/>
        </w:rPr>
      </w:r>
    </w:p>
    <w:p>
      <w:pPr>
        <w:pStyle w:val="12960"/>
        <w:pBdr/>
        <w:spacing/>
        <w:ind/>
        <w:rPr/>
      </w:pPr>
      <w:r>
        <w:t xml:space="preserve">Поставку (транспортировку) тепловой энергии от котельной до потребителей обеспечивают ООО «АГК»</w:t>
      </w:r>
      <w:r/>
    </w:p>
    <w:p>
      <w:pPr>
        <w:pStyle w:val="12960"/>
        <w:pBdr/>
        <w:spacing/>
        <w:ind/>
        <w:rPr/>
      </w:pPr>
      <w:r>
        <w:t xml:space="preserve">Система централизованного теплоснабжения (СЦТ) муниципального образования состоит из 3 технологических зон:</w:t>
      </w:r>
      <w:r/>
    </w:p>
    <w:p>
      <w:pPr>
        <w:pStyle w:val="13832"/>
        <w:numPr>
          <w:ilvl w:val="0"/>
          <w:numId w:val="61"/>
        </w:numPr>
        <w:pBdr/>
        <w:spacing/>
        <w:ind w:hanging="284" w:left="1135"/>
        <w:rPr/>
      </w:pPr>
      <w:r>
        <w:t xml:space="preserve">СЦТ 1 - Зона действия источника тепловой энергии Котельная №5 д. Ясенки;</w:t>
      </w:r>
      <w:r/>
    </w:p>
    <w:p>
      <w:pPr>
        <w:pStyle w:val="13832"/>
        <w:numPr>
          <w:ilvl w:val="0"/>
          <w:numId w:val="61"/>
        </w:numPr>
        <w:pBdr/>
        <w:spacing/>
        <w:ind w:hanging="284" w:left="1135"/>
        <w:rPr/>
      </w:pPr>
      <w:r>
        <w:t xml:space="preserve">СЦТ 2 - Зона действия источника тепловой энергии Котельная №6 п. Первомайский;</w:t>
      </w:r>
      <w:r/>
    </w:p>
    <w:p>
      <w:pPr>
        <w:pStyle w:val="13832"/>
        <w:numPr>
          <w:ilvl w:val="0"/>
          <w:numId w:val="61"/>
        </w:numPr>
        <w:pBdr/>
        <w:spacing/>
        <w:ind w:hanging="284" w:left="1135"/>
        <w:rPr/>
      </w:pPr>
      <w:r>
        <w:t xml:space="preserve">СЦТ 3 - Зона действия источника тепловой энергии Котельная №7 с. Белый Колодезь.</w:t>
      </w:r>
      <w:r/>
    </w:p>
    <w:p>
      <w:pPr>
        <w:pStyle w:val="12960"/>
        <w:pBdr/>
        <w:spacing/>
        <w:ind/>
        <w:rPr>
          <w:b/>
          <w:bCs w:val="0"/>
        </w:rPr>
      </w:pPr>
      <w:r>
        <w:rPr>
          <w:b/>
          <w:bCs w:val="0"/>
        </w:rPr>
        <w:t xml:space="preserve">Таблица 1.4.1 - Список объектов, потребляющих тепловую энергию, присоединенных к котельным по юридическим лицам</w:t>
      </w:r>
      <w:r>
        <w:rPr>
          <w:b/>
          <w:bCs w:val="0"/>
        </w:rPr>
      </w:r>
    </w:p>
    <w:tbl>
      <w:tblPr>
        <w:jc w:val="center"/>
        <w:tblInd w:w="0" w:type="dxa"/>
        <w:tblW w:w="5000" w:type="pct"/>
        <w:tblCellMar>
          <w:left w:w="28" w:type="dxa"/>
          <w:top w:w="0" w:type="dxa"/>
          <w:right w:w="28" w:type="dxa"/>
          <w:bottom w:w="0" w:type="dxa"/>
        </w:tblCellMar>
        <w:tblBorders/>
        <w:tblLayout w:type="fixed"/>
        <w:tblLook w:val="04A0" w:firstRow="1" w:lastRow="0" w:firstColumn="1" w:lastColumn="0" w:noHBand="0" w:noVBand="1"/>
      </w:tblPr>
      <w:tblGrid>
        <w:gridCol w:w="1654"/>
        <w:gridCol w:w="3361"/>
        <w:gridCol w:w="1620"/>
        <w:gridCol w:w="1240"/>
        <w:gridCol w:w="1040"/>
        <w:gridCol w:w="439"/>
      </w:tblGrid>
      <w:t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54" w:type="dxa"/>
            <w:vAlign w:val="center"/>
            <w:vMerge w:val="restart"/>
          </w:tcPr>
          <w:p>
            <w:pPr>
              <w:pStyle w:val="12385"/>
              <w:pBdr/>
              <w:spacing/>
              <w:ind/>
              <w:rPr/>
            </w:pPr>
            <w:r>
              <w:t xml:space="preserve">Наименование котельной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361" w:type="dxa"/>
            <w:vAlign w:val="center"/>
            <w:vMerge w:val="restart"/>
          </w:tcPr>
          <w:p>
            <w:pPr>
              <w:pStyle w:val="12385"/>
              <w:pBdr/>
              <w:spacing/>
              <w:ind/>
              <w:rPr/>
            </w:pPr>
            <w:r>
              <w:t xml:space="preserve">Наименование объекта, адресная привязка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620" w:type="dxa"/>
            <w:vAlign w:val="center"/>
            <w:vMerge w:val="restart"/>
          </w:tcPr>
          <w:p>
            <w:pPr>
              <w:pStyle w:val="12385"/>
              <w:pBdr/>
              <w:spacing/>
              <w:ind/>
              <w:rPr/>
            </w:pPr>
            <w:r>
              <w:t xml:space="preserve">Система теплоснабжения (Закрытая \открытая)</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40" w:type="dxa"/>
            <w:vAlign w:val="center"/>
            <w:vMerge w:val="restart"/>
          </w:tcPr>
          <w:p>
            <w:pPr>
              <w:pStyle w:val="12385"/>
              <w:pBdr/>
              <w:spacing/>
              <w:ind/>
              <w:rPr/>
            </w:pPr>
            <w:r>
              <w:t xml:space="preserve">Строительная площадь, м</w:t>
            </w:r>
            <w:r>
              <w:rPr>
                <w:vertAlign w:val="superscript"/>
              </w:rPr>
              <w:t xml:space="preserve">2</w:t>
            </w: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79" w:type="dxa"/>
            <w:vAlign w:val="center"/>
          </w:tcPr>
          <w:p>
            <w:pPr>
              <w:pStyle w:val="12385"/>
              <w:pBdr/>
              <w:spacing/>
              <w:ind/>
              <w:rPr/>
            </w:pPr>
            <w:r>
              <w:t xml:space="preserve">Расчетная тепловая нагрузка, Гкал/год</w:t>
            </w:r>
            <w:r/>
          </w:p>
        </w:tc>
      </w:tr>
      <w:t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54" w:type="dxa"/>
            <w:vAlign w:val="center"/>
            <w:vMerge w:val="continue"/>
          </w:tcPr>
          <w:p>
            <w:pPr>
              <w:pStyle w:val="12385"/>
              <w:pBdr/>
              <w:spacing/>
              <w:ind/>
              <w:rPr/>
            </w:pPr>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361" w:type="dxa"/>
            <w:vAlign w:val="center"/>
            <w:vMerge w:val="continue"/>
          </w:tcPr>
          <w:p>
            <w:pPr>
              <w:pStyle w:val="12385"/>
              <w:pBdr/>
              <w:spacing/>
              <w:ind/>
              <w:rPr/>
            </w:pPr>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620" w:type="dxa"/>
            <w:vAlign w:val="center"/>
            <w:vMerge w:val="continue"/>
          </w:tcPr>
          <w:p>
            <w:pPr>
              <w:pStyle w:val="12385"/>
              <w:pBdr/>
              <w:spacing/>
              <w:ind/>
              <w:rPr/>
            </w:pPr>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40" w:type="dxa"/>
            <w:vAlign w:val="center"/>
            <w:vMerge w:val="continue"/>
          </w:tcPr>
          <w:p>
            <w:pPr>
              <w:pStyle w:val="12385"/>
              <w:pBdr/>
              <w:spacing/>
              <w:ind/>
              <w:rPr/>
            </w:pPr>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Отопление, вентиляция</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39" w:type="dxa"/>
            <w:vAlign w:val="center"/>
          </w:tcPr>
          <w:p>
            <w:pPr>
              <w:pStyle w:val="12385"/>
              <w:pBdr/>
              <w:spacing/>
              <w:ind/>
              <w:rPr/>
            </w:pPr>
            <w:r>
              <w:t xml:space="preserve">ГВС</w:t>
            </w:r>
            <w:r/>
          </w:p>
        </w:tc>
      </w:tr>
      <w:tr>
        <w:trPr/>
        <w:tc>
          <w:tcPr>
            <w:tcBorders>
              <w:top w:val="single" w:color="000000" w:sz="4" w:space="0"/>
              <w:left w:val="single" w:color="000000" w:sz="4" w:space="0"/>
              <w:bottom w:val="single" w:color="000000" w:sz="4" w:space="0"/>
              <w:right w:val="single" w:color="000000" w:sz="4" w:space="0"/>
            </w:tcBorders>
            <w:tcW w:w="1654" w:type="dxa"/>
            <w:vAlign w:val="center"/>
          </w:tcPr>
          <w:p>
            <w:pPr>
              <w:pStyle w:val="12385"/>
              <w:pBdr/>
              <w:spacing/>
              <w:ind/>
              <w:rPr/>
            </w:pPr>
            <w:r>
              <w:t xml:space="preserve">Котельная Арсеньевский район пос. Первомайский</w:t>
            </w:r>
            <w:r/>
          </w:p>
        </w:tc>
        <w:tc>
          <w:tcPr>
            <w:tcBorders>
              <w:top w:val="single" w:color="000000" w:sz="4" w:space="0"/>
              <w:left w:val="single" w:color="000000" w:sz="4" w:space="0"/>
              <w:bottom w:val="single" w:color="000000" w:sz="4" w:space="0"/>
              <w:right w:val="single" w:color="000000" w:sz="4" w:space="0"/>
            </w:tcBorders>
            <w:tcW w:w="3361" w:type="dxa"/>
            <w:vAlign w:val="center"/>
          </w:tcPr>
          <w:p>
            <w:pPr>
              <w:pStyle w:val="12385"/>
              <w:pBdr/>
              <w:spacing/>
              <w:ind/>
              <w:rPr/>
            </w:pPr>
            <w:r>
              <w:fldChar w:fldCharType="begin"/>
            </w:r>
            <w:r>
              <w:rPr>
                <w:shd w:val="clear" w:color="auto" w:fill="auto"/>
              </w:rPr>
              <w:instrText xml:space="preserve">LINK Excel.Sheet.12 "C:\\Users\\АДО\\Desktop\\Отчет по Юрикам за 2025 год.xlsx" Лист_1!R16C2:R16C8 \a \f 4 \h  \* MERGEFORMAT</w:instrText>
            </w:r>
            <w:r>
              <w:rPr>
                <w:shd w:val="clear" w:color="auto" w:fill="auto"/>
              </w:rPr>
              <w:fldChar w:fldCharType="separate"/>
            </w:r>
            <w:r>
              <w:rPr>
                <w:shd w:val="clear" w:color="auto" w:fill="auto"/>
              </w:rPr>
              <w:t xml:space="preserve"> МБОУ Первомайская СОШ Арсеньевский район пос.Первомайский </w:t>
            </w:r>
            <w:r>
              <w:rPr>
                <w:shd w:val="clear" w:color="auto" w:fill="auto"/>
              </w:rPr>
              <w:fldChar w:fldCharType="end"/>
            </w:r>
            <w:r>
              <w:t xml:space="preserve"> ул. Школьная д.3</w:t>
            </w: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620" w:type="dxa"/>
            <w:vAlign w:val="center"/>
          </w:tcPr>
          <w:p>
            <w:pPr>
              <w:pStyle w:val="12385"/>
              <w:pBdr/>
              <w:spacing/>
              <w:ind/>
              <w:rPr/>
            </w:pPr>
            <w:r>
              <w:t xml:space="preserve">Закрытая</w:t>
            </w:r>
            <w:r/>
          </w:p>
        </w:tc>
        <w:tc>
          <w:tcPr>
            <w:tcBorders>
              <w:top w:val="single" w:color="000000" w:sz="4" w:space="0"/>
              <w:left w:val="single" w:color="000000" w:sz="4" w:space="0"/>
              <w:bottom w:val="single" w:color="000000" w:sz="4" w:space="0"/>
              <w:right w:val="single" w:color="000000" w:sz="4" w:space="0"/>
            </w:tcBorders>
            <w:tcW w:w="1240"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290,646</w:t>
            </w:r>
            <w:r/>
          </w:p>
        </w:tc>
        <w:tc>
          <w:tcPr>
            <w:tcBorders>
              <w:top w:val="single" w:color="000000" w:sz="4" w:space="0"/>
              <w:left w:val="single" w:color="000000" w:sz="4" w:space="0"/>
              <w:bottom w:val="single" w:color="000000" w:sz="4" w:space="0"/>
              <w:right w:val="single" w:color="000000" w:sz="4" w:space="0"/>
            </w:tcBorders>
            <w:tcW w:w="439" w:type="dxa"/>
            <w:vAlign w:val="center"/>
          </w:tcPr>
          <w:p>
            <w:pPr>
              <w:pStyle w:val="12385"/>
              <w:pBdr/>
              <w:spacing/>
              <w:ind/>
              <w:rPr/>
            </w:pPr>
            <w:r>
              <w:t xml:space="preserve">Нет</w:t>
            </w:r>
            <w:r/>
          </w:p>
        </w:tc>
      </w:tr>
      <w:tr>
        <w:trPr/>
        <w:tc>
          <w:tcPr>
            <w:tcBorders>
              <w:top w:val="single" w:color="000000" w:sz="4" w:space="0"/>
              <w:left w:val="single" w:color="000000" w:sz="4" w:space="0"/>
              <w:bottom w:val="single" w:color="000000" w:sz="4" w:space="0"/>
              <w:right w:val="single" w:color="000000" w:sz="4" w:space="0"/>
            </w:tcBorders>
            <w:tcW w:w="1654" w:type="dxa"/>
            <w:vAlign w:val="center"/>
          </w:tcPr>
          <w:p>
            <w:pPr>
              <w:pStyle w:val="12385"/>
              <w:pBdr/>
              <w:spacing/>
              <w:ind/>
              <w:rPr/>
            </w:pPr>
            <w:r>
              <w:t xml:space="preserve">Котельная Арсеньевский район д.Ясенки</w:t>
            </w:r>
            <w:r/>
          </w:p>
        </w:tc>
        <w:tc>
          <w:tcPr>
            <w:tcBorders>
              <w:top w:val="single" w:color="000000" w:sz="4" w:space="0"/>
              <w:left w:val="single" w:color="000000" w:sz="4" w:space="0"/>
              <w:bottom w:val="single" w:color="000000" w:sz="4" w:space="0"/>
              <w:right w:val="single" w:color="000000" w:sz="4" w:space="0"/>
            </w:tcBorders>
            <w:tcW w:w="3361" w:type="dxa"/>
            <w:vAlign w:val="center"/>
          </w:tcPr>
          <w:p>
            <w:pPr>
              <w:pStyle w:val="12385"/>
              <w:pBdr/>
              <w:spacing/>
              <w:ind/>
              <w:rPr/>
            </w:pPr>
            <w:r>
              <w:t xml:space="preserve">Ясенковская ООШ Арсеньевский район д. Ясенки ул.Центральная д.24</w:t>
            </w: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620" w:type="dxa"/>
            <w:vAlign w:val="center"/>
          </w:tcPr>
          <w:p>
            <w:pPr>
              <w:pStyle w:val="12385"/>
              <w:pBdr/>
              <w:spacing/>
              <w:ind/>
              <w:rPr/>
            </w:pPr>
            <w:r>
              <w:t xml:space="preserve">Закрытая</w:t>
            </w:r>
            <w:r/>
          </w:p>
        </w:tc>
        <w:tc>
          <w:tcPr>
            <w:tcBorders>
              <w:top w:val="single" w:color="000000" w:sz="4" w:space="0"/>
              <w:left w:val="single" w:color="000000" w:sz="4" w:space="0"/>
              <w:bottom w:val="single" w:color="000000" w:sz="4" w:space="0"/>
              <w:right w:val="single" w:color="000000" w:sz="4" w:space="0"/>
            </w:tcBorders>
            <w:tcW w:w="1240"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108,097</w:t>
            </w:r>
            <w:r/>
          </w:p>
        </w:tc>
        <w:tc>
          <w:tcPr>
            <w:tcBorders>
              <w:top w:val="single" w:color="000000" w:sz="4" w:space="0"/>
              <w:left w:val="single" w:color="000000" w:sz="4" w:space="0"/>
              <w:bottom w:val="single" w:color="000000" w:sz="4" w:space="0"/>
              <w:right w:val="single" w:color="000000" w:sz="4" w:space="0"/>
            </w:tcBorders>
            <w:tcW w:w="439" w:type="dxa"/>
            <w:vAlign w:val="center"/>
          </w:tcPr>
          <w:p>
            <w:pPr>
              <w:pStyle w:val="12385"/>
              <w:pBdr/>
              <w:spacing/>
              <w:ind/>
              <w:rPr/>
            </w:pPr>
            <w:r>
              <w:t xml:space="preserve">Нет</w:t>
            </w:r>
            <w:r/>
          </w:p>
        </w:tc>
      </w:tr>
      <w:tr>
        <w:trPr/>
        <w:tc>
          <w:tcPr>
            <w:tcBorders>
              <w:top w:val="single" w:color="000000" w:sz="4" w:space="0"/>
              <w:left w:val="single" w:color="000000" w:sz="4" w:space="0"/>
              <w:bottom w:val="single" w:color="000000" w:sz="4" w:space="0"/>
              <w:right w:val="single" w:color="000000" w:sz="4" w:space="0"/>
            </w:tcBorders>
            <w:tcW w:w="1654" w:type="dxa"/>
            <w:vAlign w:val="center"/>
          </w:tcPr>
          <w:p>
            <w:pPr>
              <w:pStyle w:val="12385"/>
              <w:pBdr/>
              <w:spacing/>
              <w:ind/>
              <w:rPr/>
            </w:pPr>
            <w:r>
              <w:t xml:space="preserve">Котельная Арсеньевский район с.Б.Колодезь</w:t>
            </w:r>
            <w:r/>
          </w:p>
        </w:tc>
        <w:tc>
          <w:tcPr>
            <w:tcBorders>
              <w:top w:val="single" w:color="000000" w:sz="4" w:space="0"/>
              <w:left w:val="single" w:color="000000" w:sz="4" w:space="0"/>
              <w:bottom w:val="single" w:color="000000" w:sz="4" w:space="0"/>
              <w:right w:val="single" w:color="000000" w:sz="4" w:space="0"/>
            </w:tcBorders>
            <w:tcW w:w="3361" w:type="dxa"/>
            <w:vAlign w:val="center"/>
          </w:tcPr>
          <w:p>
            <w:pPr>
              <w:pStyle w:val="12385"/>
              <w:pBdr/>
              <w:spacing/>
              <w:ind/>
              <w:rPr/>
            </w:pPr>
            <w:r>
              <w:t xml:space="preserve">Белоколодезская школа</w:t>
              <w:tab/>
              <w:t xml:space="preserve">Арсеньевский район с. Белый Колодезь ул.Школьная д.24</w:t>
            </w: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620" w:type="dxa"/>
            <w:vAlign w:val="center"/>
          </w:tcPr>
          <w:p>
            <w:pPr>
              <w:pStyle w:val="12385"/>
              <w:pBdr/>
              <w:spacing/>
              <w:ind/>
              <w:rPr/>
            </w:pPr>
            <w:r>
              <w:t xml:space="preserve">Закрытая</w:t>
            </w:r>
            <w:r/>
          </w:p>
        </w:tc>
        <w:tc>
          <w:tcPr>
            <w:tcBorders>
              <w:top w:val="single" w:color="000000" w:sz="4" w:space="0"/>
              <w:left w:val="single" w:color="000000" w:sz="4" w:space="0"/>
              <w:bottom w:val="single" w:color="000000" w:sz="4" w:space="0"/>
              <w:right w:val="single" w:color="000000" w:sz="4" w:space="0"/>
            </w:tcBorders>
            <w:tcW w:w="1240"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040" w:type="dxa"/>
            <w:vAlign w:val="center"/>
          </w:tcPr>
          <w:p>
            <w:pPr>
              <w:pStyle w:val="12385"/>
              <w:pBdr/>
              <w:spacing/>
              <w:ind/>
              <w:rPr/>
            </w:pPr>
            <w:r>
              <w:t xml:space="preserve">148,244</w:t>
            </w:r>
            <w:r/>
          </w:p>
        </w:tc>
        <w:tc>
          <w:tcPr>
            <w:tcBorders>
              <w:top w:val="single" w:color="000000" w:sz="4" w:space="0"/>
              <w:left w:val="single" w:color="000000" w:sz="4" w:space="0"/>
              <w:bottom w:val="single" w:color="000000" w:sz="4" w:space="0"/>
              <w:right w:val="single" w:color="000000" w:sz="4" w:space="0"/>
            </w:tcBorders>
            <w:tcW w:w="439" w:type="dxa"/>
            <w:vAlign w:val="center"/>
          </w:tcPr>
          <w:p>
            <w:pPr>
              <w:pStyle w:val="12385"/>
              <w:pBdr/>
              <w:spacing/>
              <w:ind/>
              <w:rPr/>
            </w:pPr>
            <w:r>
              <w:t xml:space="preserve">Нет</w:t>
            </w:r>
            <w:r/>
          </w:p>
        </w:tc>
      </w:tr>
    </w:tbl>
    <w:p>
      <w:pPr>
        <w:pBdr/>
        <w:spacing/>
        <w:ind/>
        <w:rPr/>
        <w:sectPr>
          <w:headerReference w:type="default" r:id="rId38"/>
          <w:headerReference w:type="first" r:id="rId39"/>
          <w:footerReference w:type="default" r:id="rId304"/>
          <w:footerReference w:type="first" r:id="rId305"/>
          <w:footnotePr/>
          <w:endnotePr/>
          <w:type w:val="nextPage"/>
          <w:pgSz w:h="16838" w:orient="portrait" w:w="11906"/>
          <w:pgMar w:top="1134" w:right="850" w:bottom="1134" w:left="1701" w:header="567" w:footer="454" w:gutter="0"/>
          <w:cols w:num="1" w:sep="0" w:space="1701" w:equalWidth="1"/>
        </w:sectPr>
      </w:pPr>
      <w:r/>
      <w:r/>
    </w:p>
    <w:p>
      <w:pPr>
        <w:pStyle w:val="12960"/>
        <w:pBdr/>
        <w:spacing/>
        <w:ind w:firstLine="0"/>
        <w:jc w:val="center"/>
        <w:rPr/>
      </w:pPr>
      <w:r>
        <mc:AlternateContent>
          <mc:Choice Requires="wpg">
            <w:drawing>
              <wp:inline xmlns:wp="http://schemas.openxmlformats.org/drawingml/2006/wordprocessingDrawing" distT="0" distB="0" distL="0" distR="0">
                <wp:extent cx="9239250" cy="5381625"/>
                <wp:effectExtent l="0" t="0" r="0" b="0"/>
                <wp:docPr id="43" name="Изображение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10" descr=""/>
                        <pic:cNvPicPr>
                          <a:picLocks noChangeAspect="1"/>
                        </pic:cNvPicPr>
                        <pic:nvPr/>
                      </pic:nvPicPr>
                      <pic:blipFill rotWithShape="1">
                        <a:blip r:embed="rId617"/>
                        <a:srcRect l="14930" t="5494" r="5182" b="8852"/>
                        <a:stretch/>
                      </pic:blipFill>
                      <pic:spPr bwMode="auto">
                        <a:xfrm>
                          <a:off x="0" y="0"/>
                          <a:ext cx="9239250" cy="538162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width:727.50pt;height:423.75pt;mso-wrap-distance-left:0.00pt;mso-wrap-distance-top:0.00pt;mso-wrap-distance-right:0.00pt;mso-wrap-distance-bottom:0.00pt;z-index:1;" stroked="false">
                <v:imagedata r:id="rId617" o:title="" croptop="3601f" cropleft="9785f" cropbottom="5801f" cropright="3396f"/>
                <o:lock v:ext="edit" rotation="t"/>
              </v:shape>
            </w:pict>
          </mc:Fallback>
        </mc:AlternateContent>
      </w:r>
      <w:r>
        <w:t xml:space="preserve">Рисунок 1.4.1. – Зона действия (эксплуатационной ответственности) теплоснабжающей организации ООО «АГК»</w:t>
      </w:r>
      <w:r/>
    </w:p>
    <w:p>
      <w:pPr>
        <w:pStyle w:val="12960"/>
        <w:pBdr/>
        <w:spacing/>
        <w:ind w:firstLine="0"/>
        <w:rPr/>
      </w:pPr>
      <w:r>
        <mc:AlternateContent>
          <mc:Choice Requires="wpg">
            <w:drawing>
              <wp:inline xmlns:wp="http://schemas.openxmlformats.org/drawingml/2006/wordprocessingDrawing" distT="0" distB="0" distL="0" distR="0">
                <wp:extent cx="8991600" cy="5622925"/>
                <wp:effectExtent l="0" t="0" r="0" b="0"/>
                <wp:docPr id="44" name="Изображение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11" descr=""/>
                        <pic:cNvPicPr>
                          <a:picLocks noChangeAspect="1"/>
                        </pic:cNvPicPr>
                        <pic:nvPr/>
                      </pic:nvPicPr>
                      <pic:blipFill rotWithShape="1">
                        <a:blip r:embed="rId618"/>
                        <a:srcRect l="6592" t="7715" r="18293" b="5822"/>
                        <a:stretch/>
                      </pic:blipFill>
                      <pic:spPr bwMode="auto">
                        <a:xfrm>
                          <a:off x="0" y="0"/>
                          <a:ext cx="8991600" cy="562292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width:708.00pt;height:442.75pt;mso-wrap-distance-left:0.00pt;mso-wrap-distance-top:0.00pt;mso-wrap-distance-right:0.00pt;mso-wrap-distance-bottom:0.00pt;z-index:1;" stroked="false">
                <v:imagedata r:id="rId618" o:title="" croptop="5056f" cropleft="4320f" cropbottom="3816f" cropright="11989f"/>
                <o:lock v:ext="edit" rotation="t"/>
              </v:shape>
            </w:pict>
          </mc:Fallback>
        </mc:AlternateContent>
      </w:r>
      <w:r>
        <w:t xml:space="preserve">Рисунок 1.4.2. – Зона действия (эксплуатационной ответственности) теплоснабжающей организации ООО «АГК»</w:t>
      </w:r>
      <w:r/>
    </w:p>
    <w:p>
      <w:pPr>
        <w:pStyle w:val="12960"/>
        <w:pBdr/>
        <w:spacing/>
        <w:ind w:firstLine="0"/>
        <w:rPr>
          <w:lang w:bidi="en-US"/>
        </w:rPr>
      </w:pPr>
      <w:r>
        <w:rPr>
          <w:lang w:bidi="en-US"/>
        </w:rPr>
      </w:r>
      <w:r>
        <w:rPr>
          <w:lang w:bidi="en-US"/>
        </w:rPr>
      </w:r>
    </w:p>
    <w:p>
      <w:pPr>
        <w:pStyle w:val="12960"/>
        <w:pBdr/>
        <w:spacing/>
        <w:ind w:firstLine="0"/>
        <w:rPr>
          <w:lang w:bidi="en-US"/>
        </w:rPr>
      </w:pPr>
      <w:r>
        <mc:AlternateContent>
          <mc:Choice Requires="wpg">
            <w:drawing>
              <wp:inline xmlns:wp="http://schemas.openxmlformats.org/drawingml/2006/wordprocessingDrawing" distT="0" distB="0" distL="0" distR="0">
                <wp:extent cx="8934450" cy="5275580"/>
                <wp:effectExtent l="0" t="0" r="0" b="0"/>
                <wp:docPr id="45" name="Изображение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12" descr=""/>
                        <pic:cNvPicPr>
                          <a:picLocks noChangeAspect="1"/>
                        </pic:cNvPicPr>
                        <pic:nvPr/>
                      </pic:nvPicPr>
                      <pic:blipFill rotWithShape="1">
                        <a:blip r:embed="rId553"/>
                        <a:srcRect l="15135" t="12132" r="13212" b="9988"/>
                        <a:stretch/>
                      </pic:blipFill>
                      <pic:spPr bwMode="auto">
                        <a:xfrm>
                          <a:off x="0" y="0"/>
                          <a:ext cx="8934450" cy="527558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width:703.50pt;height:415.40pt;mso-wrap-distance-left:0.00pt;mso-wrap-distance-top:0.00pt;mso-wrap-distance-right:0.00pt;mso-wrap-distance-bottom:0.00pt;z-index:1;" stroked="false">
                <v:imagedata r:id="rId553" o:title="" croptop="7951f" cropleft="9919f" cropbottom="6546f" cropright="8659f"/>
                <o:lock v:ext="edit" rotation="t"/>
              </v:shape>
            </w:pict>
          </mc:Fallback>
        </mc:AlternateContent>
      </w:r>
      <w:r>
        <w:rPr>
          <w:lang w:bidi="en-US"/>
        </w:rPr>
      </w:r>
    </w:p>
    <w:p>
      <w:pPr>
        <w:pStyle w:val="12960"/>
        <w:pBdr/>
        <w:spacing/>
        <w:ind w:firstLine="0"/>
        <w:rPr>
          <w:lang w:bidi="en-US"/>
        </w:rPr>
        <w:sectPr>
          <w:headerReference w:type="default" r:id="rId40"/>
          <w:headerReference w:type="first" r:id="rId41"/>
          <w:footerReference w:type="default" r:id="rId306"/>
          <w:footerReference w:type="first" r:id="rId307"/>
          <w:footnotePr/>
          <w:endnotePr/>
          <w:type w:val="nextPage"/>
          <w:pgSz w:h="11906" w:orient="landscape" w:w="16838"/>
          <w:pgMar w:top="1701" w:right="1134" w:bottom="851" w:left="1134" w:header="680" w:footer="340" w:gutter="0"/>
          <w:cols w:num="1" w:sep="0" w:space="1701" w:equalWidth="1"/>
          <w:titlePg/>
        </w:sectPr>
      </w:pPr>
      <w:r>
        <w:t xml:space="preserve">Рисунок 1.4.3. – Зона действия (эксплуатационной ответственности) теплоснабжающей организации ООО «АГК»</w:t>
      </w:r>
      <w:r>
        <w:rPr>
          <w:lang w:bidi="en-US"/>
        </w:rPr>
      </w:r>
    </w:p>
    <w:p>
      <w:pPr>
        <w:pStyle w:val="12960"/>
        <w:pBdr/>
        <w:spacing/>
        <w:ind/>
        <w:rPr/>
      </w:pPr>
      <w:r>
        <w:t xml:space="preserve">В случае подключения новых потребителей, существующие зоны теплоснабжения каждого теплового источника, к которому производится подключение, будут изменяться.</w:t>
      </w:r>
      <w:r/>
    </w:p>
    <w:p>
      <w:pPr>
        <w:pStyle w:val="10533"/>
        <w:pBdr/>
        <w:spacing w:after="200" w:before="0" w:line="276" w:lineRule="auto"/>
        <w:ind/>
        <w:rPr>
          <w:rFonts w:eastAsia="Calibri"/>
          <w:sz w:val="22"/>
          <w:szCs w:val="22"/>
          <w:lang w:eastAsia="en-US"/>
        </w:rPr>
        <w:sectPr>
          <w:headerReference w:type="default" r:id="rId42"/>
          <w:headerReference w:type="first" r:id="rId43"/>
          <w:footerReference w:type="default" r:id="rId308"/>
          <w:footerReference w:type="first" r:id="rId309"/>
          <w:footnotePr/>
          <w:endnotePr/>
          <w:type w:val="nextPage"/>
          <w:pgSz w:h="16838" w:orient="portrait" w:w="11906"/>
          <w:pgMar w:top="1134" w:right="850" w:bottom="1134" w:left="1701" w:header="567" w:footer="454" w:gutter="0"/>
          <w:cols w:num="1" w:sep="0" w:space="1701" w:equalWidth="1"/>
        </w:sectPr>
      </w:pPr>
      <w:r>
        <w:rPr>
          <w:rFonts w:eastAsia="Calibri"/>
          <w:sz w:val="22"/>
          <w:szCs w:val="22"/>
          <w:lang w:eastAsia="en-US"/>
        </w:rPr>
      </w:r>
      <w:r>
        <w:rPr>
          <w:rFonts w:eastAsia="Calibri"/>
          <w:sz w:val="22"/>
          <w:szCs w:val="22"/>
          <w:lang w:eastAsia="en-US"/>
        </w:rPr>
      </w:r>
    </w:p>
    <w:p>
      <w:pPr>
        <w:pStyle w:val="10534"/>
        <w:numPr>
          <w:ilvl w:val="0"/>
          <w:numId w:val="13"/>
        </w:numPr>
        <w:pBdr/>
        <w:spacing/>
        <w:ind/>
        <w:rPr>
          <w:spacing w:val="0"/>
        </w:rPr>
      </w:pPr>
      <w:r/>
      <w:bookmarkStart w:id="327" w:name="_Toc475879458"/>
      <w:r/>
      <w:bookmarkStart w:id="328" w:name="_Toc84970962"/>
      <w:r/>
      <w:bookmarkStart w:id="329" w:name="_Toc78674725"/>
      <w:r/>
      <w:bookmarkStart w:id="330" w:name="_Toc166767178"/>
      <w:r/>
      <w:bookmarkStart w:id="331" w:name="_Toc198483518"/>
      <w:r/>
      <w:bookmarkEnd w:id="327"/>
      <w:r>
        <w:rPr>
          <w:spacing w:val="0"/>
        </w:rPr>
        <w:t xml:space="preserve">Тепловые нагрузки потребителей тепловой энергии, групп потребителей тепловой энергии</w:t>
      </w:r>
      <w:bookmarkEnd w:id="328"/>
      <w:r/>
      <w:bookmarkEnd w:id="329"/>
      <w:r/>
      <w:bookmarkEnd w:id="330"/>
      <w:r/>
      <w:bookmarkEnd w:id="331"/>
      <w:r/>
      <w:r>
        <w:rPr>
          <w:spacing w:val="0"/>
        </w:rPr>
      </w:r>
    </w:p>
    <w:p>
      <w:pPr>
        <w:pStyle w:val="10535"/>
        <w:keepNext w:val="true"/>
        <w:widowControl w:val="true"/>
        <w:numPr>
          <w:ilvl w:val="1"/>
          <w:numId w:val="103"/>
        </w:numPr>
        <w:pBdr/>
        <w:bidi w:val="false"/>
        <w:spacing w:after="240" w:before="360" w:line="360" w:lineRule="auto"/>
        <w:ind w:right="0" w:hanging="737" w:left="737"/>
        <w:jc w:val="center"/>
        <w:rPr>
          <w:rFonts w:cs="Times New Roman"/>
        </w:rPr>
      </w:pPr>
      <w:r/>
      <w:bookmarkStart w:id="332" w:name="_Toc198483519"/>
      <w:r/>
      <w:bookmarkStart w:id="333" w:name="_Toc166767179"/>
      <w:r/>
      <w:bookmarkStart w:id="334" w:name="_Toc84970963"/>
      <w:r/>
      <w:bookmarkStart w:id="335" w:name="_Toc78674726"/>
      <w:r/>
      <w:bookmarkStart w:id="336" w:name="_Toc475879459"/>
      <w:r>
        <w:rPr>
          <w:rFonts w:cs="Times New Roman"/>
        </w:rPr>
        <w:t xml:space="preserve">Описание значений </w:t>
      </w:r>
      <w:bookmarkEnd w:id="336"/>
      <w:r>
        <w:rPr>
          <w:rFonts w:cs="Times New Roman"/>
        </w:rPr>
        <w:t xml:space="preserve">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32"/>
      <w:r/>
      <w:bookmarkEnd w:id="333"/>
      <w:r/>
      <w:bookmarkEnd w:id="334"/>
      <w:r/>
      <w:bookmarkEnd w:id="335"/>
      <w:r/>
      <w:r>
        <w:rPr>
          <w:rFonts w:cs="Times New Roman"/>
        </w:rPr>
      </w:r>
    </w:p>
    <w:p>
      <w:pPr>
        <w:pStyle w:val="12960"/>
        <w:pBdr/>
        <w:spacing/>
        <w:ind/>
        <w:rPr/>
      </w:pPr>
      <w:r>
        <w:t xml:space="preserve">В соответствии с п. 2 ч. 1 ПП РФ от 03.04.2023 №405 «О внесении изменений в некоторые акты Правительства Российской Федерации»:</w:t>
      </w:r>
      <w:r/>
    </w:p>
    <w:p>
      <w:pPr>
        <w:pStyle w:val="12960"/>
        <w:pBdr/>
        <w:spacing/>
        <w:ind/>
        <w:rPr/>
      </w:pPr>
      <w:r>
        <w:t xml:space="preserve">«…ж) "элемент территориального деления" - территория поселения, муниципального образования или её часть, установленная по границам административно-территориальных единиц;</w:t>
      </w:r>
      <w:r/>
    </w:p>
    <w:p>
      <w:pPr>
        <w:pStyle w:val="12960"/>
        <w:pBdr/>
        <w:spacing/>
        <w:ind w:firstLine="0"/>
        <w:rPr/>
      </w:pPr>
      <w:r>
        <w:t xml:space="preserve">з) "расчетный элемент территориального деления" - территория поселения, муниципального образования или её часть, принятая для целей разработки схемы теплоснабжения в неизменяемых границах на весь срок действия схемы теплоснабжения…».</w:t>
      </w:r>
      <w:r/>
    </w:p>
    <w:p>
      <w:pPr>
        <w:pStyle w:val="12960"/>
        <w:pBdr/>
        <w:spacing/>
        <w:ind w:firstLine="0"/>
        <w:rPr/>
        <w:sectPr>
          <w:headerReference w:type="default" r:id="rId44"/>
          <w:headerReference w:type="first" r:id="rId45"/>
          <w:footerReference w:type="default" r:id="rId310"/>
          <w:footerReference w:type="first" r:id="rId311"/>
          <w:footnotePr/>
          <w:endnotePr/>
          <w:type w:val="nextPage"/>
          <w:pgSz w:h="16838" w:orient="portrait" w:w="11906"/>
          <w:pgMar w:top="1134" w:right="850" w:bottom="1134" w:left="1701" w:header="567" w:footer="454" w:gutter="0"/>
          <w:cols w:num="1" w:sep="0" w:space="1701" w:equalWidth="1"/>
        </w:sectPr>
      </w:pPr>
      <w:r/>
      <w:r/>
    </w:p>
    <w:p>
      <w:pPr>
        <w:pStyle w:val="10535"/>
        <w:keepNext w:val="false"/>
        <w:widowControl w:val="false"/>
        <w:numPr>
          <w:ilvl w:val="1"/>
          <w:numId w:val="13"/>
        </w:numPr>
        <w:pBdr/>
        <w:bidi w:val="false"/>
        <w:spacing w:after="0" w:before="0" w:line="360" w:lineRule="auto"/>
        <w:ind w:right="0" w:hanging="737" w:left="737"/>
        <w:jc w:val="center"/>
        <w:rPr>
          <w:rFonts w:cs="Times New Roman"/>
        </w:rPr>
      </w:pPr>
      <w:r/>
      <w:bookmarkStart w:id="337" w:name="_Toc198483520"/>
      <w:r/>
      <w:bookmarkStart w:id="338" w:name="_Toc166767180"/>
      <w:r/>
      <w:bookmarkStart w:id="339" w:name="_Toc84970964"/>
      <w:r/>
      <w:bookmarkStart w:id="340" w:name="_Toc78674727"/>
      <w:r>
        <w:rPr>
          <w:rFonts w:cs="Times New Roman"/>
        </w:rPr>
        <w:t xml:space="preserve">Описание значений расчетных тепловых нагрузок на коллекторах источников тепловой энергии</w:t>
      </w:r>
      <w:bookmarkEnd w:id="337"/>
      <w:r/>
      <w:bookmarkEnd w:id="338"/>
      <w:r/>
      <w:bookmarkEnd w:id="339"/>
      <w:r/>
      <w:bookmarkEnd w:id="340"/>
      <w:r/>
      <w:r>
        <w:rPr>
          <w:rFonts w:cs="Times New Roman"/>
        </w:rPr>
      </w:r>
    </w:p>
    <w:p>
      <w:pPr>
        <w:pStyle w:val="12960"/>
        <w:pBdr/>
        <w:spacing/>
        <w:ind/>
        <w:rPr/>
      </w:pPr>
      <w:r>
        <w:t xml:space="preserve">В соответствии с п. 2 ч. 1 ПП РФ от 03.04.2023 №405 «О внесении изменений в некоторые акты Правительства Российской Федерации»:</w:t>
      </w:r>
      <w:r/>
    </w:p>
    <w:p>
      <w:pPr>
        <w:pStyle w:val="12960"/>
        <w:pBdr/>
        <w:spacing/>
        <w:ind/>
        <w:rPr/>
      </w:pPr>
      <w:r>
        <w:t xml:space="preserve">«…к) "расчетная тепловая нагрузка" - тепловая нагрузка, определяемая на основе данных о</w:t>
      </w:r>
      <w:r>
        <w:t xml:space="preserve">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r/>
    </w:p>
    <w:p>
      <w:pPr>
        <w:pStyle w:val="12960"/>
        <w:pBdr/>
        <w:spacing/>
        <w:ind/>
        <w:rPr/>
      </w:pPr>
      <w:r>
        <w:t xml:space="preserve">Значения договорных нагрузок на коллекторах (сумма договорных нагрузок и утвержденных значений потерь мощности в тепловых сетях) превышают расчетную тепловую нагрузку на коллекторах.</w:t>
      </w:r>
      <w:r/>
    </w:p>
    <w:p>
      <w:pPr>
        <w:pStyle w:val="12960"/>
        <w:pBdr/>
        <w:spacing/>
        <w:ind/>
        <w:rPr/>
      </w:pPr>
      <w:r>
        <w:t xml:space="preserve">Порядок определения баланса по расчетной используемой мощности, определен требованиями действующего законодательств</w:t>
      </w:r>
      <w:r>
        <w:t xml:space="preserve">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w:t>
      </w:r>
      <w:r>
        <w:t xml:space="preserve">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w:t>
      </w:r>
      <w:r>
        <w:t xml:space="preserve">тивного сценария, базирующегося на потребности в мощности, определяемой на основании фактически используемой тепловой нагрузки (невыборка заявленной мощности), предусматривает определение потребности в каждой точке поставки, с последующей ежегодной актуали</w:t>
      </w:r>
      <w:r>
        <w:t xml:space="preserve">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ООО «АГК», указанный бизнес-процесс закреплен на уровне действующих условий договоров теплоснабжения.</w:t>
      </w:r>
      <w:r/>
    </w:p>
    <w:p>
      <w:pPr>
        <w:pStyle w:val="12960"/>
        <w:pBdr/>
        <w:spacing/>
        <w:ind/>
        <w:rPr/>
      </w:pPr>
      <w:r>
        <w:t xml:space="preserve">Значения расчетных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bookmarkStart w:id="341" w:name="_Toc527706876"/>
      <w:r/>
      <w:r/>
    </w:p>
    <w:p>
      <w:pPr>
        <w:pStyle w:val="12960"/>
        <w:pBdr/>
        <w:spacing/>
        <w:ind/>
        <w:rPr/>
      </w:pPr>
      <w:r/>
      <w:r/>
    </w:p>
    <w:p>
      <w:pPr>
        <w:pStyle w:val="12960"/>
        <w:pBdr/>
        <w:spacing/>
        <w:ind/>
        <w:rPr>
          <w:b/>
          <w:bCs w:val="0"/>
          <w:lang w:eastAsia="ru-RU"/>
        </w:rPr>
      </w:pPr>
      <w:r>
        <w:rPr>
          <w:b/>
          <w:bCs w:val="0"/>
          <w:lang w:eastAsia="ru-RU"/>
        </w:rPr>
      </w:r>
      <w:r>
        <w:rPr>
          <w:b/>
          <w:bCs w:val="0"/>
          <w:lang w:eastAsia="ru-RU"/>
        </w:rPr>
      </w:r>
    </w:p>
    <w:p>
      <w:pPr>
        <w:pStyle w:val="12960"/>
        <w:pBdr/>
        <w:spacing/>
        <w:ind/>
        <w:rPr>
          <w:b/>
          <w:bCs w:val="0"/>
          <w:lang w:eastAsia="ru-RU"/>
        </w:rPr>
      </w:pPr>
      <w:r>
        <w:rPr>
          <w:b/>
          <w:bCs w:val="0"/>
          <w:lang w:eastAsia="ru-RU"/>
        </w:rPr>
      </w:r>
      <w:r>
        <w:rPr>
          <w:b/>
          <w:bCs w:val="0"/>
          <w:lang w:eastAsia="ru-RU"/>
        </w:rPr>
      </w:r>
    </w:p>
    <w:p>
      <w:pPr>
        <w:pStyle w:val="12960"/>
        <w:pBdr/>
        <w:spacing/>
        <w:ind/>
        <w:rPr>
          <w:b/>
          <w:bCs w:val="0"/>
        </w:rPr>
      </w:pPr>
      <w:r>
        <w:rPr>
          <w:b/>
          <w:bCs w:val="0"/>
          <w:lang w:eastAsia="ru-RU"/>
        </w:rPr>
        <w:t xml:space="preserve">Таблица 1.</w:t>
      </w:r>
      <w:r>
        <w:rPr>
          <w:b/>
          <w:bCs w:val="0"/>
        </w:rPr>
        <w:t xml:space="preserve">5.2.1 – Тепловые нагрузки на коллекторах источников тепловой энергии за 2025 г.</w:t>
      </w:r>
      <w:bookmarkEnd w:id="341"/>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86"/>
        <w:gridCol w:w="4801"/>
        <w:gridCol w:w="1509"/>
        <w:gridCol w:w="1276"/>
        <w:gridCol w:w="1283"/>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 </w:t>
            </w:r>
            <w:r>
              <w:t xml:space="preserve">п/п</w:t>
            </w:r>
            <w:r>
              <w:rPr>
                <w:rFonts w:cs="Times New Roman"/>
              </w:rPr>
            </w:r>
          </w:p>
        </w:tc>
        <w:tc>
          <w:tcPr>
            <w:shd w:val="clear" w:color="000000" w:fill="d9d9d9"/>
            <w:tcBorders>
              <w:top w:val="single" w:color="000000" w:sz="4" w:space="0"/>
              <w:bottom w:val="single" w:color="000000" w:sz="4" w:space="0"/>
              <w:right w:val="single" w:color="000000" w:sz="4" w:space="0"/>
            </w:tcBorders>
            <w:tcW w:w="4801" w:type="dxa"/>
            <w:vAlign w:val="center"/>
          </w:tcPr>
          <w:p>
            <w:pPr>
              <w:pStyle w:val="12385"/>
              <w:pBdr/>
              <w:spacing/>
              <w:ind/>
              <w:rPr>
                <w:rFonts w:cs="Times New Roman"/>
              </w:rPr>
            </w:pPr>
            <w:r>
              <w:t xml:space="preserve">наименование источника</w:t>
            </w:r>
            <w:r>
              <w:rPr>
                <w:rFonts w:cs="Times New Roman"/>
              </w:rPr>
            </w:r>
          </w:p>
        </w:tc>
        <w:tc>
          <w:tcPr>
            <w:shd w:val="clear" w:color="000000" w:fill="d9d9d9"/>
            <w:tcBorders>
              <w:top w:val="single" w:color="000000" w:sz="4" w:space="0"/>
              <w:bottom w:val="single" w:color="000000" w:sz="4" w:space="0"/>
              <w:right w:val="single" w:color="000000" w:sz="4" w:space="0"/>
            </w:tcBorders>
            <w:tcW w:w="1509" w:type="dxa"/>
            <w:vAlign w:val="center"/>
          </w:tcPr>
          <w:p>
            <w:pPr>
              <w:pStyle w:val="12385"/>
              <w:pBdr/>
              <w:spacing/>
              <w:ind/>
              <w:rPr>
                <w:rFonts w:cs="Times New Roman"/>
              </w:rPr>
            </w:pPr>
            <w:r>
              <w:t xml:space="preserve">Установленная тепловая мощность, Гкал/ч</w:t>
            </w:r>
            <w:r>
              <w:rPr>
                <w:rFonts w:cs="Times New Roman"/>
              </w:rPr>
            </w:r>
          </w:p>
        </w:tc>
        <w:tc>
          <w:tcPr>
            <w:shd w:val="clear" w:color="000000" w:fill="d9d9d9"/>
            <w:tcBorders>
              <w:top w:val="single" w:color="000000" w:sz="4" w:space="0"/>
              <w:bottom w:val="single" w:color="000000" w:sz="4" w:space="0"/>
              <w:right w:val="single" w:color="000000" w:sz="4" w:space="0"/>
            </w:tcBorders>
            <w:tcW w:w="1276" w:type="dxa"/>
            <w:vAlign w:val="center"/>
          </w:tcPr>
          <w:p>
            <w:pPr>
              <w:pStyle w:val="12385"/>
              <w:pBdr/>
              <w:spacing/>
              <w:ind/>
              <w:rPr>
                <w:rFonts w:cs="Times New Roman"/>
              </w:rPr>
            </w:pPr>
            <w:r>
              <w:t xml:space="preserve">Тепловая нагрузка на коллекторах источников тепловой энергии, Гкал/ч</w:t>
            </w:r>
            <w:r>
              <w:rPr>
                <w:rFonts w:cs="Times New Roman"/>
              </w:rPr>
            </w:r>
          </w:p>
        </w:tc>
        <w:tc>
          <w:tcPr>
            <w:shd w:val="clear" w:color="000000" w:fill="d9d9d9"/>
            <w:tcBorders>
              <w:top w:val="single" w:color="000000" w:sz="4" w:space="0"/>
              <w:bottom w:val="single" w:color="000000" w:sz="4" w:space="0"/>
              <w:right w:val="single" w:color="000000" w:sz="4" w:space="0"/>
            </w:tcBorders>
            <w:tcW w:w="1283" w:type="dxa"/>
            <w:vAlign w:val="center"/>
          </w:tcPr>
          <w:p>
            <w:pPr>
              <w:pStyle w:val="12385"/>
              <w:pBdr/>
              <w:spacing/>
              <w:ind/>
              <w:rPr>
                <w:rFonts w:cs="Times New Roman"/>
              </w:rPr>
            </w:pPr>
            <w:r>
              <w:t xml:space="preserve">Отпуск тепловой энергии с коллекторов источников тепловой энергии, Гкал</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1</w:t>
            </w:r>
            <w:r>
              <w:rPr>
                <w:rFonts w:cs="Times New Roman"/>
              </w:rPr>
            </w:r>
          </w:p>
        </w:tc>
        <w:tc>
          <w:tcPr>
            <w:shd w:val="clear" w:color="000000" w:fill="ffffff"/>
            <w:tcBorders>
              <w:bottom w:val="single" w:color="000000" w:sz="4" w:space="0"/>
              <w:right w:val="single" w:color="000000" w:sz="4" w:space="0"/>
            </w:tcBorders>
            <w:tcW w:w="4801" w:type="dxa"/>
          </w:tcPr>
          <w:p>
            <w:pPr>
              <w:pStyle w:val="12385"/>
              <w:pBdr/>
              <w:spacing/>
              <w:ind/>
              <w:rPr>
                <w:rFonts w:cs="Times New Roman"/>
              </w:rPr>
            </w:pPr>
            <w: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09" w:type="dxa"/>
          </w:tcPr>
          <w:p>
            <w:pPr>
              <w:pStyle w:val="12385"/>
              <w:pBdr/>
              <w:spacing/>
              <w:ind/>
              <w:rPr>
                <w:rFonts w:cs="Times New Roman"/>
              </w:rPr>
            </w:pPr>
            <w:r>
              <w:t xml:space="preserve">0,17</w:t>
            </w:r>
            <w:r>
              <w:rPr>
                <w:rFonts w:cs="Times New Roman"/>
              </w:rPr>
            </w:r>
          </w:p>
        </w:tc>
        <w:tc>
          <w:tcPr>
            <w:shd w:val="clear" w:color="000000" w:fill="ffffff"/>
            <w:tcBorders>
              <w:top w:val="single" w:color="000000" w:sz="8" w:space="0"/>
              <w:bottom w:val="single" w:color="000000" w:sz="8" w:space="0"/>
              <w:right w:val="single" w:color="000000" w:sz="8" w:space="0"/>
            </w:tcBorders>
            <w:tcW w:w="1276" w:type="dxa"/>
          </w:tcPr>
          <w:p>
            <w:pPr>
              <w:pStyle w:val="12385"/>
              <w:pBdr/>
              <w:spacing/>
              <w:ind/>
              <w:rPr>
                <w:rFonts w:cs="Times New Roman"/>
              </w:rPr>
            </w:pPr>
            <w:r>
              <w:t xml:space="preserve">0,054</w:t>
            </w:r>
            <w:r>
              <w:rPr>
                <w:rFonts w:cs="Times New Roman"/>
              </w:rPr>
            </w:r>
          </w:p>
        </w:tc>
        <w:tc>
          <w:tcPr>
            <w:shd w:val="clear" w:color="000000" w:fill="ffffff"/>
            <w:tcBorders>
              <w:bottom w:val="single" w:color="000000" w:sz="8" w:space="0"/>
              <w:right w:val="single" w:color="000000" w:sz="8" w:space="0"/>
            </w:tcBorders>
            <w:tcW w:w="1283" w:type="dxa"/>
          </w:tcPr>
          <w:p>
            <w:pPr>
              <w:pStyle w:val="12385"/>
              <w:pBdr/>
              <w:spacing/>
              <w:ind/>
              <w:rPr>
                <w:rFonts w:cs="Times New Roman"/>
              </w:rPr>
            </w:pPr>
            <w:r>
              <w:t xml:space="preserve">116,57</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2</w:t>
            </w:r>
            <w:r>
              <w:rPr>
                <w:rFonts w:cs="Times New Roman"/>
              </w:rPr>
            </w:r>
          </w:p>
        </w:tc>
        <w:tc>
          <w:tcPr>
            <w:shd w:val="clear" w:color="000000" w:fill="ffffff"/>
            <w:tcBorders>
              <w:bottom w:val="single" w:color="000000" w:sz="4" w:space="0"/>
              <w:right w:val="single" w:color="000000" w:sz="4" w:space="0"/>
            </w:tcBorders>
            <w:tcW w:w="4801" w:type="dxa"/>
          </w:tcPr>
          <w:p>
            <w:pPr>
              <w:pStyle w:val="12385"/>
              <w:pBdr/>
              <w:spacing/>
              <w:ind/>
              <w:rPr>
                <w:rFonts w:cs="Times New Roman"/>
              </w:rPr>
            </w:pPr>
            <w: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09" w:type="dxa"/>
          </w:tcPr>
          <w:p>
            <w:pPr>
              <w:pStyle w:val="12385"/>
              <w:pBdr/>
              <w:spacing/>
              <w:ind/>
              <w:rPr>
                <w:rFonts w:cs="Times New Roman"/>
              </w:rPr>
            </w:pPr>
            <w:r>
              <w:t xml:space="preserve">0,34</w:t>
            </w:r>
            <w:r>
              <w:rPr>
                <w:rFonts w:cs="Times New Roman"/>
              </w:rPr>
            </w:r>
          </w:p>
        </w:tc>
        <w:tc>
          <w:tcPr>
            <w:shd w:val="clear" w:color="000000" w:fill="ffffff"/>
            <w:tcBorders>
              <w:bottom w:val="single" w:color="000000" w:sz="8" w:space="0"/>
              <w:right w:val="single" w:color="000000" w:sz="8" w:space="0"/>
            </w:tcBorders>
            <w:tcW w:w="1276" w:type="dxa"/>
          </w:tcPr>
          <w:p>
            <w:pPr>
              <w:pStyle w:val="12385"/>
              <w:pBdr/>
              <w:spacing/>
              <w:ind/>
              <w:rPr>
                <w:rFonts w:cs="Times New Roman"/>
              </w:rPr>
            </w:pPr>
            <w:r>
              <w:t xml:space="preserve">0,130</w:t>
            </w:r>
            <w:r>
              <w:rPr>
                <w:rFonts w:cs="Times New Roman"/>
              </w:rPr>
            </w:r>
          </w:p>
        </w:tc>
        <w:tc>
          <w:tcPr>
            <w:shd w:val="clear" w:color="000000" w:fill="ffffff"/>
            <w:tcBorders>
              <w:bottom w:val="single" w:color="000000" w:sz="8" w:space="0"/>
              <w:right w:val="single" w:color="000000" w:sz="8" w:space="0"/>
            </w:tcBorders>
            <w:tcW w:w="1283" w:type="dxa"/>
          </w:tcPr>
          <w:p>
            <w:pPr>
              <w:pStyle w:val="12385"/>
              <w:pBdr/>
              <w:spacing/>
              <w:ind/>
              <w:rPr>
                <w:rFonts w:cs="Times New Roman"/>
              </w:rPr>
            </w:pPr>
            <w:r>
              <w:t xml:space="preserve">314,61</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486" w:type="dxa"/>
            <w:vAlign w:val="center"/>
          </w:tcPr>
          <w:p>
            <w:pPr>
              <w:pStyle w:val="12385"/>
              <w:pBdr/>
              <w:spacing/>
              <w:ind/>
              <w:rPr>
                <w:rFonts w:cs="Times New Roman"/>
              </w:rPr>
            </w:pPr>
            <w:r>
              <w:t xml:space="preserve">3</w:t>
            </w:r>
            <w:r>
              <w:rPr>
                <w:rFonts w:cs="Times New Roman"/>
              </w:rPr>
            </w:r>
          </w:p>
        </w:tc>
        <w:tc>
          <w:tcPr>
            <w:shd w:val="clear" w:color="000000" w:fill="ffffff"/>
            <w:tcBorders>
              <w:bottom w:val="single" w:color="000000" w:sz="4" w:space="0"/>
              <w:right w:val="single" w:color="000000" w:sz="4" w:space="0"/>
            </w:tcBorders>
            <w:tcW w:w="4801" w:type="dxa"/>
          </w:tcPr>
          <w:p>
            <w:pPr>
              <w:pStyle w:val="12385"/>
              <w:pBdr/>
              <w:spacing/>
              <w:ind/>
              <w:rPr>
                <w:rFonts w:cs="Times New Roman"/>
              </w:rPr>
            </w:pPr>
            <w: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09" w:type="dxa"/>
          </w:tcPr>
          <w:p>
            <w:pPr>
              <w:pStyle w:val="12385"/>
              <w:pBdr/>
              <w:spacing/>
              <w:ind/>
              <w:rPr>
                <w:rFonts w:cs="Times New Roman"/>
              </w:rPr>
            </w:pPr>
            <w:r>
              <w:t xml:space="preserve">0,17</w:t>
            </w:r>
            <w:r>
              <w:rPr>
                <w:rFonts w:cs="Times New Roman"/>
              </w:rPr>
            </w:r>
          </w:p>
        </w:tc>
        <w:tc>
          <w:tcPr>
            <w:shd w:val="clear" w:color="000000" w:fill="ffffff"/>
            <w:tcBorders>
              <w:bottom w:val="single" w:color="000000" w:sz="8" w:space="0"/>
              <w:right w:val="single" w:color="000000" w:sz="8" w:space="0"/>
            </w:tcBorders>
            <w:tcW w:w="1276" w:type="dxa"/>
          </w:tcPr>
          <w:p>
            <w:pPr>
              <w:pStyle w:val="12385"/>
              <w:pBdr/>
              <w:spacing/>
              <w:ind/>
              <w:rPr>
                <w:rFonts w:cs="Times New Roman"/>
              </w:rPr>
            </w:pPr>
            <w:r>
              <w:t xml:space="preserve">0,073</w:t>
            </w:r>
            <w:r>
              <w:rPr>
                <w:rFonts w:cs="Times New Roman"/>
              </w:rPr>
            </w:r>
          </w:p>
        </w:tc>
        <w:tc>
          <w:tcPr>
            <w:shd w:val="clear" w:color="000000" w:fill="ffffff"/>
            <w:tcBorders>
              <w:bottom w:val="single" w:color="000000" w:sz="8" w:space="0"/>
              <w:right w:val="single" w:color="000000" w:sz="8" w:space="0"/>
            </w:tcBorders>
            <w:tcW w:w="1283" w:type="dxa"/>
          </w:tcPr>
          <w:p>
            <w:pPr>
              <w:pStyle w:val="12385"/>
              <w:pBdr/>
              <w:spacing/>
              <w:ind/>
              <w:rPr>
                <w:rFonts w:cs="Times New Roman"/>
              </w:rPr>
            </w:pPr>
            <w:r>
              <w:t xml:space="preserve">158,11</w:t>
            </w:r>
            <w:r>
              <w:rPr>
                <w:rFonts w:cs="Times New Roman"/>
              </w:rPr>
            </w:r>
          </w:p>
        </w:tc>
      </w:tr>
    </w:tbl>
    <w:p>
      <w:pPr>
        <w:pStyle w:val="12960"/>
        <w:pBdr/>
        <w:spacing/>
        <w:ind/>
        <w:rPr>
          <w:b/>
          <w:bCs w:val="0"/>
        </w:rPr>
      </w:pPr>
      <w:r>
        <w:rPr>
          <w:b/>
          <w:bCs w:val="0"/>
        </w:rPr>
      </w:r>
      <w:r>
        <w:rPr>
          <w:b/>
          <w:bCs w:val="0"/>
        </w:rP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342" w:name="_Toc198483521"/>
      <w:r/>
      <w:bookmarkStart w:id="343" w:name="_Toc166767181"/>
      <w:r/>
      <w:bookmarkStart w:id="344" w:name="_Toc84970965"/>
      <w:r/>
      <w:bookmarkStart w:id="345" w:name="_Toc78674728"/>
      <w:r>
        <w:rPr>
          <w:rFonts w:cs="Times New Roman"/>
        </w:rPr>
        <w:t xml:space="preserve">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42"/>
      <w:r/>
      <w:bookmarkEnd w:id="343"/>
      <w:r/>
      <w:bookmarkEnd w:id="344"/>
      <w:r/>
      <w:bookmarkEnd w:id="345"/>
      <w:r/>
      <w:r>
        <w:rPr>
          <w:rFonts w:cs="Times New Roman"/>
        </w:rPr>
      </w:r>
    </w:p>
    <w:p>
      <w:pPr>
        <w:pStyle w:val="12960"/>
        <w:pBdr/>
        <w:spacing/>
        <w:ind/>
        <w:rPr/>
      </w:pPr>
      <w:r>
        <w:t xml:space="preserve">Случаев применения от</w:t>
      </w:r>
      <w:r>
        <w:t xml:space="preserve">опления жилых помещений в многоквартирных домах с использованием индивидуальных квартирных источников тепловой энергии нет. Теплоснабжающими организациями технические условия на установку индивидуальных квартирных источников тепловой энергии не выдавались.</w:t>
      </w:r>
      <w:r/>
    </w:p>
    <w:p>
      <w:pPr>
        <w:pStyle w:val="12960"/>
        <w:pBdr/>
        <w:spacing/>
        <w:ind/>
        <w:rPr/>
      </w:pPr>
      <w:r>
        <w:t xml:space="preserve">В силу требований п.15 Статьи 14 Федерального закона от 27.07.2010 г. №190-ФЗ (ред. от 01.05.2023) «О теплоснабжении», запрещается переход на отопление жилых помещений в многокв</w:t>
      </w:r>
      <w:r>
        <w:t xml:space="preserve">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r/>
    </w:p>
    <w:p>
      <w:pPr>
        <w:pStyle w:val="12960"/>
        <w:pBdr/>
        <w:spacing/>
        <w:ind/>
        <w:rPr/>
      </w:pPr>
      <w:r>
        <w:t xml:space="preserve">Собственник жилого помещения осуществляет права владения, пользования и распоряжен</w:t>
      </w:r>
      <w:r>
        <w:t xml:space="preserve">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w:t>
      </w:r>
      <w:r>
        <w:t xml:space="preserve">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r/>
    </w:p>
    <w:p>
      <w:pPr>
        <w:pStyle w:val="12960"/>
        <w:pBdr/>
        <w:spacing/>
        <w:ind/>
        <w:rPr/>
      </w:pPr>
      <w:r>
        <w:t xml:space="preserve">Таким образом, проект переустройства д</w:t>
      </w:r>
      <w:r>
        <w:t xml:space="preserve">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w:t>
      </w:r>
      <w:r>
        <w:t xml:space="preserve">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w:t>
      </w:r>
      <w:r>
        <w:t xml:space="preserve">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w:t>
      </w:r>
      <w:r>
        <w:t xml:space="preserve">Л15-330). Учитывая изложенное, в многоквартирных 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346" w:name="_Toc166767182"/>
      <w:r/>
      <w:bookmarkStart w:id="347" w:name="_Toc198483522"/>
      <w:r/>
      <w:bookmarkStart w:id="348" w:name="_Toc78674729"/>
      <w:r/>
      <w:bookmarkStart w:id="349" w:name="_Toc84970966"/>
      <w:r>
        <w:rPr>
          <w:rFonts w:cs="Times New Roman"/>
        </w:rPr>
        <w:t xml:space="preserve">Описание величины потребления тепловой энергии в расчетных элементах территориального деления за отопительный период и за год в целом</w:t>
      </w:r>
      <w:bookmarkEnd w:id="346"/>
      <w:r/>
      <w:bookmarkEnd w:id="347"/>
      <w:r/>
      <w:bookmarkEnd w:id="348"/>
      <w:r/>
      <w:bookmarkEnd w:id="349"/>
      <w:r/>
      <w:r>
        <w:rPr>
          <w:rFonts w:cs="Times New Roman"/>
        </w:rPr>
      </w:r>
    </w:p>
    <w:p>
      <w:pPr>
        <w:pStyle w:val="12960"/>
        <w:pBdr/>
        <w:spacing/>
        <w:ind/>
        <w:rPr/>
      </w:pPr>
      <w:r>
        <w:t xml:space="preserve">Значения потребления тепловой энергии,</w:t>
      </w:r>
      <w:r>
        <w:t xml:space="preserve"> в разрезе расчетных элементов территориального деления муниципального образования, рассчитаны исходя из суммарных договорных нагрузок потребителей на нужды отопление, вентиляции и горячего водоснабжения по административным районам представлены в таблице. </w:t>
      </w:r>
      <w:r/>
    </w:p>
    <w:p>
      <w:pPr>
        <w:pStyle w:val="12960"/>
        <w:pBdr/>
        <w:spacing/>
        <w:ind/>
        <w:rPr>
          <w:b/>
          <w:bCs w:val="0"/>
        </w:rPr>
      </w:pPr>
      <w:r>
        <w:rPr>
          <w:b/>
          <w:bCs w:val="0"/>
        </w:rPr>
      </w:r>
      <w:r>
        <w:rPr>
          <w:b/>
          <w:bCs w:val="0"/>
        </w:rPr>
      </w:r>
    </w:p>
    <w:p>
      <w:pPr>
        <w:pStyle w:val="12960"/>
        <w:pBdr/>
        <w:spacing/>
        <w:ind/>
        <w:rPr/>
      </w:pPr>
      <w:r/>
      <w:r/>
    </w:p>
    <w:p>
      <w:pPr>
        <w:pStyle w:val="13832"/>
        <w:numPr>
          <w:ilvl w:val="0"/>
          <w:numId w:val="61"/>
        </w:numPr>
        <w:pBdr/>
        <w:spacing/>
        <w:ind w:hanging="284" w:left="1135"/>
        <w:rPr>
          <w:rFonts w:eastAsia="Calibri"/>
        </w:rPr>
        <w:sectPr>
          <w:headerReference w:type="default" r:id="rId46"/>
          <w:headerReference w:type="first" r:id="rId47"/>
          <w:footerReference w:type="default" r:id="rId312"/>
          <w:footerReference w:type="first" r:id="rId313"/>
          <w:footnotePr/>
          <w:endnotePr/>
          <w:type w:val="nextPage"/>
          <w:pgSz w:h="16838" w:orient="portrait" w:w="11906"/>
          <w:pgMar w:top="1134" w:right="850" w:bottom="1134" w:left="1701" w:header="567" w:footer="454" w:gutter="0"/>
          <w:cols w:num="1" w:sep="0" w:space="1701" w:equalWidth="1"/>
        </w:sectPr>
      </w:pPr>
      <w:r>
        <w:rPr>
          <w:rFonts w:eastAsia="Calibri"/>
        </w:rPr>
      </w:r>
      <w:r>
        <w:rPr>
          <w:rFonts w:eastAsia="Calibri"/>
        </w:rPr>
      </w:r>
    </w:p>
    <w:p>
      <w:pPr>
        <w:pStyle w:val="12960"/>
        <w:pBdr/>
        <w:spacing/>
        <w:ind/>
        <w:rPr>
          <w:b/>
          <w:bCs w:val="0"/>
        </w:rPr>
      </w:pPr>
      <w:r>
        <w:rPr>
          <w:b/>
        </w:rPr>
        <w:t xml:space="preserve">Таблица 1.5.4.2 – </w:t>
      </w:r>
      <w:r>
        <w:rPr>
          <w:b/>
          <w:bCs w:val="0"/>
        </w:rPr>
        <w:t xml:space="preserve">Значения потребления тепловой энергии при расчетных температурах наружного воздуха по группам потребителей тепловой энергии</w:t>
      </w:r>
      <w:r>
        <w:rPr>
          <w:b/>
          <w:bCs w:val="0"/>
        </w:rPr>
      </w:r>
    </w:p>
    <w:p>
      <w:pPr>
        <w:pStyle w:val="12385"/>
        <w:pBdr/>
        <w:tabs>
          <w:tab w:val="left" w:leader="none" w:pos="679"/>
          <w:tab w:val="clear" w:leader="none" w:pos="708"/>
          <w:tab w:val="left" w:leader="none" w:pos="2429"/>
          <w:tab w:val="left" w:leader="none" w:pos="4182"/>
          <w:tab w:val="left" w:leader="none" w:pos="5446"/>
          <w:tab w:val="left" w:leader="none" w:pos="7359"/>
          <w:tab w:val="left" w:leader="none" w:pos="8868"/>
          <w:tab w:val="left" w:leader="none" w:pos="10079"/>
          <w:tab w:val="left" w:leader="none" w:pos="11570"/>
          <w:tab w:val="left" w:leader="none" w:pos="13087"/>
        </w:tabs>
        <w:spacing/>
        <w:ind w:firstLine="0" w:left="113"/>
        <w:jc w:val="left"/>
        <w:rPr>
          <w:rFonts w:cs="Times New Roman"/>
          <w:szCs w:val="20"/>
        </w:rPr>
      </w:pPr>
      <w:r>
        <w:rPr>
          <w:rFonts w:cs="Times New Roman"/>
          <w:szCs w:val="20"/>
        </w:rPr>
        <w:tab/>
      </w:r>
      <w:r>
        <w:rPr>
          <w:rFonts w:cs="Times New Roman"/>
          <w:szCs w:val="20"/>
        </w:rPr>
      </w:r>
    </w:p>
    <w:tbl>
      <w:tblPr>
        <w:tblInd w:w="0" w:type="dxa"/>
        <w:tblW w:w="14278" w:type="dxa"/>
        <w:tblCellMar>
          <w:left w:w="108" w:type="dxa"/>
          <w:top w:w="0" w:type="dxa"/>
          <w:right w:w="108" w:type="dxa"/>
          <w:bottom w:w="0" w:type="dxa"/>
        </w:tblCellMar>
        <w:tblBorders/>
        <w:tblLayout w:type="fixed"/>
        <w:tblLook w:val="04A0" w:firstRow="1" w:lastRow="0" w:firstColumn="1" w:lastColumn="0" w:noHBand="0" w:noVBand="1"/>
      </w:tblPr>
      <w:tblGrid>
        <w:gridCol w:w="478"/>
        <w:gridCol w:w="1425"/>
        <w:gridCol w:w="1466"/>
        <w:gridCol w:w="1058"/>
        <w:gridCol w:w="1598"/>
        <w:gridCol w:w="1222"/>
        <w:gridCol w:w="1305"/>
        <w:gridCol w:w="1012"/>
        <w:gridCol w:w="873"/>
        <w:gridCol w:w="1246"/>
        <w:gridCol w:w="1268"/>
        <w:gridCol w:w="1326"/>
      </w:tblGrid>
      <w:tr>
        <w:trPr>
          <w:trHeight w:val="276"/>
        </w:trPr>
        <w:tc>
          <w:tcPr>
            <w:shd w:val="clear" w:color="000000" w:fill="d9d9d9"/>
            <w:tcBorders>
              <w:top w:val="single" w:color="000000" w:sz="4" w:space="0"/>
              <w:left w:val="single" w:color="000000" w:sz="4" w:space="0"/>
              <w:bottom w:val="single" w:color="000000" w:sz="4" w:space="0"/>
              <w:right w:val="single" w:color="000000" w:sz="4" w:space="0"/>
            </w:tcBorders>
            <w:tcW w:w="478" w:type="dxa"/>
            <w:vAlign w:val="center"/>
            <w:vMerge w:val="restart"/>
          </w:tcPr>
          <w:p>
            <w:pPr>
              <w:pStyle w:val="10533"/>
              <w:pBdr/>
              <w:spacing/>
              <w:ind/>
              <w:jc w:val="center"/>
              <w:rPr>
                <w:color w:val="000000"/>
                <w:sz w:val="20"/>
                <w:szCs w:val="20"/>
              </w:rPr>
            </w:pPr>
            <w:r>
              <w:rPr>
                <w:color w:val="000000"/>
                <w:sz w:val="20"/>
                <w:szCs w:val="20"/>
              </w:rPr>
              <w:t xml:space="preserve">№ </w:t>
            </w:r>
            <w:r>
              <w:rPr>
                <w:color w:val="000000"/>
                <w:sz w:val="20"/>
                <w:szCs w:val="20"/>
              </w:rPr>
              <w:t xml:space="preserve">п/п</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425" w:type="dxa"/>
            <w:vAlign w:val="center"/>
            <w:vMerge w:val="restart"/>
          </w:tcPr>
          <w:p>
            <w:pPr>
              <w:pStyle w:val="10533"/>
              <w:pBdr/>
              <w:spacing/>
              <w:ind/>
              <w:jc w:val="center"/>
              <w:rPr>
                <w:color w:val="000000"/>
                <w:sz w:val="20"/>
                <w:szCs w:val="20"/>
              </w:rPr>
            </w:pPr>
            <w:r>
              <w:rPr>
                <w:color w:val="000000"/>
                <w:sz w:val="20"/>
                <w:szCs w:val="20"/>
              </w:rPr>
              <w:t xml:space="preserve">Наименование источника</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466" w:type="dxa"/>
            <w:vAlign w:val="center"/>
            <w:vMerge w:val="restart"/>
          </w:tcPr>
          <w:p>
            <w:pPr>
              <w:pStyle w:val="10533"/>
              <w:pBdr/>
              <w:spacing/>
              <w:ind/>
              <w:jc w:val="center"/>
              <w:rPr>
                <w:color w:val="000000"/>
                <w:sz w:val="20"/>
                <w:szCs w:val="20"/>
              </w:rPr>
            </w:pPr>
            <w:r>
              <w:rPr>
                <w:color w:val="000000"/>
                <w:sz w:val="20"/>
                <w:szCs w:val="20"/>
              </w:rPr>
              <w:t xml:space="preserve">Установленная тепловая мощность, Гкал/ч</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058" w:type="dxa"/>
            <w:vAlign w:val="center"/>
            <w:vMerge w:val="restart"/>
          </w:tcPr>
          <w:p>
            <w:pPr>
              <w:pStyle w:val="10533"/>
              <w:pBdr/>
              <w:spacing/>
              <w:ind/>
              <w:jc w:val="center"/>
              <w:rPr>
                <w:color w:val="000000"/>
                <w:sz w:val="20"/>
                <w:szCs w:val="20"/>
              </w:rPr>
            </w:pPr>
            <w:r>
              <w:rPr>
                <w:color w:val="000000"/>
                <w:sz w:val="20"/>
                <w:szCs w:val="20"/>
              </w:rPr>
              <w:t xml:space="preserve">Потери мощности в тепловых сетях, Гкал/ч</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598" w:type="dxa"/>
            <w:vAlign w:val="center"/>
            <w:vMerge w:val="restart"/>
          </w:tcPr>
          <w:p>
            <w:pPr>
              <w:pStyle w:val="10533"/>
              <w:pBdr/>
              <w:spacing/>
              <w:ind/>
              <w:jc w:val="center"/>
              <w:rPr>
                <w:color w:val="000000"/>
                <w:sz w:val="20"/>
                <w:szCs w:val="20"/>
              </w:rPr>
            </w:pPr>
            <w:r>
              <w:rPr>
                <w:color w:val="000000"/>
                <w:sz w:val="20"/>
                <w:szCs w:val="20"/>
              </w:rPr>
              <w:t xml:space="preserve">Присоединенная расчетная тепловая нагрузка (мощность), Гкал/ч</w:t>
            </w:r>
            <w:r>
              <w:rPr>
                <w:color w:val="000000"/>
                <w:sz w:val="20"/>
                <w:szCs w:val="20"/>
              </w:rPr>
            </w:r>
          </w:p>
        </w:tc>
        <w:tc>
          <w:tcPr>
            <w:gridSpan w:val="3"/>
            <w:shd w:val="clear" w:color="000000" w:fill="d9d9d9"/>
            <w:tcBorders>
              <w:top w:val="single" w:color="000000" w:sz="4" w:space="0"/>
              <w:bottom w:val="single" w:color="000000" w:sz="4" w:space="0"/>
              <w:right w:val="single" w:color="000000" w:sz="4" w:space="0"/>
            </w:tcBorders>
            <w:tcW w:w="3539" w:type="dxa"/>
            <w:vAlign w:val="center"/>
          </w:tcPr>
          <w:p>
            <w:pPr>
              <w:pStyle w:val="10533"/>
              <w:pBdr/>
              <w:spacing/>
              <w:ind/>
              <w:jc w:val="center"/>
              <w:rPr>
                <w:color w:val="000000"/>
                <w:sz w:val="20"/>
                <w:szCs w:val="20"/>
              </w:rPr>
            </w:pPr>
            <w:r>
              <w:rPr>
                <w:color w:val="000000"/>
                <w:sz w:val="20"/>
                <w:szCs w:val="20"/>
              </w:rPr>
              <w:t xml:space="preserve">Объемы потребления тепловой энергии в год,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873" w:type="dxa"/>
            <w:vAlign w:val="center"/>
            <w:vMerge w:val="restart"/>
          </w:tcPr>
          <w:p>
            <w:pPr>
              <w:pStyle w:val="10533"/>
              <w:pBdr/>
              <w:spacing/>
              <w:ind/>
              <w:jc w:val="center"/>
              <w:rPr>
                <w:color w:val="000000"/>
                <w:sz w:val="20"/>
                <w:szCs w:val="20"/>
              </w:rPr>
            </w:pPr>
            <w:r>
              <w:rPr>
                <w:color w:val="000000"/>
                <w:sz w:val="20"/>
                <w:szCs w:val="20"/>
              </w:rPr>
              <w:t xml:space="preserve">Потери,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46" w:type="dxa"/>
            <w:vAlign w:val="center"/>
            <w:vMerge w:val="restart"/>
          </w:tcPr>
          <w:p>
            <w:pPr>
              <w:pStyle w:val="10533"/>
              <w:pBdr/>
              <w:spacing/>
              <w:ind/>
              <w:jc w:val="center"/>
              <w:rPr>
                <w:color w:val="000000"/>
                <w:sz w:val="20"/>
                <w:szCs w:val="20"/>
              </w:rPr>
            </w:pPr>
            <w:r>
              <w:rPr>
                <w:color w:val="000000"/>
                <w:sz w:val="20"/>
                <w:szCs w:val="20"/>
              </w:rPr>
              <w:t xml:space="preserve">Отпуск тепловой энергии с коллекторов источников тепловой энергии,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68" w:type="dxa"/>
            <w:vAlign w:val="center"/>
            <w:vMerge w:val="restart"/>
          </w:tcPr>
          <w:p>
            <w:pPr>
              <w:pStyle w:val="10533"/>
              <w:pBdr/>
              <w:spacing/>
              <w:ind/>
              <w:jc w:val="center"/>
              <w:rPr>
                <w:color w:val="000000"/>
                <w:sz w:val="20"/>
                <w:szCs w:val="20"/>
              </w:rPr>
            </w:pPr>
            <w:r>
              <w:rPr>
                <w:color w:val="000000"/>
                <w:sz w:val="20"/>
                <w:szCs w:val="20"/>
              </w:rPr>
              <w:t xml:space="preserve">Расход тепловой энергии на собственные нужды,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326" w:type="dxa"/>
            <w:vAlign w:val="center"/>
            <w:vMerge w:val="restart"/>
          </w:tcPr>
          <w:p>
            <w:pPr>
              <w:pStyle w:val="10533"/>
              <w:pBdr/>
              <w:spacing/>
              <w:ind/>
              <w:jc w:val="center"/>
              <w:rPr>
                <w:color w:val="000000"/>
                <w:sz w:val="20"/>
                <w:szCs w:val="20"/>
              </w:rPr>
            </w:pPr>
            <w:r>
              <w:rPr>
                <w:color w:val="000000"/>
                <w:sz w:val="20"/>
                <w:szCs w:val="20"/>
              </w:rPr>
              <w:t xml:space="preserve">Объем производства тепловой энергии в год, Гкал</w:t>
            </w:r>
            <w:r>
              <w:rPr>
                <w:color w:val="000000"/>
                <w:sz w:val="20"/>
                <w:szCs w:val="20"/>
              </w:rPr>
            </w:r>
          </w:p>
        </w:tc>
      </w:tr>
      <w:tr>
        <w:trPr>
          <w:trHeight w:val="1332"/>
        </w:trPr>
        <w:tc>
          <w:tcPr>
            <w:tcBorders>
              <w:top w:val="single" w:color="000000" w:sz="4" w:space="0"/>
              <w:left w:val="single" w:color="000000" w:sz="4" w:space="0"/>
              <w:bottom w:val="single" w:color="000000" w:sz="4" w:space="0"/>
              <w:right w:val="single" w:color="000000" w:sz="4" w:space="0"/>
            </w:tcBorders>
            <w:tcW w:w="478"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425"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46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058"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598"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Объекты бюджетной сферы, Гкал</w:t>
            </w:r>
            <w:r>
              <w:rPr>
                <w:color w:val="000000"/>
                <w:sz w:val="20"/>
                <w:szCs w:val="20"/>
              </w:rPr>
            </w:r>
          </w:p>
        </w:tc>
        <w:tc>
          <w:tcPr>
            <w:shd w:val="clear" w:color="000000" w:fill="d9d9d9"/>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Прочие потребители, Гкал</w:t>
            </w:r>
            <w:r>
              <w:rPr>
                <w:color w:val="000000"/>
                <w:sz w:val="20"/>
                <w:szCs w:val="20"/>
              </w:rPr>
            </w:r>
          </w:p>
        </w:tc>
        <w:tc>
          <w:tcPr>
            <w:shd w:val="clear" w:color="000000" w:fill="d9d9d9"/>
            <w:tcBorders>
              <w:right w:val="single" w:color="000000" w:sz="4" w:space="0"/>
            </w:tcBorders>
            <w:tcW w:w="1012" w:type="dxa"/>
            <w:vAlign w:val="center"/>
          </w:tcPr>
          <w:p>
            <w:pPr>
              <w:pStyle w:val="10533"/>
              <w:pBdr/>
              <w:spacing/>
              <w:ind/>
              <w:jc w:val="center"/>
              <w:rPr>
                <w:color w:val="000000"/>
                <w:sz w:val="20"/>
                <w:szCs w:val="20"/>
              </w:rPr>
            </w:pPr>
            <w:r>
              <w:rPr>
                <w:color w:val="000000"/>
                <w:sz w:val="20"/>
                <w:szCs w:val="20"/>
              </w:rPr>
              <w:t xml:space="preserve">Всего, полезный отпуск тепловой энергии,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873"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4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68"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32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r>
      <w:tr>
        <w:trPr>
          <w:trHeight w:val="288"/>
        </w:trPr>
        <w:tc>
          <w:tcPr>
            <w:shd w:val="clear" w:color="000000" w:fill="ffffff"/>
            <w:tcBorders>
              <w:left w:val="single" w:color="000000" w:sz="4" w:space="0"/>
              <w:bottom w:val="single" w:color="000000" w:sz="4" w:space="0"/>
              <w:right w:val="single" w:color="000000" w:sz="4" w:space="0"/>
            </w:tcBorders>
            <w:tcW w:w="478" w:type="dxa"/>
            <w:vAlign w:val="center"/>
          </w:tcPr>
          <w:p>
            <w:pPr>
              <w:pStyle w:val="10533"/>
              <w:pBdr/>
              <w:spacing/>
              <w:ind/>
              <w:jc w:val="center"/>
              <w:rPr>
                <w:color w:val="000000"/>
                <w:sz w:val="20"/>
                <w:szCs w:val="20"/>
              </w:rPr>
            </w:pPr>
            <w:r>
              <w:rPr>
                <w:color w:val="000000"/>
                <w:sz w:val="20"/>
                <w:szCs w:val="20"/>
              </w:rPr>
              <w:t xml:space="preserve">1</w:t>
            </w:r>
            <w:r>
              <w:rPr>
                <w:color w:val="000000"/>
                <w:sz w:val="20"/>
                <w:szCs w:val="20"/>
              </w:rPr>
            </w:r>
          </w:p>
        </w:tc>
        <w:tc>
          <w:tcPr>
            <w:shd w:val="clear" w:color="000000" w:fill="ffffff"/>
            <w:tcBorders>
              <w:bottom w:val="single" w:color="000000" w:sz="4" w:space="0"/>
              <w:right w:val="single" w:color="000000" w:sz="4" w:space="0"/>
            </w:tcBorders>
            <w:tcW w:w="1425" w:type="dxa"/>
            <w:vAlign w:val="center"/>
          </w:tcPr>
          <w:p>
            <w:pPr>
              <w:pStyle w:val="10533"/>
              <w:pBdr/>
              <w:spacing/>
              <w:ind/>
              <w:jc w:val="center"/>
              <w:rPr>
                <w:color w:val="000000"/>
                <w:sz w:val="20"/>
                <w:szCs w:val="20"/>
              </w:rPr>
            </w:pPr>
            <w:r>
              <w:rPr>
                <w:color w:val="000000"/>
                <w:sz w:val="20"/>
                <w:szCs w:val="20"/>
              </w:rPr>
              <w:t xml:space="preserve">Котельная №5 д. Ясенки</w:t>
            </w:r>
            <w:r>
              <w:rPr>
                <w:color w:val="000000"/>
                <w:sz w:val="20"/>
                <w:szCs w:val="20"/>
              </w:rPr>
            </w:r>
          </w:p>
        </w:tc>
        <w:tc>
          <w:tcPr>
            <w:shd w:val="clear" w:color="000000" w:fill="ffffff"/>
            <w:tcBorders>
              <w:bottom w:val="single" w:color="000000" w:sz="4" w:space="0"/>
              <w:right w:val="single" w:color="000000" w:sz="4" w:space="0"/>
            </w:tcBorders>
            <w:tcW w:w="1466" w:type="dxa"/>
            <w:vAlign w:val="center"/>
          </w:tcPr>
          <w:p>
            <w:pPr>
              <w:pStyle w:val="10533"/>
              <w:pBdr/>
              <w:spacing/>
              <w:ind/>
              <w:jc w:val="center"/>
              <w:rPr>
                <w:color w:val="000000"/>
                <w:sz w:val="20"/>
                <w:szCs w:val="20"/>
              </w:rPr>
            </w:pPr>
            <w:r>
              <w:rPr>
                <w:color w:val="000000"/>
                <w:sz w:val="20"/>
                <w:szCs w:val="20"/>
              </w:rPr>
              <w:t xml:space="preserve">0,172</w:t>
            </w:r>
            <w:r>
              <w:rPr>
                <w:color w:val="000000"/>
                <w:sz w:val="20"/>
                <w:szCs w:val="20"/>
              </w:rPr>
            </w:r>
          </w:p>
        </w:tc>
        <w:tc>
          <w:tcPr>
            <w:shd w:val="clear" w:color="000000" w:fill="ffffff"/>
            <w:tcBorders>
              <w:bottom w:val="single" w:color="000000" w:sz="4" w:space="0"/>
              <w:right w:val="single" w:color="000000" w:sz="4" w:space="0"/>
            </w:tcBorders>
            <w:tcW w:w="1058" w:type="dxa"/>
            <w:vAlign w:val="center"/>
          </w:tcPr>
          <w:p>
            <w:pPr>
              <w:pStyle w:val="10533"/>
              <w:pBdr/>
              <w:spacing/>
              <w:ind/>
              <w:jc w:val="center"/>
              <w:rPr>
                <w:color w:val="000000"/>
                <w:sz w:val="20"/>
                <w:szCs w:val="20"/>
              </w:rPr>
            </w:pPr>
            <w:r>
              <w:rPr>
                <w:color w:val="000000"/>
                <w:sz w:val="20"/>
                <w:szCs w:val="20"/>
              </w:rPr>
              <w:t xml:space="preserve">0,004</w:t>
            </w:r>
            <w:r>
              <w:rPr>
                <w:color w:val="000000"/>
                <w:sz w:val="20"/>
                <w:szCs w:val="20"/>
              </w:rPr>
            </w:r>
          </w:p>
        </w:tc>
        <w:tc>
          <w:tcPr>
            <w:shd w:val="clear" w:color="000000" w:fill="ffffff"/>
            <w:tcBorders>
              <w:bottom w:val="single" w:color="000000" w:sz="4" w:space="0"/>
              <w:right w:val="single" w:color="000000" w:sz="4" w:space="0"/>
            </w:tcBorders>
            <w:tcW w:w="1598" w:type="dxa"/>
            <w:vAlign w:val="center"/>
          </w:tcPr>
          <w:p>
            <w:pPr>
              <w:pStyle w:val="10533"/>
              <w:pBdr/>
              <w:spacing/>
              <w:ind/>
              <w:jc w:val="center"/>
              <w:rPr>
                <w:color w:val="000000"/>
                <w:sz w:val="20"/>
                <w:szCs w:val="20"/>
              </w:rPr>
            </w:pPr>
            <w:r>
              <w:rPr>
                <w:color w:val="000000"/>
                <w:sz w:val="20"/>
                <w:szCs w:val="20"/>
              </w:rPr>
              <w:t xml:space="preserve">0,050</w:t>
            </w:r>
            <w:r>
              <w:rPr>
                <w:color w:val="000000"/>
                <w:sz w:val="20"/>
                <w:szCs w:val="20"/>
              </w:rPr>
            </w:r>
          </w:p>
        </w:tc>
        <w:tc>
          <w:tcPr>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108,097</w:t>
            </w:r>
            <w:r>
              <w:rPr>
                <w:color w:val="000000"/>
                <w:sz w:val="20"/>
                <w:szCs w:val="20"/>
              </w:rPr>
            </w:r>
          </w:p>
        </w:tc>
        <w:tc>
          <w:tcPr>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top w:val="single" w:color="000000" w:sz="4" w:space="0"/>
              <w:bottom w:val="single" w:color="000000" w:sz="4" w:space="0"/>
              <w:right w:val="single" w:color="000000" w:sz="4" w:space="0"/>
            </w:tcBorders>
            <w:tcW w:w="1012" w:type="dxa"/>
            <w:vAlign w:val="center"/>
          </w:tcPr>
          <w:p>
            <w:pPr>
              <w:pStyle w:val="10533"/>
              <w:pBdr/>
              <w:spacing/>
              <w:ind/>
              <w:jc w:val="center"/>
              <w:rPr>
                <w:color w:val="000000"/>
                <w:sz w:val="20"/>
                <w:szCs w:val="20"/>
              </w:rPr>
            </w:pPr>
            <w:r>
              <w:rPr>
                <w:color w:val="000000"/>
                <w:sz w:val="20"/>
                <w:szCs w:val="20"/>
              </w:rPr>
              <w:t xml:space="preserve">108,10</w:t>
            </w:r>
            <w:r>
              <w:rPr>
                <w:color w:val="000000"/>
                <w:sz w:val="20"/>
                <w:szCs w:val="20"/>
              </w:rPr>
            </w:r>
          </w:p>
        </w:tc>
        <w:tc>
          <w:tcPr>
            <w:tcBorders>
              <w:top w:val="single" w:color="000000" w:sz="4" w:space="0"/>
              <w:bottom w:val="single" w:color="000000" w:sz="4" w:space="0"/>
              <w:right w:val="single" w:color="000000" w:sz="4" w:space="0"/>
            </w:tcBorders>
            <w:tcW w:w="873" w:type="dxa"/>
            <w:vAlign w:val="center"/>
          </w:tcPr>
          <w:p>
            <w:pPr>
              <w:pStyle w:val="10533"/>
              <w:pBdr/>
              <w:spacing/>
              <w:ind/>
              <w:jc w:val="center"/>
              <w:rPr>
                <w:color w:val="000000"/>
                <w:sz w:val="20"/>
                <w:szCs w:val="20"/>
              </w:rPr>
            </w:pPr>
            <w:r>
              <w:rPr>
                <w:color w:val="000000"/>
                <w:sz w:val="20"/>
                <w:szCs w:val="20"/>
              </w:rPr>
              <w:t xml:space="preserve">8,47</w:t>
            </w:r>
            <w:r>
              <w:rPr>
                <w:color w:val="000000"/>
                <w:sz w:val="20"/>
                <w:szCs w:val="20"/>
              </w:rPr>
            </w:r>
          </w:p>
        </w:tc>
        <w:tc>
          <w:tcPr>
            <w:tcBorders>
              <w:top w:val="single" w:color="000000" w:sz="4" w:space="0"/>
              <w:bottom w:val="single" w:color="000000" w:sz="4" w:space="0"/>
              <w:right w:val="single" w:color="000000" w:sz="4" w:space="0"/>
            </w:tcBorders>
            <w:tcW w:w="1246" w:type="dxa"/>
            <w:vAlign w:val="center"/>
          </w:tcPr>
          <w:p>
            <w:pPr>
              <w:pStyle w:val="10533"/>
              <w:pBdr/>
              <w:spacing/>
              <w:ind/>
              <w:jc w:val="center"/>
              <w:rPr>
                <w:color w:val="000000"/>
                <w:sz w:val="20"/>
                <w:szCs w:val="20"/>
              </w:rPr>
            </w:pPr>
            <w:r>
              <w:rPr>
                <w:color w:val="000000"/>
                <w:sz w:val="20"/>
                <w:szCs w:val="20"/>
              </w:rPr>
              <w:t xml:space="preserve">116,57</w:t>
            </w:r>
            <w:r>
              <w:rPr>
                <w:color w:val="000000"/>
                <w:sz w:val="20"/>
                <w:szCs w:val="20"/>
              </w:rPr>
            </w:r>
          </w:p>
        </w:tc>
        <w:tc>
          <w:tcPr>
            <w:tcBorders>
              <w:top w:val="single" w:color="000000" w:sz="4" w:space="0"/>
              <w:bottom w:val="single" w:color="000000" w:sz="4" w:space="0"/>
              <w:right w:val="single" w:color="000000" w:sz="4" w:space="0"/>
            </w:tcBorders>
            <w:tcW w:w="1268" w:type="dxa"/>
            <w:vAlign w:val="center"/>
          </w:tcPr>
          <w:p>
            <w:pPr>
              <w:pStyle w:val="10533"/>
              <w:pBdr/>
              <w:spacing/>
              <w:ind/>
              <w:jc w:val="center"/>
              <w:rPr>
                <w:color w:val="000000"/>
                <w:sz w:val="20"/>
                <w:szCs w:val="20"/>
              </w:rPr>
            </w:pPr>
            <w:r>
              <w:rPr>
                <w:color w:val="000000"/>
                <w:sz w:val="20"/>
                <w:szCs w:val="20"/>
              </w:rPr>
              <w:t xml:space="preserve">2,01</w:t>
            </w:r>
            <w:r>
              <w:rPr>
                <w:color w:val="000000"/>
                <w:sz w:val="20"/>
                <w:szCs w:val="20"/>
              </w:rPr>
            </w:r>
          </w:p>
        </w:tc>
        <w:tc>
          <w:tcPr>
            <w:tcBorders>
              <w:top w:val="single" w:color="000000" w:sz="4" w:space="0"/>
              <w:bottom w:val="single" w:color="000000" w:sz="4" w:space="0"/>
              <w:right w:val="single" w:color="000000" w:sz="4" w:space="0"/>
            </w:tcBorders>
            <w:tcW w:w="1326" w:type="dxa"/>
            <w:vAlign w:val="center"/>
          </w:tcPr>
          <w:p>
            <w:pPr>
              <w:pStyle w:val="10533"/>
              <w:pBdr/>
              <w:spacing/>
              <w:ind/>
              <w:jc w:val="center"/>
              <w:rPr>
                <w:color w:val="000000"/>
                <w:sz w:val="20"/>
                <w:szCs w:val="20"/>
              </w:rPr>
            </w:pPr>
            <w:r>
              <w:rPr>
                <w:color w:val="000000"/>
                <w:sz w:val="20"/>
                <w:szCs w:val="20"/>
              </w:rPr>
              <w:t xml:space="preserve">118,58</w:t>
            </w:r>
            <w:r>
              <w:rPr>
                <w:color w:val="000000"/>
                <w:sz w:val="20"/>
                <w:szCs w:val="20"/>
              </w:rPr>
            </w:r>
          </w:p>
        </w:tc>
      </w:tr>
      <w:tr>
        <w:trPr>
          <w:trHeight w:val="348"/>
        </w:trPr>
        <w:tc>
          <w:tcPr>
            <w:shd w:val="clear" w:color="000000" w:fill="ffffff"/>
            <w:tcBorders>
              <w:left w:val="single" w:color="000000" w:sz="4" w:space="0"/>
              <w:bottom w:val="single" w:color="000000" w:sz="4" w:space="0"/>
              <w:right w:val="single" w:color="000000" w:sz="4" w:space="0"/>
            </w:tcBorders>
            <w:tcW w:w="478" w:type="dxa"/>
            <w:vAlign w:val="center"/>
          </w:tcPr>
          <w:p>
            <w:pPr>
              <w:pStyle w:val="10533"/>
              <w:pBdr/>
              <w:spacing/>
              <w:ind/>
              <w:jc w:val="center"/>
              <w:rPr>
                <w:color w:val="000000"/>
                <w:sz w:val="20"/>
                <w:szCs w:val="20"/>
              </w:rPr>
            </w:pPr>
            <w:r>
              <w:rPr>
                <w:color w:val="000000"/>
                <w:sz w:val="20"/>
                <w:szCs w:val="20"/>
              </w:rPr>
              <w:t xml:space="preserve">2</w:t>
            </w:r>
            <w:r>
              <w:rPr>
                <w:color w:val="000000"/>
                <w:sz w:val="20"/>
                <w:szCs w:val="20"/>
              </w:rPr>
            </w:r>
          </w:p>
        </w:tc>
        <w:tc>
          <w:tcPr>
            <w:shd w:val="clear" w:color="000000" w:fill="ffffff"/>
            <w:tcBorders>
              <w:bottom w:val="single" w:color="000000" w:sz="4" w:space="0"/>
              <w:right w:val="single" w:color="000000" w:sz="4" w:space="0"/>
            </w:tcBorders>
            <w:tcW w:w="1425" w:type="dxa"/>
            <w:vAlign w:val="center"/>
          </w:tcPr>
          <w:p>
            <w:pPr>
              <w:pStyle w:val="10533"/>
              <w:pBdr/>
              <w:spacing/>
              <w:ind/>
              <w:jc w:val="center"/>
              <w:rPr>
                <w:color w:val="000000"/>
                <w:sz w:val="20"/>
                <w:szCs w:val="20"/>
              </w:rPr>
            </w:pPr>
            <w:r>
              <w:rPr>
                <w:color w:val="000000"/>
                <w:sz w:val="20"/>
                <w:szCs w:val="20"/>
              </w:rPr>
              <w:t xml:space="preserve">Котельная №6 п. Первомайский</w:t>
            </w:r>
            <w:r>
              <w:rPr>
                <w:color w:val="000000"/>
                <w:sz w:val="20"/>
                <w:szCs w:val="20"/>
              </w:rPr>
            </w:r>
          </w:p>
        </w:tc>
        <w:tc>
          <w:tcPr>
            <w:shd w:val="clear" w:color="000000" w:fill="ffffff"/>
            <w:tcBorders>
              <w:bottom w:val="single" w:color="000000" w:sz="4" w:space="0"/>
              <w:right w:val="single" w:color="000000" w:sz="4" w:space="0"/>
            </w:tcBorders>
            <w:tcW w:w="1466" w:type="dxa"/>
            <w:vAlign w:val="center"/>
          </w:tcPr>
          <w:p>
            <w:pPr>
              <w:pStyle w:val="10533"/>
              <w:pBdr/>
              <w:spacing/>
              <w:ind/>
              <w:jc w:val="center"/>
              <w:rPr>
                <w:color w:val="000000"/>
                <w:sz w:val="20"/>
                <w:szCs w:val="20"/>
              </w:rPr>
            </w:pPr>
            <w:r>
              <w:rPr>
                <w:color w:val="000000"/>
                <w:sz w:val="20"/>
                <w:szCs w:val="20"/>
              </w:rPr>
              <w:t xml:space="preserve">0,344</w:t>
            </w:r>
            <w:r>
              <w:rPr>
                <w:color w:val="000000"/>
                <w:sz w:val="20"/>
                <w:szCs w:val="20"/>
              </w:rPr>
            </w:r>
          </w:p>
        </w:tc>
        <w:tc>
          <w:tcPr>
            <w:shd w:val="clear" w:color="000000" w:fill="ffffff"/>
            <w:tcBorders>
              <w:bottom w:val="single" w:color="000000" w:sz="4" w:space="0"/>
              <w:right w:val="single" w:color="000000" w:sz="4" w:space="0"/>
            </w:tcBorders>
            <w:tcW w:w="1058" w:type="dxa"/>
            <w:vAlign w:val="center"/>
          </w:tcPr>
          <w:p>
            <w:pPr>
              <w:pStyle w:val="10533"/>
              <w:pBdr/>
              <w:spacing/>
              <w:ind/>
              <w:jc w:val="center"/>
              <w:rPr>
                <w:color w:val="000000"/>
                <w:sz w:val="20"/>
                <w:szCs w:val="20"/>
              </w:rPr>
            </w:pPr>
            <w:r>
              <w:rPr>
                <w:color w:val="000000"/>
                <w:sz w:val="20"/>
                <w:szCs w:val="20"/>
              </w:rPr>
              <w:t xml:space="preserve">0,010</w:t>
            </w:r>
            <w:r>
              <w:rPr>
                <w:color w:val="000000"/>
                <w:sz w:val="20"/>
                <w:szCs w:val="20"/>
              </w:rPr>
            </w:r>
          </w:p>
        </w:tc>
        <w:tc>
          <w:tcPr>
            <w:shd w:val="clear" w:color="000000" w:fill="ffffff"/>
            <w:tcBorders>
              <w:bottom w:val="single" w:color="000000" w:sz="4" w:space="0"/>
              <w:right w:val="single" w:color="000000" w:sz="4" w:space="0"/>
            </w:tcBorders>
            <w:tcW w:w="1598" w:type="dxa"/>
            <w:vAlign w:val="center"/>
          </w:tcPr>
          <w:p>
            <w:pPr>
              <w:pStyle w:val="10533"/>
              <w:pBdr/>
              <w:spacing/>
              <w:ind/>
              <w:jc w:val="center"/>
              <w:rPr>
                <w:color w:val="000000"/>
                <w:sz w:val="20"/>
                <w:szCs w:val="20"/>
              </w:rPr>
            </w:pPr>
            <w:r>
              <w:rPr>
                <w:color w:val="000000"/>
                <w:sz w:val="20"/>
                <w:szCs w:val="20"/>
              </w:rPr>
              <w:t xml:space="preserve">0,120</w:t>
            </w:r>
            <w:r>
              <w:rPr>
                <w:color w:val="000000"/>
                <w:sz w:val="20"/>
                <w:szCs w:val="20"/>
              </w:rPr>
            </w:r>
          </w:p>
        </w:tc>
        <w:tc>
          <w:tcPr>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290,646</w:t>
            </w:r>
            <w:r>
              <w:rPr>
                <w:color w:val="000000"/>
                <w:sz w:val="20"/>
                <w:szCs w:val="20"/>
              </w:rPr>
            </w:r>
          </w:p>
        </w:tc>
        <w:tc>
          <w:tcPr>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4" w:space="0"/>
              <w:right w:val="single" w:color="000000" w:sz="4" w:space="0"/>
            </w:tcBorders>
            <w:tcW w:w="1012" w:type="dxa"/>
            <w:vAlign w:val="center"/>
          </w:tcPr>
          <w:p>
            <w:pPr>
              <w:pStyle w:val="10533"/>
              <w:pBdr/>
              <w:spacing/>
              <w:ind/>
              <w:jc w:val="center"/>
              <w:rPr>
                <w:color w:val="000000"/>
                <w:sz w:val="20"/>
                <w:szCs w:val="20"/>
              </w:rPr>
            </w:pPr>
            <w:r>
              <w:rPr>
                <w:color w:val="000000"/>
                <w:sz w:val="20"/>
                <w:szCs w:val="20"/>
              </w:rPr>
              <w:t xml:space="preserve">290,65</w:t>
            </w:r>
            <w:r>
              <w:rPr>
                <w:color w:val="000000"/>
                <w:sz w:val="20"/>
                <w:szCs w:val="20"/>
              </w:rPr>
            </w:r>
          </w:p>
        </w:tc>
        <w:tc>
          <w:tcPr>
            <w:tcBorders>
              <w:bottom w:val="single" w:color="000000" w:sz="4" w:space="0"/>
              <w:right w:val="single" w:color="000000" w:sz="4" w:space="0"/>
            </w:tcBorders>
            <w:tcW w:w="873" w:type="dxa"/>
            <w:vAlign w:val="center"/>
          </w:tcPr>
          <w:p>
            <w:pPr>
              <w:pStyle w:val="10533"/>
              <w:pBdr/>
              <w:spacing/>
              <w:ind/>
              <w:jc w:val="center"/>
              <w:rPr>
                <w:color w:val="000000"/>
                <w:sz w:val="20"/>
                <w:szCs w:val="20"/>
              </w:rPr>
            </w:pPr>
            <w:r>
              <w:rPr>
                <w:color w:val="000000"/>
                <w:sz w:val="20"/>
                <w:szCs w:val="20"/>
              </w:rPr>
              <w:t xml:space="preserve">23,96</w:t>
            </w:r>
            <w:r>
              <w:rPr>
                <w:color w:val="000000"/>
                <w:sz w:val="20"/>
                <w:szCs w:val="20"/>
              </w:rPr>
            </w:r>
          </w:p>
        </w:tc>
        <w:tc>
          <w:tcPr>
            <w:tcBorders>
              <w:bottom w:val="single" w:color="000000" w:sz="4" w:space="0"/>
              <w:right w:val="single" w:color="000000" w:sz="4" w:space="0"/>
            </w:tcBorders>
            <w:tcW w:w="1246" w:type="dxa"/>
            <w:vAlign w:val="center"/>
          </w:tcPr>
          <w:p>
            <w:pPr>
              <w:pStyle w:val="10533"/>
              <w:pBdr/>
              <w:spacing/>
              <w:ind/>
              <w:jc w:val="center"/>
              <w:rPr>
                <w:color w:val="000000"/>
                <w:sz w:val="20"/>
                <w:szCs w:val="20"/>
              </w:rPr>
            </w:pPr>
            <w:r>
              <w:rPr>
                <w:color w:val="000000"/>
                <w:sz w:val="20"/>
                <w:szCs w:val="20"/>
              </w:rPr>
              <w:t xml:space="preserve">314,606</w:t>
            </w:r>
            <w:r>
              <w:rPr>
                <w:color w:val="000000"/>
                <w:sz w:val="20"/>
                <w:szCs w:val="20"/>
              </w:rPr>
            </w:r>
          </w:p>
        </w:tc>
        <w:tc>
          <w:tcPr>
            <w:tcBorders>
              <w:bottom w:val="single" w:color="000000" w:sz="4" w:space="0"/>
              <w:right w:val="single" w:color="000000" w:sz="4" w:space="0"/>
            </w:tcBorders>
            <w:tcW w:w="1268" w:type="dxa"/>
            <w:vAlign w:val="center"/>
          </w:tcPr>
          <w:p>
            <w:pPr>
              <w:pStyle w:val="10533"/>
              <w:pBdr/>
              <w:spacing/>
              <w:ind/>
              <w:jc w:val="center"/>
              <w:rPr>
                <w:color w:val="000000"/>
                <w:sz w:val="20"/>
                <w:szCs w:val="20"/>
              </w:rPr>
            </w:pPr>
            <w:r>
              <w:rPr>
                <w:color w:val="000000"/>
                <w:sz w:val="20"/>
                <w:szCs w:val="20"/>
              </w:rPr>
              <w:t xml:space="preserve">1,55</w:t>
            </w:r>
            <w:r>
              <w:rPr>
                <w:color w:val="000000"/>
                <w:sz w:val="20"/>
                <w:szCs w:val="20"/>
              </w:rPr>
            </w:r>
          </w:p>
        </w:tc>
        <w:tc>
          <w:tcPr>
            <w:tcBorders>
              <w:bottom w:val="single" w:color="000000" w:sz="4" w:space="0"/>
              <w:right w:val="single" w:color="000000" w:sz="4" w:space="0"/>
            </w:tcBorders>
            <w:tcW w:w="1326" w:type="dxa"/>
            <w:vAlign w:val="center"/>
          </w:tcPr>
          <w:p>
            <w:pPr>
              <w:pStyle w:val="10533"/>
              <w:pBdr/>
              <w:spacing/>
              <w:ind/>
              <w:jc w:val="center"/>
              <w:rPr>
                <w:color w:val="000000"/>
                <w:sz w:val="20"/>
                <w:szCs w:val="20"/>
              </w:rPr>
            </w:pPr>
            <w:r>
              <w:rPr>
                <w:color w:val="000000"/>
                <w:sz w:val="20"/>
                <w:szCs w:val="20"/>
              </w:rPr>
              <w:t xml:space="preserve">316,16</w:t>
            </w:r>
            <w:r>
              <w:rPr>
                <w:color w:val="000000"/>
                <w:sz w:val="20"/>
                <w:szCs w:val="20"/>
              </w:rPr>
            </w:r>
          </w:p>
        </w:tc>
      </w:tr>
      <w:tr>
        <w:trPr>
          <w:trHeight w:val="348"/>
        </w:trPr>
        <w:tc>
          <w:tcPr>
            <w:shd w:val="clear" w:color="000000" w:fill="ffffff"/>
            <w:tcBorders>
              <w:left w:val="single" w:color="000000" w:sz="4" w:space="0"/>
              <w:bottom w:val="single" w:color="000000" w:sz="4" w:space="0"/>
              <w:right w:val="single" w:color="000000" w:sz="4" w:space="0"/>
            </w:tcBorders>
            <w:tcW w:w="478"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shd w:val="clear" w:color="000000" w:fill="ffffff"/>
            <w:tcBorders>
              <w:bottom w:val="single" w:color="000000" w:sz="4" w:space="0"/>
              <w:right w:val="single" w:color="000000" w:sz="4" w:space="0"/>
            </w:tcBorders>
            <w:tcW w:w="1425" w:type="dxa"/>
            <w:vAlign w:val="center"/>
          </w:tcPr>
          <w:p>
            <w:pPr>
              <w:pStyle w:val="10533"/>
              <w:pBdr/>
              <w:spacing/>
              <w:ind/>
              <w:jc w:val="center"/>
              <w:rPr>
                <w:color w:val="000000"/>
                <w:sz w:val="20"/>
                <w:szCs w:val="20"/>
              </w:rPr>
            </w:pPr>
            <w:r>
              <w:rPr>
                <w:color w:val="000000"/>
                <w:sz w:val="20"/>
                <w:szCs w:val="20"/>
              </w:rPr>
              <w:t xml:space="preserve">Котельная №7 с. Белый Колодезь</w:t>
            </w:r>
            <w:r>
              <w:rPr>
                <w:color w:val="000000"/>
                <w:sz w:val="20"/>
                <w:szCs w:val="20"/>
              </w:rPr>
            </w:r>
          </w:p>
        </w:tc>
        <w:tc>
          <w:tcPr>
            <w:shd w:val="clear" w:color="000000" w:fill="ffffff"/>
            <w:tcBorders>
              <w:bottom w:val="single" w:color="000000" w:sz="4" w:space="0"/>
              <w:right w:val="single" w:color="000000" w:sz="4" w:space="0"/>
            </w:tcBorders>
            <w:tcW w:w="1466" w:type="dxa"/>
            <w:vAlign w:val="center"/>
          </w:tcPr>
          <w:p>
            <w:pPr>
              <w:pStyle w:val="10533"/>
              <w:pBdr/>
              <w:spacing/>
              <w:ind/>
              <w:jc w:val="center"/>
              <w:rPr>
                <w:color w:val="000000"/>
                <w:sz w:val="20"/>
                <w:szCs w:val="20"/>
              </w:rPr>
            </w:pPr>
            <w:r>
              <w:rPr>
                <w:color w:val="000000"/>
                <w:sz w:val="20"/>
                <w:szCs w:val="20"/>
              </w:rPr>
              <w:t xml:space="preserve">0,172</w:t>
            </w:r>
            <w:r>
              <w:rPr>
                <w:color w:val="000000"/>
                <w:sz w:val="20"/>
                <w:szCs w:val="20"/>
              </w:rPr>
            </w:r>
          </w:p>
        </w:tc>
        <w:tc>
          <w:tcPr>
            <w:shd w:val="clear" w:color="000000" w:fill="ffffff"/>
            <w:tcBorders>
              <w:bottom w:val="single" w:color="000000" w:sz="4" w:space="0"/>
              <w:right w:val="single" w:color="000000" w:sz="4" w:space="0"/>
            </w:tcBorders>
            <w:tcW w:w="1058" w:type="dxa"/>
            <w:vAlign w:val="center"/>
          </w:tcPr>
          <w:p>
            <w:pPr>
              <w:pStyle w:val="10533"/>
              <w:pBdr/>
              <w:spacing/>
              <w:ind/>
              <w:jc w:val="center"/>
              <w:rPr>
                <w:color w:val="000000"/>
                <w:sz w:val="20"/>
                <w:szCs w:val="20"/>
              </w:rPr>
            </w:pPr>
            <w:r>
              <w:rPr>
                <w:color w:val="000000"/>
                <w:sz w:val="20"/>
                <w:szCs w:val="20"/>
              </w:rPr>
              <w:t xml:space="preserve">0,003</w:t>
            </w:r>
            <w:r>
              <w:rPr>
                <w:color w:val="000000"/>
                <w:sz w:val="20"/>
                <w:szCs w:val="20"/>
              </w:rPr>
            </w:r>
          </w:p>
        </w:tc>
        <w:tc>
          <w:tcPr>
            <w:shd w:val="clear" w:color="000000" w:fill="ffffff"/>
            <w:tcBorders>
              <w:bottom w:val="single" w:color="000000" w:sz="4" w:space="0"/>
              <w:right w:val="single" w:color="000000" w:sz="4" w:space="0"/>
            </w:tcBorders>
            <w:tcW w:w="1598" w:type="dxa"/>
            <w:vAlign w:val="center"/>
          </w:tcPr>
          <w:p>
            <w:pPr>
              <w:pStyle w:val="10533"/>
              <w:pBdr/>
              <w:spacing/>
              <w:ind/>
              <w:jc w:val="center"/>
              <w:rPr>
                <w:color w:val="000000"/>
                <w:sz w:val="20"/>
                <w:szCs w:val="20"/>
              </w:rPr>
            </w:pPr>
            <w:r>
              <w:rPr>
                <w:color w:val="000000"/>
                <w:sz w:val="20"/>
                <w:szCs w:val="20"/>
              </w:rPr>
              <w:t xml:space="preserve">0,070</w:t>
            </w:r>
            <w:r>
              <w:rPr>
                <w:color w:val="000000"/>
                <w:sz w:val="20"/>
                <w:szCs w:val="20"/>
              </w:rPr>
            </w:r>
          </w:p>
        </w:tc>
        <w:tc>
          <w:tcPr>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148,244</w:t>
            </w:r>
            <w:r>
              <w:rPr>
                <w:color w:val="000000"/>
                <w:sz w:val="20"/>
                <w:szCs w:val="20"/>
              </w:rPr>
            </w:r>
          </w:p>
        </w:tc>
        <w:tc>
          <w:tcPr>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2,596</w:t>
            </w:r>
            <w:r>
              <w:rPr>
                <w:color w:val="000000"/>
                <w:sz w:val="20"/>
                <w:szCs w:val="20"/>
              </w:rPr>
            </w:r>
          </w:p>
        </w:tc>
        <w:tc>
          <w:tcPr>
            <w:tcBorders>
              <w:bottom w:val="single" w:color="000000" w:sz="4" w:space="0"/>
              <w:right w:val="single" w:color="000000" w:sz="4" w:space="0"/>
            </w:tcBorders>
            <w:tcW w:w="1012" w:type="dxa"/>
            <w:vAlign w:val="center"/>
          </w:tcPr>
          <w:p>
            <w:pPr>
              <w:pStyle w:val="10533"/>
              <w:pBdr/>
              <w:spacing/>
              <w:ind/>
              <w:jc w:val="center"/>
              <w:rPr>
                <w:color w:val="000000"/>
                <w:sz w:val="20"/>
                <w:szCs w:val="20"/>
              </w:rPr>
            </w:pPr>
            <w:r>
              <w:rPr>
                <w:color w:val="000000"/>
                <w:sz w:val="20"/>
                <w:szCs w:val="20"/>
              </w:rPr>
              <w:t xml:space="preserve">150,84</w:t>
            </w:r>
            <w:r>
              <w:rPr>
                <w:color w:val="000000"/>
                <w:sz w:val="20"/>
                <w:szCs w:val="20"/>
              </w:rPr>
            </w:r>
          </w:p>
        </w:tc>
        <w:tc>
          <w:tcPr>
            <w:tcBorders>
              <w:bottom w:val="single" w:color="000000" w:sz="4" w:space="0"/>
              <w:right w:val="single" w:color="000000" w:sz="4" w:space="0"/>
            </w:tcBorders>
            <w:tcW w:w="873" w:type="dxa"/>
            <w:vAlign w:val="center"/>
          </w:tcPr>
          <w:p>
            <w:pPr>
              <w:pStyle w:val="10533"/>
              <w:pBdr/>
              <w:spacing/>
              <w:ind/>
              <w:jc w:val="center"/>
              <w:rPr>
                <w:color w:val="000000"/>
                <w:sz w:val="20"/>
                <w:szCs w:val="20"/>
              </w:rPr>
            </w:pPr>
            <w:r>
              <w:rPr>
                <w:color w:val="000000"/>
                <w:sz w:val="20"/>
                <w:szCs w:val="20"/>
              </w:rPr>
              <w:t xml:space="preserve">7,27</w:t>
            </w:r>
            <w:r>
              <w:rPr>
                <w:color w:val="000000"/>
                <w:sz w:val="20"/>
                <w:szCs w:val="20"/>
              </w:rPr>
            </w:r>
          </w:p>
        </w:tc>
        <w:tc>
          <w:tcPr>
            <w:tcBorders>
              <w:bottom w:val="single" w:color="000000" w:sz="4" w:space="0"/>
              <w:right w:val="single" w:color="000000" w:sz="4" w:space="0"/>
            </w:tcBorders>
            <w:tcW w:w="1246" w:type="dxa"/>
            <w:vAlign w:val="center"/>
          </w:tcPr>
          <w:p>
            <w:pPr>
              <w:pStyle w:val="10533"/>
              <w:pBdr/>
              <w:spacing/>
              <w:ind/>
              <w:jc w:val="center"/>
              <w:rPr>
                <w:color w:val="000000"/>
                <w:sz w:val="20"/>
                <w:szCs w:val="20"/>
              </w:rPr>
            </w:pPr>
            <w:r>
              <w:rPr>
                <w:color w:val="000000"/>
                <w:sz w:val="20"/>
                <w:szCs w:val="20"/>
              </w:rPr>
              <w:t xml:space="preserve">158,11</w:t>
            </w:r>
            <w:r>
              <w:rPr>
                <w:color w:val="000000"/>
                <w:sz w:val="20"/>
                <w:szCs w:val="20"/>
              </w:rPr>
            </w:r>
          </w:p>
        </w:tc>
        <w:tc>
          <w:tcPr>
            <w:tcBorders>
              <w:bottom w:val="single" w:color="000000" w:sz="4" w:space="0"/>
              <w:right w:val="single" w:color="000000" w:sz="4" w:space="0"/>
            </w:tcBorders>
            <w:tcW w:w="1268" w:type="dxa"/>
            <w:vAlign w:val="center"/>
          </w:tcPr>
          <w:p>
            <w:pPr>
              <w:pStyle w:val="10533"/>
              <w:pBdr/>
              <w:spacing/>
              <w:ind/>
              <w:jc w:val="center"/>
              <w:rPr>
                <w:color w:val="000000"/>
                <w:sz w:val="20"/>
                <w:szCs w:val="20"/>
              </w:rPr>
            </w:pPr>
            <w:r>
              <w:rPr>
                <w:color w:val="000000"/>
                <w:sz w:val="20"/>
                <w:szCs w:val="20"/>
              </w:rPr>
              <w:t xml:space="preserve">1,85</w:t>
            </w:r>
            <w:r>
              <w:rPr>
                <w:color w:val="000000"/>
                <w:sz w:val="20"/>
                <w:szCs w:val="20"/>
              </w:rPr>
            </w:r>
          </w:p>
        </w:tc>
        <w:tc>
          <w:tcPr>
            <w:tcBorders>
              <w:bottom w:val="single" w:color="000000" w:sz="4" w:space="0"/>
              <w:right w:val="single" w:color="000000" w:sz="4" w:space="0"/>
            </w:tcBorders>
            <w:tcW w:w="1326" w:type="dxa"/>
            <w:vAlign w:val="center"/>
          </w:tcPr>
          <w:p>
            <w:pPr>
              <w:pStyle w:val="10533"/>
              <w:pBdr/>
              <w:spacing/>
              <w:ind/>
              <w:jc w:val="center"/>
              <w:rPr>
                <w:color w:val="000000"/>
                <w:sz w:val="20"/>
                <w:szCs w:val="20"/>
              </w:rPr>
            </w:pPr>
            <w:r>
              <w:rPr>
                <w:color w:val="000000"/>
                <w:sz w:val="20"/>
                <w:szCs w:val="20"/>
              </w:rPr>
              <w:t xml:space="preserve">159,96</w:t>
            </w:r>
            <w:r>
              <w:rPr>
                <w:color w:val="000000"/>
                <w:sz w:val="20"/>
                <w:szCs w:val="20"/>
              </w:rPr>
            </w:r>
          </w:p>
        </w:tc>
      </w:tr>
    </w:tbl>
    <w:p>
      <w:pPr>
        <w:pStyle w:val="12385"/>
        <w:pBdr/>
        <w:tabs>
          <w:tab w:val="left" w:leader="none" w:pos="679"/>
          <w:tab w:val="clear" w:leader="none" w:pos="708"/>
          <w:tab w:val="left" w:leader="none" w:pos="2429"/>
          <w:tab w:val="left" w:leader="none" w:pos="4182"/>
          <w:tab w:val="left" w:leader="none" w:pos="5446"/>
          <w:tab w:val="left" w:leader="none" w:pos="7359"/>
          <w:tab w:val="left" w:leader="none" w:pos="8868"/>
          <w:tab w:val="left" w:leader="none" w:pos="10079"/>
          <w:tab w:val="left" w:leader="none" w:pos="11570"/>
          <w:tab w:val="left" w:leader="none" w:pos="13087"/>
        </w:tabs>
        <w:spacing/>
        <w:ind w:firstLine="0" w:left="113"/>
        <w:jc w:val="left"/>
        <w:rPr>
          <w:rFonts w:cs="Times New Roman"/>
          <w:szCs w:val="20"/>
        </w:rPr>
      </w:pPr>
      <w:r>
        <w:rPr>
          <w:rFonts w:cs="Times New Roman"/>
          <w:szCs w:val="20"/>
        </w:rPr>
        <w:tab/>
        <w:tab/>
      </w:r>
      <w:r>
        <w:rPr>
          <w:rFonts w:cs="Times New Roman"/>
        </w:rPr>
        <w:tab/>
        <w:tab/>
        <w:tab/>
        <w:tab/>
      </w:r>
      <w:r>
        <w:rPr>
          <w:rFonts w:cs="Times New Roman"/>
          <w:szCs w:val="20"/>
        </w:rPr>
      </w:r>
    </w:p>
    <w:p>
      <w:pPr>
        <w:pStyle w:val="12385"/>
        <w:pBdr/>
        <w:tabs>
          <w:tab w:val="left" w:leader="none" w:pos="599"/>
          <w:tab w:val="clear" w:leader="none" w:pos="708"/>
          <w:tab w:val="left" w:leader="none" w:pos="2074"/>
          <w:tab w:val="left" w:leader="none" w:pos="3582"/>
          <w:tab w:val="left" w:leader="none" w:pos="4669"/>
          <w:tab w:val="left" w:leader="none" w:pos="6314"/>
          <w:tab w:val="left" w:leader="none" w:pos="7310"/>
          <w:tab w:val="left" w:leader="none" w:pos="8508"/>
          <w:tab w:val="left" w:leader="none" w:pos="9365"/>
          <w:tab w:val="left" w:leader="none" w:pos="10231"/>
          <w:tab w:val="left" w:leader="none" w:pos="11147"/>
          <w:tab w:val="left" w:leader="none" w:pos="12451"/>
        </w:tabs>
        <w:spacing/>
        <w:ind w:firstLine="0" w:left="113"/>
        <w:jc w:val="left"/>
        <w:rPr>
          <w:rFonts w:cs="Times New Roman"/>
        </w:rPr>
      </w:pPr>
      <w:r>
        <w:rPr>
          <w:rFonts w:cs="Times New Roman"/>
        </w:rPr>
      </w:r>
      <w:r>
        <w:rPr>
          <w:rFonts w:cs="Times New Roman"/>
        </w:rPr>
      </w:r>
    </w:p>
    <w:p>
      <w:pPr>
        <w:pStyle w:val="12960"/>
        <w:pBdr/>
        <w:spacing/>
        <w:ind w:firstLine="0"/>
        <w:rPr/>
        <w:sectPr>
          <w:headerReference w:type="default" r:id="rId48"/>
          <w:headerReference w:type="first" r:id="rId49"/>
          <w:footerReference w:type="default" r:id="rId314"/>
          <w:footerReference w:type="first" r:id="rId315"/>
          <w:footnotePr/>
          <w:endnotePr/>
          <w:type w:val="nextPage"/>
          <w:pgSz w:h="11906" w:orient="landscape" w:w="16838"/>
          <w:pgMar w:top="1134" w:right="850" w:bottom="1134" w:left="1701" w:header="680" w:footer="284" w:gutter="0"/>
          <w:cols w:num="1" w:sep="0" w:space="1701" w:equalWidth="1"/>
        </w:sectPr>
      </w:pPr>
      <w:r/>
      <w:r/>
    </w:p>
    <w:p>
      <w:pPr>
        <w:pStyle w:val="12960"/>
        <w:pBdr/>
        <w:spacing/>
        <w:ind/>
        <w:rPr/>
      </w:pPr>
      <w:r>
        <w:t xml:space="preserve">Здесь след</w:t>
      </w:r>
      <w:r>
        <w:t xml:space="preserve">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r/>
    </w:p>
    <w:p>
      <w:pPr>
        <w:pStyle w:val="13832"/>
        <w:keepNext w:val="false"/>
        <w:widowControl w:val="true"/>
        <w:numPr>
          <w:ilvl w:val="0"/>
          <w:numId w:val="61"/>
        </w:numPr>
        <w:pBdr/>
        <w:bidi w:val="false"/>
        <w:spacing w:after="0" w:before="0" w:line="360" w:lineRule="auto"/>
        <w:ind w:right="0" w:firstLine="510" w:left="0"/>
        <w:jc w:val="both"/>
        <w:rPr>
          <w:rFonts w:eastAsia="Calibri"/>
        </w:rPr>
      </w:pPr>
      <w:r>
        <w:rPr>
          <w:rFonts w:eastAsia="Calibri"/>
        </w:rPr>
        <w:t xml:space="preserve">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w:t>
      </w:r>
      <w:r>
        <w:rPr>
          <w:rFonts w:eastAsia="Calibri"/>
        </w:rPr>
        <w:t xml:space="preserve">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r>
        <w:rPr>
          <w:rFonts w:eastAsia="Calibri"/>
        </w:rPr>
      </w:r>
    </w:p>
    <w:p>
      <w:pPr>
        <w:pStyle w:val="13832"/>
        <w:numPr>
          <w:ilvl w:val="0"/>
          <w:numId w:val="61"/>
        </w:numPr>
        <w:pBdr/>
        <w:spacing/>
        <w:ind w:hanging="284" w:left="1135"/>
        <w:rPr>
          <w:rFonts w:eastAsia="Calibri"/>
        </w:rPr>
      </w:pPr>
      <w:r>
        <w:rPr>
          <w:rFonts w:eastAsia="Calibri"/>
        </w:rPr>
        <w:t xml:space="preserve">подлежит корректировке при формировании реальных балансов, цель которых:</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минимизация стоимости подключений объектов нового строительства к системам тепловой инфраструктуры;</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безусловное исполнение условий действ</w:t>
      </w:r>
      <w:r>
        <w:rPr>
          <w:rFonts w:eastAsia="Calibri"/>
        </w:rPr>
        <w:t xml:space="preserve">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w:t>
      </w:r>
      <w:r>
        <w:rPr>
          <w:rFonts w:eastAsia="Calibri"/>
        </w:rPr>
        <w:t xml:space="preserve">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r>
        <w:rPr>
          <w:rFonts w:eastAsia="Calibri"/>
        </w:rPr>
      </w:r>
    </w:p>
    <w:p>
      <w:pPr>
        <w:pStyle w:val="12960"/>
        <w:pBdr/>
        <w:spacing/>
        <w:ind/>
        <w:rPr/>
      </w:pPr>
      <w:r>
        <w:t xml:space="preserve">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r/>
    </w:p>
    <w:p>
      <w:pPr>
        <w:pStyle w:val="10535"/>
        <w:keepNext w:val="true"/>
        <w:widowControl w:val="false"/>
        <w:numPr>
          <w:ilvl w:val="1"/>
          <w:numId w:val="13"/>
        </w:numPr>
        <w:pBdr/>
        <w:bidi w:val="false"/>
        <w:spacing w:after="240" w:before="240" w:line="240" w:lineRule="auto"/>
        <w:ind w:right="0" w:hanging="737" w:left="737"/>
        <w:jc w:val="center"/>
        <w:rPr>
          <w:rFonts w:cs="Times New Roman"/>
        </w:rPr>
      </w:pPr>
      <w:r/>
      <w:bookmarkStart w:id="350" w:name="_Toc78674730"/>
      <w:r/>
      <w:bookmarkStart w:id="351" w:name="_Toc84970967"/>
      <w:r/>
      <w:bookmarkStart w:id="352" w:name="_Toc166767183"/>
      <w:r/>
      <w:bookmarkStart w:id="353" w:name="_Toc198483523"/>
      <w:r>
        <w:rPr>
          <w:rFonts w:cs="Times New Roman"/>
        </w:rPr>
        <w:t xml:space="preserve">Описание существующих нормативов потребления тепловой энергии для населения на отопление и горячее водоснабж</w:t>
      </w:r>
      <w:bookmarkEnd w:id="350"/>
      <w:r/>
      <w:bookmarkEnd w:id="351"/>
      <w:r>
        <w:rPr>
          <w:rFonts w:cs="Times New Roman"/>
        </w:rPr>
        <w:t xml:space="preserve">ение</w:t>
      </w:r>
      <w:bookmarkEnd w:id="352"/>
      <w:r/>
      <w:bookmarkEnd w:id="353"/>
      <w:r/>
      <w:r>
        <w:rPr>
          <w:rFonts w:cs="Times New Roman"/>
        </w:rPr>
      </w:r>
    </w:p>
    <w:p>
      <w:pPr>
        <w:pStyle w:val="12960"/>
        <w:pBdr/>
        <w:spacing/>
        <w:ind/>
        <w:rPr>
          <w:lang w:bidi="en-US"/>
        </w:rPr>
      </w:pPr>
      <w:r>
        <w:rPr>
          <w:lang w:bidi="en-US"/>
        </w:rPr>
      </w:r>
      <w:r>
        <w:rPr>
          <w:lang w:bidi="en-US"/>
        </w:rPr>
      </w:r>
    </w:p>
    <w:p>
      <w:pPr>
        <w:pStyle w:val="12960"/>
        <w:pBdr/>
        <w:spacing/>
        <w:ind/>
        <w:rPr/>
      </w:pPr>
      <w:r>
        <w:t xml:space="preserve">В соответствии с «Пр</w:t>
      </w:r>
      <w:r>
        <w:t xml:space="preserve">авилами установления и определения нормативов потребления коммунальных услуг (утв. постановлением Правительства РФ от 23 мая 2006 г. № 306) (в редакции постановления Правительства РФ от 28 марта 2012 г. №258)», которые определяют порядок установления норма</w:t>
      </w:r>
      <w:r>
        <w:t xml:space="preserve">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w:t>
      </w:r>
      <w:r>
        <w:t xml:space="preserve">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r/>
    </w:p>
    <w:p>
      <w:pPr>
        <w:pStyle w:val="13832"/>
        <w:keepNext w:val="false"/>
        <w:widowControl w:val="true"/>
        <w:numPr>
          <w:ilvl w:val="0"/>
          <w:numId w:val="61"/>
        </w:numPr>
        <w:pBdr/>
        <w:bidi w:val="false"/>
        <w:spacing w:after="0" w:before="0" w:line="360" w:lineRule="auto"/>
        <w:ind w:right="0" w:firstLine="510" w:left="57"/>
        <w:jc w:val="both"/>
        <w:rPr/>
      </w:pPr>
      <w:r>
        <w:t xml:space="preserve">в отношении горячего водоснабжения - этажность, износ внутридомовых инженерных систем, вид системы теплоснабжения (закрытая, закрытая);</w:t>
      </w:r>
      <w:r/>
    </w:p>
    <w:p>
      <w:pPr>
        <w:pStyle w:val="13832"/>
        <w:keepNext w:val="false"/>
        <w:widowControl w:val="true"/>
        <w:numPr>
          <w:ilvl w:val="0"/>
          <w:numId w:val="61"/>
        </w:numPr>
        <w:pBdr/>
        <w:bidi w:val="false"/>
        <w:spacing w:after="0" w:before="0" w:line="360" w:lineRule="auto"/>
        <w:ind w:right="0" w:firstLine="567" w:left="0"/>
        <w:jc w:val="both"/>
        <w:rPr/>
      </w:pPr>
      <w:r>
        <w:t xml:space="preserve">в отношении отопления - материал стен, крыши, объем жилых помещений, площадь ограждающих конструкций и окон, износ внутридомовых инженерных систем.</w:t>
      </w:r>
      <w:r/>
    </w:p>
    <w:p>
      <w:pPr>
        <w:pStyle w:val="12960"/>
        <w:pBdr/>
        <w:spacing/>
        <w:ind/>
        <w:rPr/>
      </w:pPr>
      <w:r>
        <w:t xml:space="preserve">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r/>
    </w:p>
    <w:p>
      <w:pPr>
        <w:pStyle w:val="12960"/>
        <w:pBdr/>
        <w:spacing/>
        <w:ind/>
        <w:rPr/>
      </w:pPr>
      <w:r>
        <w:t xml:space="preserve">При выборе единицы измерения нормативов потребления коммунальных услуг используются следующие показатели:</w:t>
      </w:r>
      <w:r/>
    </w:p>
    <w:p>
      <w:pPr>
        <w:pStyle w:val="12960"/>
        <w:pBdr/>
        <w:spacing/>
        <w:ind/>
        <w:rPr/>
      </w:pPr>
      <w:r>
        <w:rPr>
          <w:smallCaps/>
        </w:rPr>
        <w:t xml:space="preserve">в </w:t>
      </w:r>
      <w:r>
        <w:t xml:space="preserve">отношении горячего водоснабжения:</w:t>
      </w:r>
      <w:r/>
    </w:p>
    <w:p>
      <w:pPr>
        <w:pStyle w:val="13832"/>
        <w:numPr>
          <w:ilvl w:val="0"/>
          <w:numId w:val="61"/>
        </w:numPr>
        <w:pBdr/>
        <w:spacing/>
        <w:ind w:hanging="284" w:left="1135"/>
        <w:rPr/>
      </w:pPr>
      <w:r>
        <w:t xml:space="preserve">в жилых помещениях - куб. метр на 1 человека;</w:t>
      </w:r>
      <w:r/>
    </w:p>
    <w:p>
      <w:pPr>
        <w:pStyle w:val="13832"/>
        <w:keepNext w:val="false"/>
        <w:widowControl w:val="true"/>
        <w:numPr>
          <w:ilvl w:val="0"/>
          <w:numId w:val="61"/>
        </w:numPr>
        <w:pBdr/>
        <w:bidi w:val="false"/>
        <w:spacing w:after="0" w:before="0" w:line="360" w:lineRule="auto"/>
        <w:ind w:right="0" w:firstLine="567" w:left="0"/>
        <w:jc w:val="both"/>
        <w:rPr/>
      </w:pPr>
      <w:r>
        <w:t xml:space="preserve">на общедомовые нужды - куб. метр на 1 кв. метр общей площади помещений, входящих в состав общего имущества в многоквартирном доме.</w:t>
      </w:r>
      <w:r/>
    </w:p>
    <w:p>
      <w:pPr>
        <w:pStyle w:val="12960"/>
        <w:pBdr/>
        <w:spacing/>
        <w:ind/>
        <w:rPr/>
      </w:pPr>
      <w:r>
        <w:t xml:space="preserve">в отношении отопления: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в жилых помещениях - Гкал на 1 кв. метр общей площади всех помещений в многоквартирном доме или жилого дома;</w:t>
      </w:r>
      <w:r/>
    </w:p>
    <w:p>
      <w:pPr>
        <w:pStyle w:val="13832"/>
        <w:keepNext w:val="false"/>
        <w:widowControl w:val="true"/>
        <w:numPr>
          <w:ilvl w:val="0"/>
          <w:numId w:val="61"/>
        </w:numPr>
        <w:pBdr/>
        <w:bidi w:val="false"/>
        <w:spacing w:after="0" w:before="0" w:line="360" w:lineRule="auto"/>
        <w:ind w:right="0" w:firstLine="567" w:left="0"/>
        <w:jc w:val="both"/>
        <w:rPr/>
      </w:pPr>
      <w:r>
        <w:t xml:space="preserve">на общедомовые нужды - Гкал на 1 кв. метр общей площади всех помещений в многоквартирном доме.</w:t>
      </w:r>
      <w:r/>
    </w:p>
    <w:p>
      <w:pPr>
        <w:pStyle w:val="12960"/>
        <w:pBdr/>
        <w:spacing/>
        <w:ind/>
        <w:rPr/>
      </w:pPr>
      <w:r/>
      <w:r/>
      <w:r>
        <w:t xml:space="preserve">Нормативы потребления коммунальной услуги по отоплению в жилых и нежилых помещениях в многоквартирных домах и жилых домах на территории тульской области на отопительный период (7 месяцев) согласно приказу министерств</w:t>
      </w:r>
      <w:r>
        <w:t xml:space="preserve">а строительства и жилищно-коммунального хозяйства Тульской области от 07.10.2013 №83 «Об установлении нормативов потребления коммунальной услуги по отоплению в жилых и нежилых помещениях в многоквартирных домах и жилых домах на территории тульской области»</w:t>
      </w:r>
      <w:r/>
    </w:p>
    <w:p>
      <w:pPr>
        <w:pStyle w:val="12960"/>
        <w:pBdr/>
        <w:spacing/>
        <w:ind/>
        <w:rPr/>
      </w:pPr>
      <w:r>
        <w:t xml:space="preserve">Значение нормативного потребления тепловой энергии потребителями приведено в таблице.</w:t>
      </w:r>
      <w:r/>
    </w:p>
    <w:p>
      <w:pPr>
        <w:pStyle w:val="12960"/>
        <w:pBdr/>
        <w:spacing/>
        <w:ind/>
        <w:rPr>
          <w:b/>
          <w:bCs w:val="0"/>
        </w:rPr>
      </w:pPr>
      <w:r>
        <w:rPr>
          <w:b/>
          <w:bCs w:val="0"/>
        </w:rPr>
        <w:t xml:space="preserve">Таблица 1.5.5.1. - Нормативы потребления коммунальной услуги по отоплению в жилых и нежилых помещениях в многоквартирных домах и жилых домах на территории тульской области на отопительный период (7 месяцев)</w:t>
      </w:r>
      <w:r>
        <w:rPr>
          <w:b/>
          <w:bCs w:val="0"/>
        </w:rPr>
      </w:r>
    </w:p>
    <w:tbl>
      <w:tblPr>
        <w:tblInd w:w="0" w:type="dxa"/>
        <w:tblW w:w="5000" w:type="pct"/>
        <w:tblCellMar>
          <w:left w:w="62" w:type="dxa"/>
          <w:top w:w="102" w:type="dxa"/>
          <w:right w:w="62" w:type="dxa"/>
          <w:bottom w:w="102" w:type="dxa"/>
        </w:tblCellMar>
        <w:tblBorders/>
        <w:tblLayout w:type="fixed"/>
        <w:tblLook w:val="0000" w:firstRow="0" w:lastRow="0" w:firstColumn="0" w:lastColumn="0" w:noHBand="0" w:noVBand="0"/>
      </w:tblPr>
      <w:tblGrid>
        <w:gridCol w:w="2337"/>
        <w:gridCol w:w="1520"/>
        <w:gridCol w:w="549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37" w:type="dxa"/>
            <w:vAlign w:val="center"/>
          </w:tcPr>
          <w:p>
            <w:pPr>
              <w:pStyle w:val="12385"/>
              <w:pBdr/>
              <w:spacing/>
              <w:ind/>
              <w:rPr/>
            </w:pPr>
            <w:r>
              <w:t xml:space="preserve">Год постройки многоквартирного дома или жилого дома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Количество этажей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Норматив потребления коммунальной услуги по отоплению, Гкал на 1 кв. м общей площади всех жилых и нежилых помещений в многоквартирном доме или жилого дома в месяц</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restart"/>
          </w:tcPr>
          <w:p>
            <w:pPr>
              <w:pStyle w:val="12385"/>
              <w:pBdr/>
              <w:spacing/>
              <w:ind/>
              <w:rPr/>
            </w:pPr>
            <w:r>
              <w:t xml:space="preserve">До 1999 года постройки</w:t>
            </w: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0,0283</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0,0261</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3 - 4</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0,0262</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5 - 9</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0,0258</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10</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0,0230</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12</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0,0237</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13</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0,0250</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14</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0,0245</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16 и более</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0,0258</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restart"/>
          </w:tcPr>
          <w:p>
            <w:pPr>
              <w:pStyle w:val="12385"/>
              <w:pBdr/>
              <w:spacing/>
              <w:ind/>
              <w:rPr/>
            </w:pPr>
            <w:r>
              <w:t xml:space="preserve">После 1999 года постройки</w:t>
            </w: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0,0212</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0,0180</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0,0188</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4 - 5</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0,0135</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6 - 7</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0,0151</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8</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0,0120</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9</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0,0119</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10</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0,0112</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11</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0,0129</w:t>
            </w:r>
            <w:r/>
          </w:p>
        </w:tc>
      </w:tr>
      <w:tr>
        <w:trPr>
          <w:trHeight w:val="20"/>
        </w:trPr>
        <w:tc>
          <w:tcPr>
            <w:tcBorders>
              <w:top w:val="single" w:color="000000" w:sz="4" w:space="0"/>
              <w:left w:val="single" w:color="000000" w:sz="4" w:space="0"/>
              <w:bottom w:val="single" w:color="000000" w:sz="4" w:space="0"/>
              <w:right w:val="single" w:color="000000" w:sz="4" w:space="0"/>
            </w:tcBorders>
            <w:tcW w:w="2337"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20" w:type="dxa"/>
            <w:vAlign w:val="center"/>
          </w:tcPr>
          <w:p>
            <w:pPr>
              <w:pStyle w:val="12385"/>
              <w:pBdr/>
              <w:spacing/>
              <w:ind/>
              <w:rPr/>
            </w:pPr>
            <w:r>
              <w:t xml:space="preserve">12 и более</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0,0111</w:t>
            </w:r>
            <w:r/>
          </w:p>
        </w:tc>
      </w:tr>
    </w:tbl>
    <w:p>
      <w:pPr>
        <w:pStyle w:val="12960"/>
        <w:pBdr/>
        <w:spacing/>
        <w:ind/>
        <w:rPr/>
      </w:pPr>
      <w:r/>
      <w:r/>
    </w:p>
    <w:p>
      <w:pPr>
        <w:pStyle w:val="12960"/>
        <w:pBdr/>
        <w:spacing/>
        <w:ind/>
        <w:rPr/>
      </w:pPr>
      <w:r>
        <w:rPr>
          <w:lang w:bidi="en-US"/>
        </w:rPr>
        <w:t xml:space="preserve">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r/>
    </w:p>
    <w:p>
      <w:pPr>
        <w:pStyle w:val="12960"/>
        <w:pBdr/>
        <w:spacing/>
        <w:ind/>
        <w:jc w:val="center"/>
        <w:rPr/>
      </w:pPr>
      <w:r/>
      <w:r/>
    </w:p>
    <w:p>
      <w:pPr>
        <w:pStyle w:val="10535"/>
        <w:keepNext w:val="true"/>
        <w:widowControl w:val="true"/>
        <w:numPr>
          <w:ilvl w:val="1"/>
          <w:numId w:val="13"/>
        </w:numPr>
        <w:pBdr/>
        <w:bidi w:val="false"/>
        <w:spacing w:after="0" w:before="0" w:line="360" w:lineRule="auto"/>
        <w:ind w:right="0" w:hanging="737" w:left="737"/>
        <w:jc w:val="left"/>
        <w:rPr>
          <w:rFonts w:cs="Times New Roman"/>
        </w:rPr>
      </w:pPr>
      <w:r/>
      <w:bookmarkStart w:id="356" w:name="_Toc78674731"/>
      <w:r/>
      <w:bookmarkStart w:id="357" w:name="_Toc84970968"/>
      <w:r/>
      <w:bookmarkStart w:id="358" w:name="_Toc198483524"/>
      <w:r/>
      <w:bookmarkStart w:id="359" w:name="_Toc166767184"/>
      <w:r>
        <w:rPr>
          <w:rFonts w:cs="Times New Roman"/>
        </w:rPr>
        <w:t xml:space="preserve">Описание сравнения величины договорной и расчетной тепловой нагрузки по зоне действия каждого источника тепловой энергии</w:t>
      </w:r>
      <w:bookmarkEnd w:id="356"/>
      <w:r/>
      <w:bookmarkEnd w:id="357"/>
      <w:r/>
      <w:bookmarkEnd w:id="358"/>
      <w:r/>
      <w:bookmarkEnd w:id="359"/>
      <w:r/>
      <w:r>
        <w:rPr>
          <w:rFonts w:cs="Times New Roman"/>
        </w:rPr>
      </w:r>
    </w:p>
    <w:p>
      <w:pPr>
        <w:pStyle w:val="12960"/>
        <w:pBdr/>
        <w:spacing/>
        <w:ind/>
        <w:rPr/>
      </w:pPr>
      <w: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зоне действия котельной, соответствуют фактическим.</w:t>
      </w:r>
      <w:r/>
    </w:p>
    <w:p>
      <w:pPr>
        <w:pStyle w:val="12960"/>
        <w:pBdr/>
        <w:spacing/>
        <w:ind/>
        <w:rPr>
          <w:b/>
          <w:bCs w:val="0"/>
        </w:rPr>
      </w:pPr>
      <w:r>
        <w:rPr>
          <w:b/>
          <w:bCs w:val="0"/>
        </w:rPr>
      </w:r>
      <w:r>
        <w:rPr>
          <w:b/>
          <w:bCs w:val="0"/>
        </w:rPr>
      </w:r>
    </w:p>
    <w:p>
      <w:pPr>
        <w:pStyle w:val="12960"/>
        <w:pBdr/>
        <w:spacing/>
        <w:ind/>
        <w:rPr>
          <w:b/>
          <w:bCs w:val="0"/>
        </w:rPr>
      </w:pPr>
      <w:r>
        <w:rPr>
          <w:b/>
          <w:bCs w:val="0"/>
        </w:rPr>
        <w:t xml:space="preserve">Таблица 1.5.6.1. - Величина договорной и расчетной тепловой нагрузки потребителей</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092"/>
        <w:gridCol w:w="2131"/>
        <w:gridCol w:w="2132"/>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5092" w:type="dxa"/>
            <w:vAlign w:val="center"/>
          </w:tcPr>
          <w:p>
            <w:pPr>
              <w:pStyle w:val="12385"/>
              <w:pBdr/>
              <w:spacing/>
              <w:ind/>
              <w:rPr>
                <w:rFonts w:cs="Times New Roman"/>
              </w:rPr>
            </w:pPr>
            <w:r>
              <w:rPr>
                <w:rFonts w:cs="Times New Roman"/>
              </w:rPr>
              <w:t xml:space="preserve">Источник централизованного теплоснабжения</w:t>
            </w:r>
            <w:r>
              <w:rPr>
                <w:rFonts w:cs="Times New Roman"/>
              </w:rPr>
            </w:r>
          </w:p>
        </w:tc>
        <w:tc>
          <w:tcPr>
            <w:shd w:val="clear" w:color="000000" w:fill="d9d9d9"/>
            <w:tcBorders>
              <w:top w:val="single" w:color="000000" w:sz="4" w:space="0"/>
              <w:bottom w:val="single" w:color="000000" w:sz="4" w:space="0"/>
              <w:right w:val="single" w:color="000000" w:sz="4" w:space="0"/>
            </w:tcBorders>
            <w:tcW w:w="2131" w:type="dxa"/>
            <w:vAlign w:val="center"/>
          </w:tcPr>
          <w:p>
            <w:pPr>
              <w:pStyle w:val="12385"/>
              <w:pBdr/>
              <w:spacing/>
              <w:ind/>
              <w:rPr>
                <w:rFonts w:cs="Times New Roman"/>
              </w:rPr>
            </w:pPr>
            <w:r>
              <w:rPr>
                <w:rFonts w:cs="Times New Roman"/>
              </w:rPr>
              <w:t xml:space="preserve">Присоединенная расчетная тепловая нагрузка (мощность), Гкал/ч</w:t>
            </w:r>
            <w:r>
              <w:rPr>
                <w:rFonts w:cs="Times New Roman"/>
              </w:rPr>
            </w:r>
          </w:p>
        </w:tc>
        <w:tc>
          <w:tcPr>
            <w:shd w:val="clear" w:color="000000" w:fill="d9d9d9"/>
            <w:tcBorders>
              <w:top w:val="single" w:color="000000" w:sz="4" w:space="0"/>
              <w:bottom w:val="single" w:color="000000" w:sz="4" w:space="0"/>
              <w:right w:val="single" w:color="000000" w:sz="4" w:space="0"/>
            </w:tcBorders>
            <w:tcW w:w="2132" w:type="dxa"/>
            <w:vAlign w:val="center"/>
          </w:tcPr>
          <w:p>
            <w:pPr>
              <w:pStyle w:val="12385"/>
              <w:pBdr/>
              <w:spacing/>
              <w:ind/>
              <w:rPr>
                <w:rFonts w:cs="Times New Roman"/>
              </w:rPr>
            </w:pPr>
            <w:r>
              <w:rPr>
                <w:rFonts w:cs="Times New Roman"/>
              </w:rPr>
              <w:t xml:space="preserve">Присоединенная договорная тепловая нагрузка (мощность), Гкал/ч</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5092" w:type="dxa"/>
            <w:vAlign w:val="center"/>
          </w:tcPr>
          <w:p>
            <w:pPr>
              <w:pStyle w:val="12385"/>
              <w:pBdr/>
              <w:spacing/>
              <w:ind/>
              <w:rPr>
                <w:rFonts w:cs="Times New Roman"/>
                <w:color w:val="000000"/>
              </w:rPr>
            </w:pPr>
            <w:r>
              <w:rPr>
                <w:rFonts w:cs="Times New Roman"/>
                <w:color w:val="000000"/>
              </w:rPr>
              <w:t xml:space="preserve">2025 год</w:t>
            </w:r>
            <w:r>
              <w:rPr>
                <w:rFonts w:cs="Times New Roman"/>
                <w:color w:val="000000"/>
              </w:rPr>
            </w:r>
          </w:p>
        </w:tc>
        <w:tc>
          <w:tcPr>
            <w:shd w:val="clear" w:color="000000" w:fill="ffffff"/>
            <w:tcBorders>
              <w:bottom w:val="single" w:color="000000" w:sz="4" w:space="0"/>
              <w:right w:val="single" w:color="000000" w:sz="4" w:space="0"/>
            </w:tcBorders>
            <w:tcW w:w="2131" w:type="dxa"/>
            <w:vAlign w:val="center"/>
          </w:tcPr>
          <w:p>
            <w:pPr>
              <w:pStyle w:val="12385"/>
              <w:pBdr/>
              <w:spacing/>
              <w:ind/>
              <w:rPr>
                <w:rFonts w:cs="Times New Roman"/>
                <w:color w:val="000000"/>
              </w:rPr>
            </w:pPr>
            <w:r>
              <w:rPr>
                <w:rFonts w:cs="Times New Roman"/>
                <w:color w:val="000000"/>
              </w:rPr>
            </w:r>
            <w:r>
              <w:rPr>
                <w:rFonts w:cs="Times New Roman"/>
                <w:color w:val="000000"/>
              </w:rPr>
            </w:r>
          </w:p>
        </w:tc>
        <w:tc>
          <w:tcPr>
            <w:shd w:val="clear" w:color="000000" w:fill="ffffff"/>
            <w:tcBorders>
              <w:bottom w:val="single" w:color="000000" w:sz="4" w:space="0"/>
              <w:right w:val="single" w:color="000000" w:sz="4" w:space="0"/>
            </w:tcBorders>
            <w:tcW w:w="2132" w:type="dxa"/>
            <w:vAlign w:val="center"/>
          </w:tcPr>
          <w:p>
            <w:pPr>
              <w:pStyle w:val="12385"/>
              <w:pBdr/>
              <w:spacing/>
              <w:ind/>
              <w:rPr>
                <w:rFonts w:cs="Times New Roman"/>
                <w:color w:val="000000"/>
              </w:rPr>
            </w:pPr>
            <w:r>
              <w:rPr>
                <w:rFonts w:cs="Times New Roman"/>
                <w:color w:val="000000"/>
              </w:rPr>
            </w:r>
            <w:r>
              <w:rPr>
                <w:rFonts w:cs="Times New Roman"/>
                <w:color w:val="000000"/>
              </w:rPr>
            </w:r>
          </w:p>
        </w:tc>
      </w:tr>
      <w:tr>
        <w:trPr>
          <w:trHeight w:val="20"/>
        </w:trPr>
        <w:tc>
          <w:tcPr>
            <w:tcBorders>
              <w:left w:val="single" w:color="000000" w:sz="4" w:space="0"/>
              <w:bottom w:val="single" w:color="000000" w:sz="4" w:space="0"/>
              <w:right w:val="single" w:color="000000" w:sz="4" w:space="0"/>
            </w:tcBorders>
            <w:tcW w:w="5092" w:type="dxa"/>
          </w:tcPr>
          <w:p>
            <w:pPr>
              <w:pStyle w:val="12385"/>
              <w:pBdr/>
              <w:spacing/>
              <w:ind/>
              <w:rPr>
                <w:rFonts w:cs="Times New Roman"/>
                <w:color w:val="000000"/>
              </w:rPr>
            </w:pPr>
            <w:r>
              <w:t xml:space="preserve">Котельная №5 д. Ясенки</w:t>
            </w:r>
            <w:r>
              <w:rPr>
                <w:rFonts w:cs="Times New Roman"/>
                <w:color w:val="000000"/>
              </w:rPr>
            </w:r>
          </w:p>
        </w:tc>
        <w:tc>
          <w:tcPr>
            <w:tcBorders>
              <w:bottom w:val="single" w:color="000000" w:sz="4" w:space="0"/>
              <w:right w:val="single" w:color="000000" w:sz="4" w:space="0"/>
            </w:tcBorders>
            <w:tcW w:w="2131" w:type="dxa"/>
          </w:tcPr>
          <w:p>
            <w:pPr>
              <w:pStyle w:val="12385"/>
              <w:pBdr/>
              <w:spacing/>
              <w:ind/>
              <w:rPr>
                <w:rFonts w:cs="Times New Roman"/>
              </w:rPr>
            </w:pPr>
            <w:r>
              <w:t xml:space="preserve">0,050</w:t>
            </w:r>
            <w:r>
              <w:rPr>
                <w:rFonts w:cs="Times New Roman"/>
              </w:rPr>
            </w:r>
          </w:p>
        </w:tc>
        <w:tc>
          <w:tcPr>
            <w:tcBorders>
              <w:bottom w:val="single" w:color="000000" w:sz="4" w:space="0"/>
              <w:right w:val="single" w:color="000000" w:sz="4" w:space="0"/>
            </w:tcBorders>
            <w:tcW w:w="2132" w:type="dxa"/>
          </w:tcPr>
          <w:p>
            <w:pPr>
              <w:pStyle w:val="12385"/>
              <w:pBdr/>
              <w:spacing/>
              <w:ind/>
              <w:rPr>
                <w:rFonts w:cs="Times New Roman"/>
              </w:rPr>
            </w:pPr>
            <w:r>
              <w:t xml:space="preserve">0,050</w:t>
            </w:r>
            <w:r>
              <w:rPr>
                <w:rFonts w:cs="Times New Roman"/>
              </w:rPr>
            </w:r>
          </w:p>
        </w:tc>
      </w:tr>
      <w:tr>
        <w:trPr>
          <w:trHeight w:val="20"/>
        </w:trPr>
        <w:tc>
          <w:tcPr>
            <w:tcBorders>
              <w:left w:val="single" w:color="000000" w:sz="4" w:space="0"/>
              <w:bottom w:val="single" w:color="000000" w:sz="4" w:space="0"/>
              <w:right w:val="single" w:color="000000" w:sz="4" w:space="0"/>
            </w:tcBorders>
            <w:tcW w:w="5092" w:type="dxa"/>
          </w:tcPr>
          <w:p>
            <w:pPr>
              <w:pStyle w:val="12385"/>
              <w:pBdr/>
              <w:spacing/>
              <w:ind/>
              <w:rPr>
                <w:rFonts w:cs="Times New Roman"/>
                <w:color w:val="000000"/>
              </w:rPr>
            </w:pPr>
            <w:r>
              <w:t xml:space="preserve">Котельная №6 п. Первомайский </w:t>
            </w:r>
            <w:r>
              <w:rPr>
                <w:rFonts w:cs="Times New Roman"/>
                <w:color w:val="000000"/>
              </w:rPr>
            </w:r>
          </w:p>
        </w:tc>
        <w:tc>
          <w:tcPr>
            <w:tcBorders>
              <w:bottom w:val="single" w:color="000000" w:sz="4" w:space="0"/>
              <w:right w:val="single" w:color="000000" w:sz="4" w:space="0"/>
            </w:tcBorders>
            <w:tcW w:w="2131" w:type="dxa"/>
          </w:tcPr>
          <w:p>
            <w:pPr>
              <w:pStyle w:val="12385"/>
              <w:pBdr/>
              <w:spacing/>
              <w:ind/>
              <w:rPr>
                <w:rFonts w:cs="Times New Roman"/>
              </w:rPr>
            </w:pPr>
            <w:r>
              <w:t xml:space="preserve">0,120</w:t>
            </w:r>
            <w:r>
              <w:rPr>
                <w:rFonts w:cs="Times New Roman"/>
              </w:rPr>
            </w:r>
          </w:p>
        </w:tc>
        <w:tc>
          <w:tcPr>
            <w:tcBorders>
              <w:bottom w:val="single" w:color="000000" w:sz="4" w:space="0"/>
              <w:right w:val="single" w:color="000000" w:sz="4" w:space="0"/>
            </w:tcBorders>
            <w:tcW w:w="2132" w:type="dxa"/>
          </w:tcPr>
          <w:p>
            <w:pPr>
              <w:pStyle w:val="12385"/>
              <w:pBdr/>
              <w:spacing/>
              <w:ind/>
              <w:rPr>
                <w:rFonts w:cs="Times New Roman"/>
              </w:rPr>
            </w:pPr>
            <w:r>
              <w:t xml:space="preserve">0,120</w:t>
            </w:r>
            <w:r>
              <w:rPr>
                <w:rFonts w:cs="Times New Roman"/>
              </w:rPr>
            </w:r>
          </w:p>
        </w:tc>
      </w:tr>
      <w:tr>
        <w:trPr>
          <w:trHeight w:val="20"/>
        </w:trPr>
        <w:tc>
          <w:tcPr>
            <w:tcBorders>
              <w:left w:val="single" w:color="000000" w:sz="4" w:space="0"/>
              <w:bottom w:val="single" w:color="000000" w:sz="4" w:space="0"/>
              <w:right w:val="single" w:color="000000" w:sz="4" w:space="0"/>
            </w:tcBorders>
            <w:tcW w:w="5092" w:type="dxa"/>
          </w:tcPr>
          <w:p>
            <w:pPr>
              <w:pStyle w:val="12385"/>
              <w:pBdr/>
              <w:spacing/>
              <w:ind/>
              <w:rPr>
                <w:rFonts w:cs="Times New Roman"/>
                <w:color w:val="000000"/>
              </w:rPr>
            </w:pPr>
            <w:r>
              <w:t xml:space="preserve">Котельная №7 с. Белый Колодезь</w:t>
            </w:r>
            <w:r>
              <w:rPr>
                <w:rFonts w:cs="Times New Roman"/>
                <w:color w:val="000000"/>
              </w:rPr>
            </w:r>
          </w:p>
        </w:tc>
        <w:tc>
          <w:tcPr>
            <w:tcBorders>
              <w:bottom w:val="single" w:color="000000" w:sz="4" w:space="0"/>
              <w:right w:val="single" w:color="000000" w:sz="4" w:space="0"/>
            </w:tcBorders>
            <w:tcW w:w="2131" w:type="dxa"/>
          </w:tcPr>
          <w:p>
            <w:pPr>
              <w:pStyle w:val="12385"/>
              <w:pBdr/>
              <w:spacing/>
              <w:ind/>
              <w:rPr>
                <w:rFonts w:cs="Times New Roman"/>
              </w:rPr>
            </w:pPr>
            <w:r>
              <w:t xml:space="preserve">0,070</w:t>
            </w:r>
            <w:r>
              <w:rPr>
                <w:rFonts w:cs="Times New Roman"/>
              </w:rPr>
            </w:r>
          </w:p>
        </w:tc>
        <w:tc>
          <w:tcPr>
            <w:tcBorders>
              <w:bottom w:val="single" w:color="000000" w:sz="4" w:space="0"/>
              <w:right w:val="single" w:color="000000" w:sz="4" w:space="0"/>
            </w:tcBorders>
            <w:tcW w:w="2132" w:type="dxa"/>
          </w:tcPr>
          <w:p>
            <w:pPr>
              <w:pStyle w:val="12385"/>
              <w:pBdr/>
              <w:spacing/>
              <w:ind/>
              <w:rPr>
                <w:rFonts w:cs="Times New Roman"/>
              </w:rPr>
            </w:pPr>
            <w:r>
              <w:t xml:space="preserve">0,070</w:t>
            </w:r>
            <w:r>
              <w:rPr>
                <w:rFonts w:cs="Times New Roman"/>
              </w:rPr>
            </w:r>
          </w:p>
        </w:tc>
      </w:tr>
    </w:tbl>
    <w:p>
      <w:pPr>
        <w:pStyle w:val="12960"/>
        <w:pBdr/>
        <w:spacing/>
        <w:ind/>
        <w:rPr>
          <w:b/>
          <w:bCs w:val="0"/>
          <w:lang w:val="en-US"/>
        </w:rPr>
      </w:pPr>
      <w:r>
        <w:rPr>
          <w:b/>
          <w:bCs w:val="0"/>
          <w:lang w:val="en-US"/>
        </w:rPr>
      </w:r>
      <w:r>
        <w:rPr>
          <w:b/>
          <w:bCs w:val="0"/>
          <w:lang w:val="en-US"/>
        </w:rP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50"/>
          <w:headerReference w:type="first" r:id="rId51"/>
          <w:footerReference w:type="default" r:id="rId316"/>
          <w:footerReference w:type="even" r:id="rId317"/>
          <w:footerReference w:type="first" r:id="rId318"/>
          <w:footnotePr/>
          <w:endnotePr/>
          <w:type w:val="nextPage"/>
          <w:pgSz w:h="16838" w:orient="portrait" w:w="11906"/>
          <w:pgMar w:top="1134" w:right="850" w:bottom="1134" w:left="1701" w:header="680" w:footer="284" w:gutter="0"/>
          <w:cols w:num="1" w:sep="0" w:space="1701" w:equalWidth="1"/>
        </w:sectPr>
      </w:pPr>
      <w:r/>
      <w:r/>
    </w:p>
    <w:p>
      <w:pPr>
        <w:pStyle w:val="10534"/>
        <w:numPr>
          <w:ilvl w:val="0"/>
          <w:numId w:val="13"/>
        </w:numPr>
        <w:pBdr/>
        <w:spacing/>
        <w:ind/>
        <w:rPr>
          <w:rFonts w:ascii="Times New Roman" w:hAnsi="Times New Roman" w:eastAsia="Times New Roman" w:cs="Times New Roman"/>
          <w:b/>
          <w:smallCaps/>
          <w:spacing w:val="0"/>
          <w:sz w:val="28"/>
          <w:szCs w:val="36"/>
          <w:lang w:eastAsia="en-US" w:bidi="en-US"/>
        </w:rPr>
      </w:pPr>
      <w:r/>
      <w:bookmarkStart w:id="360" w:name="_Toc166767185"/>
      <w:r/>
      <w:bookmarkStart w:id="361" w:name="_Toc198483525"/>
      <w:r/>
      <w:bookmarkStart w:id="362" w:name="_Toc78674732"/>
      <w:r/>
      <w:bookmarkStart w:id="363" w:name="_Toc84970969"/>
      <w:r>
        <w:rPr>
          <w:rFonts w:eastAsia="Times New Roman" w:cs="Times New Roman"/>
          <w:b/>
          <w:smallCaps/>
          <w:spacing w:val="0"/>
          <w:sz w:val="28"/>
          <w:szCs w:val="36"/>
          <w:lang w:eastAsia="en-US" w:bidi="en-US"/>
        </w:rPr>
        <w:t xml:space="preserve">Балансы тепловой мощности и тепловой нагрузки</w:t>
      </w:r>
      <w:bookmarkEnd w:id="360"/>
      <w:r/>
      <w:bookmarkEnd w:id="361"/>
      <w:r/>
      <w:bookmarkEnd w:id="362"/>
      <w:r/>
      <w:bookmarkEnd w:id="363"/>
      <w:r/>
      <w:r>
        <w:rPr>
          <w:rFonts w:ascii="Times New Roman" w:hAnsi="Times New Roman" w:eastAsia="Times New Roman" w:cs="Times New Roman"/>
          <w:b/>
          <w:smallCaps/>
          <w:spacing w:val="0"/>
          <w:sz w:val="28"/>
          <w:szCs w:val="36"/>
          <w:lang w:eastAsia="en-US" w:bidi="en-US"/>
        </w:rPr>
      </w:r>
    </w:p>
    <w:p>
      <w:pPr>
        <w:pStyle w:val="10535"/>
        <w:keepNext w:val="true"/>
        <w:widowControl w:val="true"/>
        <w:numPr>
          <w:ilvl w:val="1"/>
          <w:numId w:val="104"/>
        </w:numPr>
        <w:pBdr/>
        <w:bidi w:val="false"/>
        <w:spacing w:after="240" w:before="360" w:line="360" w:lineRule="auto"/>
        <w:ind w:right="0" w:hanging="737" w:left="737"/>
        <w:jc w:val="center"/>
        <w:rPr>
          <w:rFonts w:cs="Times New Roman"/>
        </w:rPr>
      </w:pPr>
      <w:r>
        <w:rPr>
          <w:rFonts w:cs="Times New Roman"/>
        </w:rPr>
        <w:t xml:space="preserve">О</w:t>
      </w:r>
      <w:bookmarkStart w:id="364" w:name="_Toc78674733"/>
      <w:r/>
      <w:bookmarkStart w:id="365" w:name="_Toc84970970"/>
      <w:r/>
      <w:bookmarkStart w:id="366" w:name="_Toc166767186"/>
      <w:r/>
      <w:bookmarkStart w:id="367" w:name="_Toc198483526"/>
      <w:r>
        <w:rPr>
          <w:rFonts w:cs="Times New Roman"/>
        </w:rPr>
        <w:t xml:space="preserve">писание балан</w:t>
      </w:r>
      <w:r>
        <w:rPr>
          <w:rFonts w:cs="Times New Roman"/>
        </w:rPr>
        <w:t xml:space="preserve">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364"/>
      <w:r/>
      <w:bookmarkEnd w:id="365"/>
      <w:r/>
      <w:bookmarkEnd w:id="366"/>
      <w:r/>
      <w:bookmarkEnd w:id="367"/>
      <w:r/>
      <w:r>
        <w:rPr>
          <w:rFonts w:cs="Times New Roman"/>
        </w:rPr>
      </w:r>
    </w:p>
    <w:p>
      <w:pPr>
        <w:pStyle w:val="12960"/>
        <w:pBdr/>
        <w:spacing/>
        <w:ind/>
        <w:rPr/>
      </w:pPr>
      <w:r>
        <w:t xml:space="preserve">Существующие и перспективные балансы тепловой мощности и тепловой нагрузки составляются в соответствии с п. 8 ПП РФ от 03.04.2023 г. №405 «О внесении изменений в некоторые акты Правительства Российской Федерации».</w:t>
      </w:r>
      <w:r/>
    </w:p>
    <w:p>
      <w:pPr>
        <w:pStyle w:val="12960"/>
        <w:pBdr/>
        <w:spacing/>
        <w:ind/>
        <w:rPr/>
      </w:pPr>
      <w:r>
        <w:t xml:space="preserve">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r/>
    </w:p>
    <w:p>
      <w:pPr>
        <w:pStyle w:val="12960"/>
        <w:pBdr/>
        <w:spacing/>
        <w:ind/>
        <w:rPr>
          <w:b/>
          <w:bCs w:val="0"/>
        </w:rPr>
        <w:sectPr>
          <w:headerReference w:type="default" r:id="rId52"/>
          <w:headerReference w:type="first" r:id="rId53"/>
          <w:footerReference w:type="default" r:id="rId319"/>
          <w:footerReference w:type="first" r:id="rId320"/>
          <w:footnotePr/>
          <w:endnotePr/>
          <w:type w:val="nextPage"/>
          <w:pgSz w:h="16838" w:orient="portrait" w:w="11906"/>
          <w:pgMar w:top="1134" w:right="850" w:bottom="1134" w:left="1701" w:header="567" w:footer="454" w:gutter="0"/>
          <w:cols w:num="1" w:sep="0" w:space="1701" w:equalWidth="1"/>
        </w:sectPr>
      </w:pPr>
      <w:r>
        <w:rPr>
          <w:b/>
          <w:bCs w:val="0"/>
        </w:rPr>
      </w:r>
      <w:r/>
      <w:r/>
      <w:r>
        <w:rPr>
          <w:b/>
          <w:bCs w:val="0"/>
        </w:rPr>
      </w:r>
    </w:p>
    <w:p>
      <w:pPr>
        <w:pStyle w:val="12960"/>
        <w:pBdr/>
        <w:spacing/>
        <w:ind/>
        <w:rPr>
          <w:b/>
          <w:bCs w:val="0"/>
        </w:rPr>
      </w:pPr>
      <w:r/>
      <w:bookmarkStart w:id="370" w:name="_Toc527706881"/>
      <w:r>
        <w:rPr>
          <w:b/>
          <w:bCs w:val="0"/>
        </w:rPr>
        <w:t xml:space="preserve">Таблица 1.6.1.1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370"/>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681"/>
        <w:gridCol w:w="1368"/>
        <w:gridCol w:w="1323"/>
        <w:gridCol w:w="1353"/>
        <w:gridCol w:w="978"/>
        <w:gridCol w:w="994"/>
        <w:gridCol w:w="992"/>
        <w:gridCol w:w="1489"/>
        <w:gridCol w:w="1558"/>
        <w:gridCol w:w="1417"/>
        <w:gridCol w:w="1415"/>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1681"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1368" w:type="dxa"/>
            <w:vAlign w:val="center"/>
          </w:tcPr>
          <w:p>
            <w:pPr>
              <w:pStyle w:val="12385"/>
              <w:pBdr/>
              <w:spacing/>
              <w:ind/>
              <w:rPr/>
            </w:pPr>
            <w:r>
              <w:t xml:space="preserve">Установленная тепловая мощность, Гкал/ч</w:t>
            </w:r>
            <w:r/>
          </w:p>
        </w:tc>
        <w:tc>
          <w:tcPr>
            <w:shd w:val="clear" w:color="000000" w:fill="d9d9d9"/>
            <w:tcBorders>
              <w:top w:val="single" w:color="000000" w:sz="4" w:space="0"/>
              <w:bottom w:val="single" w:color="000000" w:sz="4" w:space="0"/>
              <w:right w:val="single" w:color="000000" w:sz="4" w:space="0"/>
            </w:tcBorders>
            <w:tcW w:w="1323" w:type="dxa"/>
            <w:vAlign w:val="center"/>
          </w:tcPr>
          <w:p>
            <w:pPr>
              <w:pStyle w:val="12385"/>
              <w:pBdr/>
              <w:spacing/>
              <w:ind/>
              <w:rPr/>
            </w:pPr>
            <w:r>
              <w:t xml:space="preserve">Фактическая располагаемая тепловая мощность источника, Гкал/ч</w:t>
            </w:r>
            <w:r/>
          </w:p>
        </w:tc>
        <w:tc>
          <w:tcPr>
            <w:shd w:val="clear" w:color="000000" w:fill="d9d9d9"/>
            <w:tcBorders>
              <w:top w:val="single" w:color="000000" w:sz="4" w:space="0"/>
              <w:bottom w:val="single" w:color="000000" w:sz="4" w:space="0"/>
              <w:right w:val="single" w:color="000000" w:sz="4" w:space="0"/>
            </w:tcBorders>
            <w:tcW w:w="1353" w:type="dxa"/>
            <w:vAlign w:val="center"/>
          </w:tcPr>
          <w:p>
            <w:pPr>
              <w:pStyle w:val="12385"/>
              <w:pBdr/>
              <w:spacing/>
              <w:ind/>
              <w:rPr/>
            </w:pPr>
            <w:r>
              <w:t xml:space="preserve">Расход тепловой мощности на собственные и хозяйственные нужды, Гкал/ч</w:t>
            </w:r>
            <w:r/>
          </w:p>
        </w:tc>
        <w:tc>
          <w:tcPr>
            <w:shd w:val="clear" w:color="000000" w:fill="d9d9d9"/>
            <w:tcBorders>
              <w:top w:val="single" w:color="000000" w:sz="4" w:space="0"/>
              <w:bottom w:val="single" w:color="000000" w:sz="4" w:space="0"/>
              <w:right w:val="single" w:color="000000" w:sz="4" w:space="0"/>
            </w:tcBorders>
            <w:tcW w:w="978" w:type="dxa"/>
            <w:vAlign w:val="center"/>
          </w:tcPr>
          <w:p>
            <w:pPr>
              <w:pStyle w:val="12385"/>
              <w:pBdr/>
              <w:spacing/>
              <w:ind/>
              <w:rPr/>
            </w:pPr>
            <w:r>
              <w:t xml:space="preserve">Тепловая мощность нетто, Гкал/ч</w:t>
            </w:r>
            <w:r/>
          </w:p>
        </w:tc>
        <w:tc>
          <w:tcPr>
            <w:shd w:val="clear" w:color="000000" w:fill="d9d9d9"/>
            <w:tcBorders>
              <w:top w:val="single" w:color="000000" w:sz="4" w:space="0"/>
              <w:bottom w:val="single" w:color="000000" w:sz="4" w:space="0"/>
              <w:right w:val="single" w:color="000000" w:sz="4" w:space="0"/>
            </w:tcBorders>
            <w:tcW w:w="994" w:type="dxa"/>
            <w:vAlign w:val="center"/>
          </w:tcPr>
          <w:p>
            <w:pPr>
              <w:pStyle w:val="12385"/>
              <w:pBdr/>
              <w:spacing/>
              <w:ind/>
              <w:rPr/>
            </w:pPr>
            <w:r>
              <w:t xml:space="preserve">Потери мощности в тепловых сетях, %</w:t>
            </w:r>
            <w:r/>
          </w:p>
        </w:tc>
        <w:tc>
          <w:tcPr>
            <w:shd w:val="clear" w:color="000000" w:fill="d9d9d9"/>
            <w:tcBorders>
              <w:top w:val="single" w:color="000000" w:sz="4" w:space="0"/>
              <w:bottom w:val="single" w:color="000000" w:sz="4" w:space="0"/>
              <w:right w:val="single" w:color="000000" w:sz="4" w:space="0"/>
            </w:tcBorders>
            <w:tcW w:w="992" w:type="dxa"/>
            <w:vAlign w:val="center"/>
          </w:tcPr>
          <w:p>
            <w:pPr>
              <w:pStyle w:val="12385"/>
              <w:pBdr/>
              <w:spacing/>
              <w:ind/>
              <w:rPr/>
            </w:pPr>
            <w:r>
              <w:t xml:space="preserve">Потери мощности в тепловых сетях, Гкал/ч</w:t>
            </w:r>
            <w:r/>
          </w:p>
        </w:tc>
        <w:tc>
          <w:tcPr>
            <w:shd w:val="clear" w:color="000000" w:fill="d9d9d9"/>
            <w:tcBorders>
              <w:top w:val="single" w:color="000000" w:sz="4" w:space="0"/>
              <w:bottom w:val="single" w:color="000000" w:sz="4" w:space="0"/>
              <w:right w:val="single" w:color="000000" w:sz="4" w:space="0"/>
            </w:tcBorders>
            <w:tcW w:w="1489" w:type="dxa"/>
            <w:vAlign w:val="center"/>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558" w:type="dxa"/>
            <w:vAlign w:val="center"/>
          </w:tcPr>
          <w:p>
            <w:pPr>
              <w:pStyle w:val="12385"/>
              <w:pBdr/>
              <w:spacing/>
              <w:ind/>
              <w:rPr/>
            </w:pPr>
            <w:r>
              <w:t xml:space="preserve">Тепловая нагрузка с учетом потерь тепловой энергии при транспортировке, Гкал/час</w:t>
            </w:r>
            <w:r/>
          </w:p>
        </w:tc>
        <w:tc>
          <w:tcPr>
            <w:shd w:val="clear" w:color="000000" w:fill="d9d9d9"/>
            <w:tcBorders>
              <w:top w:val="single" w:color="000000" w:sz="4" w:space="0"/>
              <w:bottom w:val="single" w:color="000000" w:sz="4" w:space="0"/>
              <w:right w:val="single" w:color="000000" w:sz="4" w:space="0"/>
            </w:tcBorders>
            <w:tcW w:w="1417" w:type="dxa"/>
            <w:vAlign w:val="center"/>
          </w:tcPr>
          <w:p>
            <w:pPr>
              <w:pStyle w:val="12385"/>
              <w:pBdr/>
              <w:spacing/>
              <w:ind/>
              <w:rPr/>
            </w:pPr>
            <w:r>
              <w:t xml:space="preserve">Резерв/дефицит тепловой мощности (по фактической нагрузке), Гкал/ч</w:t>
            </w:r>
            <w:r/>
          </w:p>
        </w:tc>
        <w:tc>
          <w:tcPr>
            <w:shd w:val="clear" w:color="000000" w:fill="d9d9d9"/>
            <w:tcBorders>
              <w:top w:val="single" w:color="000000" w:sz="4" w:space="0"/>
              <w:bottom w:val="single" w:color="000000" w:sz="4" w:space="0"/>
              <w:right w:val="single" w:color="000000" w:sz="4" w:space="0"/>
            </w:tcBorders>
            <w:tcW w:w="1415" w:type="dxa"/>
            <w:vAlign w:val="center"/>
          </w:tcPr>
          <w:p>
            <w:pPr>
              <w:pStyle w:val="12385"/>
              <w:pBdr/>
              <w:spacing/>
              <w:ind/>
              <w:rPr/>
            </w:pPr>
            <w:r>
              <w:t xml:space="preserve">Резерв/дефицит тепловой мощности (по фактической нагрузке), %</w:t>
            </w:r>
            <w:r/>
          </w:p>
        </w:tc>
      </w:tr>
      <w:tr>
        <w:trPr>
          <w:trHeight w:val="20"/>
        </w:trPr>
        <w:tc>
          <w:tcPr>
            <w:shd w:val="clear" w:color="000000" w:fill="ffffff"/>
            <w:tcBorders>
              <w:left w:val="single" w:color="000000" w:sz="4" w:space="0"/>
              <w:bottom w:val="single" w:color="000000" w:sz="4" w:space="0"/>
              <w:right w:val="single" w:color="000000" w:sz="4" w:space="0"/>
            </w:tcBorders>
            <w:tcW w:w="1681" w:type="dxa"/>
            <w:vAlign w:val="center"/>
          </w:tcPr>
          <w:p>
            <w:pPr>
              <w:pStyle w:val="12385"/>
              <w:pBdr/>
              <w:spacing/>
              <w:ind/>
              <w:rPr>
                <w:color w:val="000000"/>
              </w:rPr>
            </w:pPr>
            <w:r>
              <w:rPr>
                <w:color w:val="000000"/>
              </w:rPr>
              <w:t xml:space="preserve">2025 год</w:t>
            </w:r>
            <w:r>
              <w:rPr>
                <w:color w:val="000000"/>
              </w:rPr>
            </w:r>
          </w:p>
        </w:tc>
        <w:tc>
          <w:tcPr>
            <w:shd w:val="clear" w:color="000000" w:fill="ffffff"/>
            <w:tcBorders>
              <w:bottom w:val="single" w:color="000000" w:sz="4" w:space="0"/>
              <w:right w:val="single" w:color="000000" w:sz="4" w:space="0"/>
            </w:tcBorders>
            <w:tcW w:w="1368"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323"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353"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978"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994"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992"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489"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558"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417" w:type="dxa"/>
            <w:vAlign w:val="center"/>
          </w:tcPr>
          <w:p>
            <w:pPr>
              <w:pStyle w:val="12385"/>
              <w:pBdr/>
              <w:spacing/>
              <w:ind/>
              <w:rPr/>
            </w:pPr>
            <w:r/>
            <w:r/>
          </w:p>
        </w:tc>
        <w:tc>
          <w:tcPr>
            <w:shd w:val="clear" w:color="000000" w:fill="ffffff"/>
            <w:tcBorders>
              <w:bottom w:val="single" w:color="000000" w:sz="4" w:space="0"/>
              <w:right w:val="single" w:color="000000" w:sz="4" w:space="0"/>
            </w:tcBorders>
            <w:tcW w:w="1415" w:type="dxa"/>
            <w:vAlign w:val="center"/>
          </w:tcPr>
          <w:p>
            <w:pPr>
              <w:pStyle w:val="12385"/>
              <w:pBdr/>
              <w:spacing/>
              <w:ind/>
              <w:rPr>
                <w:color w:val="000000"/>
              </w:rPr>
            </w:pPr>
            <w:r>
              <w:rPr>
                <w:color w:val="000000"/>
              </w:rPr>
            </w:r>
            <w:r>
              <w:rPr>
                <w:color w:val="000000"/>
              </w:rPr>
            </w:r>
          </w:p>
        </w:tc>
      </w:tr>
      <w:tr>
        <w:trPr>
          <w:trHeight w:val="20"/>
        </w:trPr>
        <w:tc>
          <w:tcPr>
            <w:tcBorders>
              <w:left w:val="single" w:color="000000" w:sz="4" w:space="0"/>
              <w:bottom w:val="single" w:color="000000" w:sz="4" w:space="0"/>
              <w:right w:val="single" w:color="000000" w:sz="4" w:space="0"/>
            </w:tcBorders>
            <w:tcW w:w="1681" w:type="dxa"/>
            <w:vAlign w:val="center"/>
          </w:tcPr>
          <w:p>
            <w:pPr>
              <w:pStyle w:val="12385"/>
              <w:pBdr/>
              <w:spacing/>
              <w:ind/>
              <w:rPr>
                <w:color w:val="000000"/>
              </w:rPr>
            </w:pPr>
            <w:r>
              <w:rPr>
                <w:color w:val="000000"/>
              </w:rPr>
              <w:t xml:space="preserve">Котельная №5 д. Ясенки</w:t>
            </w:r>
            <w:r>
              <w:rPr>
                <w:color w:val="000000"/>
              </w:rPr>
            </w:r>
          </w:p>
        </w:tc>
        <w:tc>
          <w:tcPr>
            <w:tcBorders>
              <w:bottom w:val="single" w:color="000000" w:sz="4" w:space="0"/>
              <w:right w:val="single" w:color="000000" w:sz="4" w:space="0"/>
            </w:tcBorders>
            <w:tcW w:w="1368"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1323"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1353"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978"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994" w:type="dxa"/>
            <w:vAlign w:val="center"/>
          </w:tcPr>
          <w:p>
            <w:pPr>
              <w:pStyle w:val="12385"/>
              <w:pBdr/>
              <w:spacing/>
              <w:ind/>
              <w:rPr>
                <w:color w:val="000000"/>
              </w:rPr>
            </w:pPr>
            <w:r>
              <w:rPr>
                <w:color w:val="000000"/>
              </w:rPr>
              <w:t xml:space="preserve">7,84</w:t>
            </w:r>
            <w:r>
              <w:rPr>
                <w:color w:val="000000"/>
              </w:rPr>
            </w:r>
          </w:p>
        </w:tc>
        <w:tc>
          <w:tcPr>
            <w:shd w:val="clear" w:color="000000" w:fill="ffffff"/>
            <w:tcBorders>
              <w:bottom w:val="single" w:color="000000" w:sz="4" w:space="0"/>
              <w:right w:val="single" w:color="000000" w:sz="4" w:space="0"/>
            </w:tcBorders>
            <w:tcW w:w="992" w:type="dxa"/>
            <w:vAlign w:val="center"/>
          </w:tcPr>
          <w:p>
            <w:pPr>
              <w:pStyle w:val="12385"/>
              <w:pBdr/>
              <w:spacing/>
              <w:ind/>
              <w:rPr>
                <w:color w:val="000000"/>
              </w:rPr>
            </w:pPr>
            <w:r>
              <w:rPr>
                <w:color w:val="000000"/>
              </w:rPr>
              <w:t xml:space="preserve">0,004</w:t>
            </w:r>
            <w:r>
              <w:rPr>
                <w:color w:val="000000"/>
              </w:rPr>
            </w:r>
          </w:p>
        </w:tc>
        <w:tc>
          <w:tcPr>
            <w:tcBorders>
              <w:bottom w:val="single" w:color="000000" w:sz="4" w:space="0"/>
              <w:right w:val="single" w:color="000000" w:sz="4" w:space="0"/>
            </w:tcBorders>
            <w:tcW w:w="1489" w:type="dxa"/>
            <w:vAlign w:val="center"/>
          </w:tcPr>
          <w:p>
            <w:pPr>
              <w:pStyle w:val="12385"/>
              <w:pBdr/>
              <w:spacing/>
              <w:ind/>
              <w:rPr>
                <w:color w:val="000000"/>
              </w:rPr>
            </w:pPr>
            <w:r>
              <w:rPr>
                <w:color w:val="000000"/>
              </w:rPr>
              <w:t xml:space="preserve">0,050</w:t>
            </w:r>
            <w:r>
              <w:rPr>
                <w:color w:val="000000"/>
              </w:rPr>
            </w:r>
          </w:p>
        </w:tc>
        <w:tc>
          <w:tcPr>
            <w:shd w:val="clear" w:color="000000" w:fill="ffffff"/>
            <w:tcBorders>
              <w:bottom w:val="single" w:color="000000" w:sz="4" w:space="0"/>
              <w:right w:val="single" w:color="000000" w:sz="4" w:space="0"/>
            </w:tcBorders>
            <w:tcW w:w="1558" w:type="dxa"/>
            <w:vAlign w:val="center"/>
          </w:tcPr>
          <w:p>
            <w:pPr>
              <w:pStyle w:val="12385"/>
              <w:pBdr/>
              <w:spacing/>
              <w:ind/>
              <w:rPr>
                <w:color w:val="000000"/>
              </w:rPr>
            </w:pPr>
            <w:r>
              <w:rPr>
                <w:color w:val="000000"/>
              </w:rPr>
              <w:t xml:space="preserve">0,054</w:t>
            </w:r>
            <w:r>
              <w:rPr>
                <w:color w:val="000000"/>
              </w:rPr>
            </w:r>
          </w:p>
        </w:tc>
        <w:tc>
          <w:tcPr>
            <w:shd w:val="clear" w:color="000000" w:fill="ffffff"/>
            <w:tcBorders>
              <w:bottom w:val="single" w:color="000000" w:sz="4" w:space="0"/>
              <w:right w:val="single" w:color="000000" w:sz="4" w:space="0"/>
            </w:tcBorders>
            <w:tcW w:w="1417" w:type="dxa"/>
            <w:vAlign w:val="center"/>
          </w:tcPr>
          <w:p>
            <w:pPr>
              <w:pStyle w:val="12385"/>
              <w:pBdr/>
              <w:spacing/>
              <w:ind/>
              <w:rPr/>
            </w:pPr>
            <w:r>
              <w:t xml:space="preserve">0,117</w:t>
            </w:r>
            <w:r/>
          </w:p>
        </w:tc>
        <w:tc>
          <w:tcPr>
            <w:shd w:val="clear" w:color="000000" w:fill="ffffff"/>
            <w:tcBorders>
              <w:bottom w:val="single" w:color="000000" w:sz="4" w:space="0"/>
              <w:right w:val="single" w:color="000000" w:sz="4" w:space="0"/>
            </w:tcBorders>
            <w:tcW w:w="1415" w:type="dxa"/>
            <w:vAlign w:val="center"/>
          </w:tcPr>
          <w:p>
            <w:pPr>
              <w:pStyle w:val="12385"/>
              <w:pBdr/>
              <w:spacing/>
              <w:ind/>
              <w:rPr>
                <w:color w:val="000000"/>
              </w:rPr>
            </w:pPr>
            <w:r>
              <w:rPr>
                <w:color w:val="000000"/>
              </w:rPr>
              <w:t xml:space="preserve">68,11</w:t>
            </w:r>
            <w:r>
              <w:rPr>
                <w:color w:val="000000"/>
              </w:rPr>
            </w:r>
          </w:p>
        </w:tc>
      </w:tr>
      <w:tr>
        <w:trPr>
          <w:trHeight w:val="20"/>
        </w:trPr>
        <w:tc>
          <w:tcPr>
            <w:tcBorders>
              <w:left w:val="single" w:color="000000" w:sz="4" w:space="0"/>
              <w:bottom w:val="single" w:color="000000" w:sz="4" w:space="0"/>
              <w:right w:val="single" w:color="000000" w:sz="4" w:space="0"/>
            </w:tcBorders>
            <w:tcW w:w="1681" w:type="dxa"/>
            <w:vAlign w:val="center"/>
          </w:tcPr>
          <w:p>
            <w:pPr>
              <w:pStyle w:val="12385"/>
              <w:pBdr/>
              <w:spacing/>
              <w:ind/>
              <w:rPr>
                <w:color w:val="000000"/>
              </w:rPr>
            </w:pPr>
            <w:r>
              <w:rPr>
                <w:color w:val="000000"/>
              </w:rPr>
              <w:t xml:space="preserve">Котельная №6 п. Первомайский</w:t>
            </w:r>
            <w:r>
              <w:rPr>
                <w:color w:val="000000"/>
              </w:rPr>
            </w:r>
          </w:p>
        </w:tc>
        <w:tc>
          <w:tcPr>
            <w:tcBorders>
              <w:bottom w:val="single" w:color="000000" w:sz="4" w:space="0"/>
              <w:right w:val="single" w:color="000000" w:sz="4" w:space="0"/>
            </w:tcBorders>
            <w:tcW w:w="1368" w:type="dxa"/>
            <w:vAlign w:val="center"/>
          </w:tcPr>
          <w:p>
            <w:pPr>
              <w:pStyle w:val="12385"/>
              <w:pBdr/>
              <w:spacing/>
              <w:ind/>
              <w:rPr>
                <w:color w:val="000000"/>
              </w:rPr>
            </w:pPr>
            <w:r>
              <w:rPr>
                <w:color w:val="000000"/>
              </w:rPr>
              <w:t xml:space="preserve">0,34</w:t>
            </w:r>
            <w:r>
              <w:rPr>
                <w:color w:val="000000"/>
              </w:rPr>
            </w:r>
          </w:p>
        </w:tc>
        <w:tc>
          <w:tcPr>
            <w:tcBorders>
              <w:bottom w:val="single" w:color="000000" w:sz="4" w:space="0"/>
              <w:right w:val="single" w:color="000000" w:sz="4" w:space="0"/>
            </w:tcBorders>
            <w:tcW w:w="1323" w:type="dxa"/>
            <w:vAlign w:val="center"/>
          </w:tcPr>
          <w:p>
            <w:pPr>
              <w:pStyle w:val="12385"/>
              <w:pBdr/>
              <w:spacing/>
              <w:ind/>
              <w:rPr>
                <w:color w:val="000000"/>
              </w:rPr>
            </w:pPr>
            <w:r>
              <w:rPr>
                <w:color w:val="000000"/>
              </w:rPr>
              <w:t xml:space="preserve">0,34</w:t>
            </w:r>
            <w:r>
              <w:rPr>
                <w:color w:val="000000"/>
              </w:rPr>
            </w:r>
          </w:p>
        </w:tc>
        <w:tc>
          <w:tcPr>
            <w:tcBorders>
              <w:bottom w:val="single" w:color="000000" w:sz="4" w:space="0"/>
              <w:right w:val="single" w:color="000000" w:sz="4" w:space="0"/>
            </w:tcBorders>
            <w:tcW w:w="1353"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978" w:type="dxa"/>
            <w:vAlign w:val="center"/>
          </w:tcPr>
          <w:p>
            <w:pPr>
              <w:pStyle w:val="12385"/>
              <w:pBdr/>
              <w:spacing/>
              <w:ind/>
              <w:rPr>
                <w:color w:val="000000"/>
              </w:rPr>
            </w:pPr>
            <w:r>
              <w:rPr>
                <w:color w:val="000000"/>
              </w:rPr>
              <w:t xml:space="preserve">0,343</w:t>
            </w:r>
            <w:r>
              <w:rPr>
                <w:color w:val="000000"/>
              </w:rPr>
            </w:r>
          </w:p>
        </w:tc>
        <w:tc>
          <w:tcPr>
            <w:shd w:val="clear" w:color="000000" w:fill="ffffff"/>
            <w:tcBorders>
              <w:bottom w:val="single" w:color="000000" w:sz="4" w:space="0"/>
              <w:right w:val="single" w:color="000000" w:sz="4" w:space="0"/>
            </w:tcBorders>
            <w:tcW w:w="994" w:type="dxa"/>
            <w:vAlign w:val="center"/>
          </w:tcPr>
          <w:p>
            <w:pPr>
              <w:pStyle w:val="12385"/>
              <w:pBdr/>
              <w:spacing/>
              <w:ind/>
              <w:rPr>
                <w:color w:val="000000"/>
              </w:rPr>
            </w:pPr>
            <w:r>
              <w:rPr>
                <w:color w:val="000000"/>
              </w:rPr>
              <w:t xml:space="preserve">8,24</w:t>
            </w:r>
            <w:r>
              <w:rPr>
                <w:color w:val="000000"/>
              </w:rPr>
            </w:r>
          </w:p>
        </w:tc>
        <w:tc>
          <w:tcPr>
            <w:shd w:val="clear" w:color="000000" w:fill="ffffff"/>
            <w:tcBorders>
              <w:bottom w:val="single" w:color="000000" w:sz="4" w:space="0"/>
              <w:right w:val="single" w:color="000000" w:sz="4" w:space="0"/>
            </w:tcBorders>
            <w:tcW w:w="992" w:type="dxa"/>
            <w:vAlign w:val="center"/>
          </w:tcPr>
          <w:p>
            <w:pPr>
              <w:pStyle w:val="12385"/>
              <w:pBdr/>
              <w:spacing/>
              <w:ind/>
              <w:rPr>
                <w:color w:val="000000"/>
              </w:rPr>
            </w:pPr>
            <w:r>
              <w:rPr>
                <w:color w:val="000000"/>
              </w:rPr>
              <w:t xml:space="preserve">0,010</w:t>
            </w:r>
            <w:r>
              <w:rPr>
                <w:color w:val="000000"/>
              </w:rPr>
            </w:r>
          </w:p>
        </w:tc>
        <w:tc>
          <w:tcPr>
            <w:tcBorders>
              <w:bottom w:val="single" w:color="000000" w:sz="4" w:space="0"/>
              <w:right w:val="single" w:color="000000" w:sz="4" w:space="0"/>
            </w:tcBorders>
            <w:tcW w:w="1489" w:type="dxa"/>
            <w:vAlign w:val="center"/>
          </w:tcPr>
          <w:p>
            <w:pPr>
              <w:pStyle w:val="12385"/>
              <w:pBdr/>
              <w:spacing/>
              <w:ind/>
              <w:rPr>
                <w:color w:val="000000"/>
              </w:rPr>
            </w:pPr>
            <w:r>
              <w:rPr>
                <w:color w:val="000000"/>
              </w:rPr>
              <w:t xml:space="preserve">0,120</w:t>
            </w:r>
            <w:r>
              <w:rPr>
                <w:color w:val="000000"/>
              </w:rPr>
            </w:r>
          </w:p>
        </w:tc>
        <w:tc>
          <w:tcPr>
            <w:shd w:val="clear" w:color="000000" w:fill="ffffff"/>
            <w:tcBorders>
              <w:bottom w:val="single" w:color="000000" w:sz="4" w:space="0"/>
              <w:right w:val="single" w:color="000000" w:sz="4" w:space="0"/>
            </w:tcBorders>
            <w:tcW w:w="1558" w:type="dxa"/>
            <w:vAlign w:val="center"/>
          </w:tcPr>
          <w:p>
            <w:pPr>
              <w:pStyle w:val="12385"/>
              <w:pBdr/>
              <w:spacing/>
              <w:ind/>
              <w:rPr>
                <w:color w:val="000000"/>
              </w:rPr>
            </w:pPr>
            <w:r>
              <w:rPr>
                <w:color w:val="000000"/>
              </w:rPr>
              <w:t xml:space="preserve">0,130</w:t>
            </w:r>
            <w:r>
              <w:rPr>
                <w:color w:val="000000"/>
              </w:rPr>
            </w:r>
          </w:p>
        </w:tc>
        <w:tc>
          <w:tcPr>
            <w:shd w:val="clear" w:color="000000" w:fill="ffffff"/>
            <w:tcBorders>
              <w:bottom w:val="single" w:color="000000" w:sz="4" w:space="0"/>
              <w:right w:val="single" w:color="000000" w:sz="4" w:space="0"/>
            </w:tcBorders>
            <w:tcW w:w="1417" w:type="dxa"/>
            <w:vAlign w:val="center"/>
          </w:tcPr>
          <w:p>
            <w:pPr>
              <w:pStyle w:val="12385"/>
              <w:pBdr/>
              <w:spacing/>
              <w:ind/>
              <w:rPr/>
            </w:pPr>
            <w:r>
              <w:t xml:space="preserve">0,213</w:t>
            </w:r>
            <w:r/>
          </w:p>
        </w:tc>
        <w:tc>
          <w:tcPr>
            <w:shd w:val="clear" w:color="000000" w:fill="ffffff"/>
            <w:tcBorders>
              <w:bottom w:val="single" w:color="000000" w:sz="4" w:space="0"/>
              <w:right w:val="single" w:color="000000" w:sz="4" w:space="0"/>
            </w:tcBorders>
            <w:tcW w:w="1415" w:type="dxa"/>
            <w:vAlign w:val="center"/>
          </w:tcPr>
          <w:p>
            <w:pPr>
              <w:pStyle w:val="12385"/>
              <w:pBdr/>
              <w:spacing/>
              <w:ind/>
              <w:rPr>
                <w:color w:val="000000"/>
              </w:rPr>
            </w:pPr>
            <w:r>
              <w:rPr>
                <w:color w:val="000000"/>
              </w:rPr>
              <w:t xml:space="preserve">62,05</w:t>
            </w:r>
            <w:r>
              <w:rPr>
                <w:color w:val="000000"/>
              </w:rPr>
            </w:r>
          </w:p>
        </w:tc>
      </w:tr>
      <w:tr>
        <w:trPr>
          <w:trHeight w:val="20"/>
        </w:trPr>
        <w:tc>
          <w:tcPr>
            <w:tcBorders>
              <w:left w:val="single" w:color="000000" w:sz="4" w:space="0"/>
              <w:bottom w:val="single" w:color="000000" w:sz="4" w:space="0"/>
              <w:right w:val="single" w:color="000000" w:sz="4" w:space="0"/>
            </w:tcBorders>
            <w:tcW w:w="1681" w:type="dxa"/>
            <w:vAlign w:val="center"/>
          </w:tcPr>
          <w:p>
            <w:pPr>
              <w:pStyle w:val="12385"/>
              <w:pBdr/>
              <w:spacing/>
              <w:ind/>
              <w:rPr>
                <w:color w:val="000000"/>
              </w:rPr>
            </w:pPr>
            <w:r>
              <w:rPr>
                <w:color w:val="000000"/>
              </w:rPr>
              <w:t xml:space="preserve">Котельная №7 с. Белый Колодезь</w:t>
            </w:r>
            <w:r>
              <w:rPr>
                <w:color w:val="000000"/>
              </w:rPr>
            </w:r>
          </w:p>
        </w:tc>
        <w:tc>
          <w:tcPr>
            <w:tcBorders>
              <w:bottom w:val="single" w:color="000000" w:sz="4" w:space="0"/>
              <w:right w:val="single" w:color="000000" w:sz="4" w:space="0"/>
            </w:tcBorders>
            <w:tcW w:w="1368"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1323"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1353"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978"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994" w:type="dxa"/>
            <w:vAlign w:val="center"/>
          </w:tcPr>
          <w:p>
            <w:pPr>
              <w:pStyle w:val="12385"/>
              <w:pBdr/>
              <w:spacing/>
              <w:ind/>
              <w:rPr>
                <w:color w:val="000000"/>
              </w:rPr>
            </w:pPr>
            <w:r>
              <w:rPr>
                <w:color w:val="000000"/>
              </w:rPr>
              <w:t xml:space="preserve">4,82</w:t>
            </w:r>
            <w:r>
              <w:rPr>
                <w:color w:val="000000"/>
              </w:rPr>
            </w:r>
          </w:p>
        </w:tc>
        <w:tc>
          <w:tcPr>
            <w:shd w:val="clear" w:color="000000" w:fill="ffffff"/>
            <w:tcBorders>
              <w:bottom w:val="single" w:color="000000" w:sz="4" w:space="0"/>
              <w:right w:val="single" w:color="000000" w:sz="4" w:space="0"/>
            </w:tcBorders>
            <w:tcW w:w="992" w:type="dxa"/>
            <w:vAlign w:val="center"/>
          </w:tcPr>
          <w:p>
            <w:pPr>
              <w:pStyle w:val="12385"/>
              <w:pBdr/>
              <w:spacing/>
              <w:ind/>
              <w:rPr>
                <w:color w:val="000000"/>
              </w:rPr>
            </w:pPr>
            <w:r>
              <w:rPr>
                <w:color w:val="000000"/>
              </w:rPr>
              <w:t xml:space="preserve">0,003</w:t>
            </w:r>
            <w:r>
              <w:rPr>
                <w:color w:val="000000"/>
              </w:rPr>
            </w:r>
          </w:p>
        </w:tc>
        <w:tc>
          <w:tcPr>
            <w:tcBorders>
              <w:bottom w:val="single" w:color="000000" w:sz="4" w:space="0"/>
              <w:right w:val="single" w:color="000000" w:sz="4" w:space="0"/>
            </w:tcBorders>
            <w:tcW w:w="1489" w:type="dxa"/>
            <w:vAlign w:val="center"/>
          </w:tcPr>
          <w:p>
            <w:pPr>
              <w:pStyle w:val="12385"/>
              <w:pBdr/>
              <w:spacing/>
              <w:ind/>
              <w:rPr>
                <w:color w:val="000000"/>
              </w:rPr>
            </w:pPr>
            <w:r>
              <w:rPr>
                <w:color w:val="000000"/>
              </w:rPr>
              <w:t xml:space="preserve">0,070</w:t>
            </w:r>
            <w:r>
              <w:rPr>
                <w:color w:val="000000"/>
              </w:rPr>
            </w:r>
          </w:p>
        </w:tc>
        <w:tc>
          <w:tcPr>
            <w:shd w:val="clear" w:color="000000" w:fill="ffffff"/>
            <w:tcBorders>
              <w:bottom w:val="single" w:color="000000" w:sz="4" w:space="0"/>
              <w:right w:val="single" w:color="000000" w:sz="4" w:space="0"/>
            </w:tcBorders>
            <w:tcW w:w="1558" w:type="dxa"/>
            <w:vAlign w:val="center"/>
          </w:tcPr>
          <w:p>
            <w:pPr>
              <w:pStyle w:val="12385"/>
              <w:pBdr/>
              <w:spacing/>
              <w:ind/>
              <w:rPr>
                <w:color w:val="000000"/>
              </w:rPr>
            </w:pPr>
            <w:r>
              <w:rPr>
                <w:color w:val="000000"/>
              </w:rPr>
              <w:t xml:space="preserve">0,073</w:t>
            </w:r>
            <w:r>
              <w:rPr>
                <w:color w:val="000000"/>
              </w:rPr>
            </w:r>
          </w:p>
        </w:tc>
        <w:tc>
          <w:tcPr>
            <w:shd w:val="clear" w:color="000000" w:fill="ffffff"/>
            <w:tcBorders>
              <w:bottom w:val="single" w:color="000000" w:sz="4" w:space="0"/>
              <w:right w:val="single" w:color="000000" w:sz="4" w:space="0"/>
            </w:tcBorders>
            <w:tcW w:w="1417" w:type="dxa"/>
            <w:vAlign w:val="center"/>
          </w:tcPr>
          <w:p>
            <w:pPr>
              <w:pStyle w:val="12385"/>
              <w:pBdr/>
              <w:spacing/>
              <w:ind/>
              <w:rPr/>
            </w:pPr>
            <w:r>
              <w:t xml:space="preserve">0,098</w:t>
            </w:r>
            <w:r/>
          </w:p>
        </w:tc>
        <w:tc>
          <w:tcPr>
            <w:shd w:val="clear" w:color="000000" w:fill="ffffff"/>
            <w:tcBorders>
              <w:bottom w:val="single" w:color="000000" w:sz="4" w:space="0"/>
              <w:right w:val="single" w:color="000000" w:sz="4" w:space="0"/>
            </w:tcBorders>
            <w:tcW w:w="1415" w:type="dxa"/>
            <w:vAlign w:val="center"/>
          </w:tcPr>
          <w:p>
            <w:pPr>
              <w:pStyle w:val="12385"/>
              <w:pBdr/>
              <w:spacing/>
              <w:ind/>
              <w:rPr>
                <w:color w:val="000000"/>
              </w:rPr>
            </w:pPr>
            <w:r>
              <w:rPr>
                <w:color w:val="000000"/>
              </w:rPr>
              <w:t xml:space="preserve">56,84</w:t>
            </w:r>
            <w:r>
              <w:rPr>
                <w:color w:val="000000"/>
              </w:rPr>
            </w:r>
          </w:p>
        </w:tc>
      </w:tr>
    </w:tbl>
    <w:p>
      <w:pPr>
        <w:pBdr/>
        <w:spacing/>
        <w:ind/>
        <w:rPr/>
        <w:sectPr>
          <w:headerReference w:type="default" r:id="rId54"/>
          <w:headerReference w:type="first" r:id="rId55"/>
          <w:footerReference w:type="default" r:id="rId321"/>
          <w:footerReference w:type="first" r:id="rId322"/>
          <w:footnotePr/>
          <w:endnotePr/>
          <w:type w:val="nextPage"/>
          <w:pgSz w:h="11906" w:orient="landscape" w:w="16838"/>
          <w:pgMar w:top="1701" w:right="1134" w:bottom="851" w:left="1134" w:header="680" w:footer="284" w:gutter="0"/>
          <w:cols w:num="1" w:sep="0" w:space="1701" w:equalWidth="1"/>
        </w:sectPr>
      </w:pPr>
      <w:r/>
      <w:r/>
    </w:p>
    <w:p>
      <w:pPr>
        <w:pStyle w:val="10535"/>
        <w:keepNext w:val="false"/>
        <w:widowControl w:val="true"/>
        <w:numPr>
          <w:ilvl w:val="1"/>
          <w:numId w:val="13"/>
        </w:numPr>
        <w:pBdr/>
        <w:bidi w:val="false"/>
        <w:spacing w:after="0" w:before="0" w:line="276" w:lineRule="auto"/>
        <w:ind w:right="0" w:hanging="737" w:left="737"/>
        <w:jc w:val="center"/>
        <w:rPr>
          <w:rFonts w:cs="Times New Roman"/>
        </w:rPr>
      </w:pPr>
      <w:r/>
      <w:bookmarkStart w:id="371" w:name="_Toc198483527"/>
      <w:r/>
      <w:bookmarkStart w:id="372" w:name="_Toc166767187"/>
      <w:r/>
      <w:bookmarkStart w:id="373" w:name="_Toc84970971"/>
      <w:r/>
      <w:bookmarkStart w:id="374" w:name="_Toc78674734"/>
      <w:r>
        <w:rPr>
          <w:rFonts w:cs="Times New Roman"/>
        </w:rPr>
        <w:t xml:space="preserve">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371"/>
      <w:r/>
      <w:bookmarkEnd w:id="372"/>
      <w:r/>
      <w:bookmarkEnd w:id="373"/>
      <w:r/>
      <w:bookmarkEnd w:id="374"/>
      <w:r/>
      <w:r>
        <w:rPr>
          <w:rFonts w:cs="Times New Roman"/>
        </w:rPr>
      </w:r>
    </w:p>
    <w:p>
      <w:pPr>
        <w:pStyle w:val="12960"/>
        <w:pBdr/>
        <w:spacing/>
        <w:ind/>
        <w:rPr/>
      </w:pPr>
      <w:r>
        <w:t xml:space="preserve">Перспектива увеличения присоединенной нагрузки зависит от строительства новых объектов и восстановления существующих объектов потребления тепловой энергии. На расчетный срок на котельных имеется резерв мощности.</w:t>
      </w:r>
      <w:r/>
    </w:p>
    <w:p>
      <w:pPr>
        <w:pStyle w:val="12960"/>
        <w:pBdr/>
        <w:spacing/>
        <w:ind/>
        <w:rPr/>
      </w:pPr>
      <w:r>
        <w:t xml:space="preserve">При этом необходимо отметить, что согласно п. 11.21 СП 89.13330.2016 «Котельные установки» количество водогрейных котлов (водопо</w:t>
      </w:r>
      <w:r>
        <w:t xml:space="preserve">догревателей) для систем отопления должно быть не менее двух, при этом в случае выхода из строя наибольшего по производительности котла, оставшиеся должны обеспечивать отпуск тепла потребителям в количестве, определяемом режимом наиболее холодного месяца. </w:t>
      </w:r>
      <w:r/>
    </w:p>
    <w:p>
      <w:pPr>
        <w:pStyle w:val="12960"/>
        <w:pBdr/>
        <w:spacing/>
        <w:ind/>
        <w:rPr/>
      </w:pPr>
      <w:r>
        <w:t xml:space="preserve">Работать без резервного котла нельзя, если в пиковые нагрузки включается резервный котёл, то принимается, что котельная не имеет резерва и к ней запрещено новое технологическое присоединение потребителей.</w:t>
        <w:tab/>
        <w:tab/>
        <w:tab/>
        <w:tab/>
      </w:r>
      <w:r/>
    </w:p>
    <w:p>
      <w:pPr>
        <w:pStyle w:val="12960"/>
        <w:pBdr/>
        <w:spacing/>
        <w:ind/>
        <w:rPr/>
      </w:pPr>
      <w:r>
        <w:t xml:space="preserve">Целью составления балансо</w:t>
      </w:r>
      <w:r>
        <w:t xml:space="preserve">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r/>
    </w:p>
    <w:p>
      <w:pPr>
        <w:pStyle w:val="12960"/>
        <w:pBdr/>
        <w:spacing w:line="276" w:lineRule="auto"/>
        <w:ind/>
        <w:rPr>
          <w:b/>
          <w:bCs w:val="0"/>
        </w:rPr>
      </w:pPr>
      <w:r>
        <w:rPr>
          <w:b/>
          <w:bCs w:val="0"/>
        </w:rPr>
        <w:t xml:space="preserve">Таблица 4.3.1. – Резервы и дефициты существующей системы теплоснабжения при обеспечении перспективной тепловой нагрузки потребителей</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442"/>
        <w:gridCol w:w="852"/>
        <w:gridCol w:w="1149"/>
        <w:gridCol w:w="1501"/>
        <w:gridCol w:w="1335"/>
        <w:gridCol w:w="1538"/>
        <w:gridCol w:w="1537"/>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1442"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852" w:type="dxa"/>
            <w:vAlign w:val="center"/>
          </w:tcPr>
          <w:p>
            <w:pPr>
              <w:pStyle w:val="12385"/>
              <w:pBdr/>
              <w:spacing/>
              <w:ind/>
              <w:rPr/>
            </w:pPr>
            <w:r>
              <w:t xml:space="preserve">Тепловая мощность нетто, Гкал/ч</w:t>
            </w:r>
            <w:r/>
          </w:p>
        </w:tc>
        <w:tc>
          <w:tcPr>
            <w:shd w:val="clear" w:color="000000" w:fill="d9d9d9"/>
            <w:tcBorders>
              <w:top w:val="single" w:color="000000" w:sz="4" w:space="0"/>
              <w:bottom w:val="single" w:color="000000" w:sz="4" w:space="0"/>
              <w:right w:val="single" w:color="000000" w:sz="4" w:space="0"/>
            </w:tcBorders>
            <w:tcW w:w="1149" w:type="dxa"/>
            <w:vAlign w:val="center"/>
          </w:tcPr>
          <w:p>
            <w:pPr>
              <w:pStyle w:val="12385"/>
              <w:pBdr/>
              <w:spacing/>
              <w:ind/>
              <w:rPr/>
            </w:pPr>
            <w:r>
              <w:t xml:space="preserve">Располагаемая тепловая мощность нетто (с учетом затрат на собственные нужды) при аварийном выводе самого мощного котла, Гкал/ч</w:t>
            </w:r>
            <w:r/>
          </w:p>
        </w:tc>
        <w:tc>
          <w:tcPr>
            <w:shd w:val="clear" w:color="000000" w:fill="d9d9d9"/>
            <w:tcBorders>
              <w:top w:val="single" w:color="000000" w:sz="4" w:space="0"/>
              <w:bottom w:val="single" w:color="000000" w:sz="4" w:space="0"/>
              <w:right w:val="single" w:color="000000" w:sz="4" w:space="0"/>
            </w:tcBorders>
            <w:tcW w:w="1501" w:type="dxa"/>
            <w:vAlign w:val="center"/>
          </w:tcPr>
          <w:p>
            <w:pPr>
              <w:pStyle w:val="12385"/>
              <w:pBdr/>
              <w:spacing/>
              <w:ind/>
              <w:rPr/>
            </w:pPr>
            <w:r>
              <w:t xml:space="preserve">Максимально допустимое значение тепловой нагрузки на коллекторах станции при аварийном выводе самого мощного пикового котла/турбоагрегата</w:t>
            </w:r>
            <w:r/>
          </w:p>
        </w:tc>
        <w:tc>
          <w:tcPr>
            <w:shd w:val="clear" w:color="000000" w:fill="d9d9d9"/>
            <w:tcBorders>
              <w:top w:val="single" w:color="000000" w:sz="4" w:space="0"/>
              <w:bottom w:val="single" w:color="000000" w:sz="4" w:space="0"/>
              <w:right w:val="single" w:color="000000" w:sz="4" w:space="0"/>
            </w:tcBorders>
            <w:tcW w:w="1335" w:type="dxa"/>
            <w:vAlign w:val="center"/>
          </w:tcPr>
          <w:p>
            <w:pPr>
              <w:pStyle w:val="12385"/>
              <w:pBdr/>
              <w:spacing/>
              <w:ind/>
              <w:rPr/>
            </w:pPr>
            <w:r>
              <w:t xml:space="preserve">Тепловая нагрузка с учетом потерь тепловой энергии при транспортировке, Гкал/час</w:t>
            </w:r>
            <w:r/>
          </w:p>
        </w:tc>
        <w:tc>
          <w:tcPr>
            <w:shd w:val="clear" w:color="000000" w:fill="d9d9d9"/>
            <w:tcBorders>
              <w:top w:val="single" w:color="000000" w:sz="4" w:space="0"/>
              <w:bottom w:val="single" w:color="000000" w:sz="4" w:space="0"/>
              <w:right w:val="single" w:color="000000" w:sz="4" w:space="0"/>
            </w:tcBorders>
            <w:tcW w:w="1538" w:type="dxa"/>
            <w:vAlign w:val="center"/>
          </w:tcPr>
          <w:p>
            <w:pPr>
              <w:pStyle w:val="12385"/>
              <w:pBdr/>
              <w:spacing/>
              <w:ind/>
              <w:rPr/>
            </w:pPr>
            <w:r>
              <w:t xml:space="preserve">Резерв/дефицит тепловой мощности (по фактической нагрузке) при аварийном выводе самого мощного пикового котла/турбоагрегата, Гкал/ч</w:t>
            </w:r>
            <w:r/>
          </w:p>
        </w:tc>
        <w:tc>
          <w:tcPr>
            <w:shd w:val="clear" w:color="000000" w:fill="d9d9d9"/>
            <w:tcBorders>
              <w:top w:val="single" w:color="000000" w:sz="4" w:space="0"/>
              <w:bottom w:val="single" w:color="000000" w:sz="4" w:space="0"/>
              <w:right w:val="single" w:color="000000" w:sz="4" w:space="0"/>
            </w:tcBorders>
            <w:tcW w:w="1537" w:type="dxa"/>
            <w:vAlign w:val="center"/>
          </w:tcPr>
          <w:p>
            <w:pPr>
              <w:pStyle w:val="12385"/>
              <w:pBdr/>
              <w:spacing/>
              <w:ind/>
              <w:rPr/>
            </w:pPr>
            <w:r>
              <w:t xml:space="preserve">Резерв/дефицит тепловой мощности (по фактической нагрузке) при аварийном выводе самого мощного пикового котла/турбоагрегата, %</w:t>
            </w:r>
            <w:r/>
          </w:p>
        </w:tc>
      </w:tr>
      <w:tr>
        <w:trPr>
          <w:trHeight w:val="20"/>
        </w:trPr>
        <w:tc>
          <w:tcPr>
            <w:shd w:val="clear" w:color="000000" w:fill="ffffff"/>
            <w:tcBorders>
              <w:left w:val="single" w:color="000000" w:sz="4" w:space="0"/>
              <w:bottom w:val="single" w:color="000000" w:sz="4" w:space="0"/>
              <w:right w:val="single" w:color="000000" w:sz="4" w:space="0"/>
            </w:tcBorders>
            <w:tcW w:w="1442"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852" w:type="dxa"/>
            <w:vAlign w:val="center"/>
          </w:tcPr>
          <w:p>
            <w:pPr>
              <w:pStyle w:val="12385"/>
              <w:pBdr/>
              <w:spacing/>
              <w:ind/>
              <w:rPr/>
            </w:pPr>
            <w:r/>
            <w:r/>
          </w:p>
        </w:tc>
        <w:tc>
          <w:tcPr>
            <w:tcBorders>
              <w:bottom w:val="single" w:color="000000" w:sz="4" w:space="0"/>
              <w:right w:val="single" w:color="000000" w:sz="4" w:space="0"/>
            </w:tcBorders>
            <w:tcW w:w="1149" w:type="dxa"/>
            <w:vAlign w:val="center"/>
          </w:tcPr>
          <w:p>
            <w:pPr>
              <w:pStyle w:val="12385"/>
              <w:pBdr/>
              <w:spacing/>
              <w:ind/>
              <w:rPr/>
            </w:pPr>
            <w:r/>
            <w:r/>
          </w:p>
        </w:tc>
        <w:tc>
          <w:tcPr>
            <w:tcBorders>
              <w:bottom w:val="single" w:color="000000" w:sz="4" w:space="0"/>
              <w:right w:val="single" w:color="000000" w:sz="4" w:space="0"/>
            </w:tcBorders>
            <w:tcW w:w="1501" w:type="dxa"/>
            <w:vAlign w:val="center"/>
          </w:tcPr>
          <w:p>
            <w:pPr>
              <w:pStyle w:val="12385"/>
              <w:pBdr/>
              <w:spacing/>
              <w:ind/>
              <w:rPr/>
            </w:pPr>
            <w:r/>
            <w:r/>
          </w:p>
        </w:tc>
        <w:tc>
          <w:tcPr>
            <w:shd w:val="clear" w:color="000000" w:fill="ffffff"/>
            <w:tcBorders>
              <w:bottom w:val="single" w:color="000000" w:sz="4" w:space="0"/>
              <w:right w:val="single" w:color="000000" w:sz="4" w:space="0"/>
            </w:tcBorders>
            <w:tcW w:w="1335" w:type="dxa"/>
            <w:vAlign w:val="center"/>
          </w:tcPr>
          <w:p>
            <w:pPr>
              <w:pStyle w:val="12385"/>
              <w:pBdr/>
              <w:spacing/>
              <w:ind/>
              <w:rPr/>
            </w:pPr>
            <w:r/>
            <w:r/>
          </w:p>
        </w:tc>
        <w:tc>
          <w:tcPr>
            <w:shd w:val="clear" w:color="000000" w:fill="ffffff"/>
            <w:tcBorders>
              <w:bottom w:val="single" w:color="000000" w:sz="4" w:space="0"/>
              <w:right w:val="single" w:color="000000" w:sz="4" w:space="0"/>
            </w:tcBorders>
            <w:tcW w:w="1538" w:type="dxa"/>
            <w:vAlign w:val="center"/>
          </w:tcPr>
          <w:p>
            <w:pPr>
              <w:pStyle w:val="12385"/>
              <w:pBdr/>
              <w:spacing/>
              <w:ind/>
              <w:rPr/>
            </w:pPr>
            <w:r/>
            <w:r/>
          </w:p>
        </w:tc>
        <w:tc>
          <w:tcPr>
            <w:shd w:val="clear" w:color="000000" w:fill="ffffff"/>
            <w:tcBorders>
              <w:bottom w:val="single" w:color="000000" w:sz="4" w:space="0"/>
              <w:right w:val="single" w:color="000000" w:sz="4" w:space="0"/>
            </w:tcBorders>
            <w:tcW w:w="1537"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1442"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852" w:type="dxa"/>
            <w:vAlign w:val="center"/>
          </w:tcPr>
          <w:p>
            <w:pPr>
              <w:pStyle w:val="12385"/>
              <w:pBdr/>
              <w:spacing/>
              <w:ind/>
              <w:rPr/>
            </w:pPr>
            <w:r>
              <w:t xml:space="preserve">0,171</w:t>
            </w:r>
            <w:r/>
          </w:p>
        </w:tc>
        <w:tc>
          <w:tcPr>
            <w:tcBorders>
              <w:bottom w:val="single" w:color="000000" w:sz="4" w:space="0"/>
              <w:right w:val="single" w:color="000000" w:sz="4" w:space="0"/>
            </w:tcBorders>
            <w:tcW w:w="1149" w:type="dxa"/>
            <w:vAlign w:val="center"/>
          </w:tcPr>
          <w:p>
            <w:pPr>
              <w:pStyle w:val="12385"/>
              <w:pBdr/>
              <w:spacing/>
              <w:ind/>
              <w:rPr/>
            </w:pPr>
            <w:r>
              <w:t xml:space="preserve">0,086</w:t>
            </w:r>
            <w:r/>
          </w:p>
        </w:tc>
        <w:tc>
          <w:tcPr>
            <w:tcBorders>
              <w:bottom w:val="single" w:color="000000" w:sz="4" w:space="0"/>
              <w:right w:val="single" w:color="000000" w:sz="4" w:space="0"/>
            </w:tcBorders>
            <w:tcW w:w="1501"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335" w:type="dxa"/>
            <w:vAlign w:val="center"/>
          </w:tcPr>
          <w:p>
            <w:pPr>
              <w:pStyle w:val="12385"/>
              <w:pBdr/>
              <w:spacing/>
              <w:ind/>
              <w:rPr/>
            </w:pPr>
            <w:r>
              <w:t xml:space="preserve">0,054</w:t>
            </w:r>
            <w:r/>
          </w:p>
        </w:tc>
        <w:tc>
          <w:tcPr>
            <w:shd w:val="clear" w:color="000000" w:fill="ffffff"/>
            <w:tcBorders>
              <w:bottom w:val="single" w:color="000000" w:sz="4" w:space="0"/>
              <w:right w:val="single" w:color="000000" w:sz="4" w:space="0"/>
            </w:tcBorders>
            <w:tcW w:w="1538" w:type="dxa"/>
            <w:vAlign w:val="center"/>
          </w:tcPr>
          <w:p>
            <w:pPr>
              <w:pStyle w:val="12385"/>
              <w:pBdr/>
              <w:spacing/>
              <w:ind/>
              <w:rPr/>
            </w:pPr>
            <w:r>
              <w:t xml:space="preserve">0,032</w:t>
            </w:r>
            <w:r/>
          </w:p>
        </w:tc>
        <w:tc>
          <w:tcPr>
            <w:shd w:val="clear" w:color="000000" w:fill="ffffff"/>
            <w:tcBorders>
              <w:bottom w:val="single" w:color="000000" w:sz="4" w:space="0"/>
              <w:right w:val="single" w:color="000000" w:sz="4" w:space="0"/>
            </w:tcBorders>
            <w:tcW w:w="1537" w:type="dxa"/>
            <w:vAlign w:val="center"/>
          </w:tcPr>
          <w:p>
            <w:pPr>
              <w:pStyle w:val="12385"/>
              <w:pBdr/>
              <w:spacing/>
              <w:ind/>
              <w:rPr/>
            </w:pPr>
            <w:r>
              <w:t xml:space="preserve">18,79%</w:t>
            </w:r>
            <w:r/>
          </w:p>
        </w:tc>
      </w:tr>
      <w:tr>
        <w:trPr>
          <w:trHeight w:val="20"/>
        </w:trPr>
        <w:tc>
          <w:tcPr>
            <w:shd w:val="clear" w:color="000000" w:fill="ffffff"/>
            <w:tcBorders>
              <w:left w:val="single" w:color="000000" w:sz="4" w:space="0"/>
              <w:bottom w:val="single" w:color="000000" w:sz="4" w:space="0"/>
              <w:right w:val="single" w:color="000000" w:sz="4" w:space="0"/>
            </w:tcBorders>
            <w:tcW w:w="1442"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852" w:type="dxa"/>
            <w:vAlign w:val="center"/>
          </w:tcPr>
          <w:p>
            <w:pPr>
              <w:pStyle w:val="12385"/>
              <w:pBdr/>
              <w:spacing/>
              <w:ind/>
              <w:rPr/>
            </w:pPr>
            <w:r>
              <w:t xml:space="preserve">0,343</w:t>
            </w:r>
            <w:r/>
          </w:p>
        </w:tc>
        <w:tc>
          <w:tcPr>
            <w:tcBorders>
              <w:bottom w:val="single" w:color="000000" w:sz="4" w:space="0"/>
              <w:right w:val="single" w:color="000000" w:sz="4" w:space="0"/>
            </w:tcBorders>
            <w:tcW w:w="1149" w:type="dxa"/>
            <w:vAlign w:val="center"/>
          </w:tcPr>
          <w:p>
            <w:pPr>
              <w:pStyle w:val="12385"/>
              <w:pBdr/>
              <w:spacing/>
              <w:ind/>
              <w:rPr/>
            </w:pPr>
            <w:r>
              <w:t xml:space="preserve">0,258</w:t>
            </w:r>
            <w:r/>
          </w:p>
        </w:tc>
        <w:tc>
          <w:tcPr>
            <w:tcBorders>
              <w:bottom w:val="single" w:color="000000" w:sz="4" w:space="0"/>
              <w:right w:val="single" w:color="000000" w:sz="4" w:space="0"/>
            </w:tcBorders>
            <w:tcW w:w="1501" w:type="dxa"/>
            <w:vAlign w:val="center"/>
          </w:tcPr>
          <w:p>
            <w:pPr>
              <w:pStyle w:val="12385"/>
              <w:pBdr/>
              <w:spacing/>
              <w:ind/>
              <w:rPr/>
            </w:pPr>
            <w:r>
              <w:t xml:space="preserve">0,258</w:t>
            </w:r>
            <w:r/>
          </w:p>
        </w:tc>
        <w:tc>
          <w:tcPr>
            <w:shd w:val="clear" w:color="000000" w:fill="ffffff"/>
            <w:tcBorders>
              <w:bottom w:val="single" w:color="000000" w:sz="4" w:space="0"/>
              <w:right w:val="single" w:color="000000" w:sz="4" w:space="0"/>
            </w:tcBorders>
            <w:tcW w:w="1335" w:type="dxa"/>
            <w:vAlign w:val="center"/>
          </w:tcPr>
          <w:p>
            <w:pPr>
              <w:pStyle w:val="12385"/>
              <w:pBdr/>
              <w:spacing/>
              <w:ind/>
              <w:rPr/>
            </w:pPr>
            <w:r>
              <w:t xml:space="preserve">0,130</w:t>
            </w:r>
            <w:r/>
          </w:p>
        </w:tc>
        <w:tc>
          <w:tcPr>
            <w:shd w:val="clear" w:color="000000" w:fill="ffffff"/>
            <w:tcBorders>
              <w:bottom w:val="single" w:color="000000" w:sz="4" w:space="0"/>
              <w:right w:val="single" w:color="000000" w:sz="4" w:space="0"/>
            </w:tcBorders>
            <w:tcW w:w="1538" w:type="dxa"/>
            <w:vAlign w:val="center"/>
          </w:tcPr>
          <w:p>
            <w:pPr>
              <w:pStyle w:val="12385"/>
              <w:pBdr/>
              <w:spacing/>
              <w:ind/>
              <w:rPr/>
            </w:pPr>
            <w:r>
              <w:t xml:space="preserve">0,128</w:t>
            </w:r>
            <w:r/>
          </w:p>
        </w:tc>
        <w:tc>
          <w:tcPr>
            <w:shd w:val="clear" w:color="000000" w:fill="ffffff"/>
            <w:tcBorders>
              <w:bottom w:val="single" w:color="000000" w:sz="4" w:space="0"/>
              <w:right w:val="single" w:color="000000" w:sz="4" w:space="0"/>
            </w:tcBorders>
            <w:tcW w:w="1537" w:type="dxa"/>
            <w:vAlign w:val="center"/>
          </w:tcPr>
          <w:p>
            <w:pPr>
              <w:pStyle w:val="12385"/>
              <w:pBdr/>
              <w:spacing/>
              <w:ind/>
              <w:rPr/>
            </w:pPr>
            <w:r>
              <w:t xml:space="preserve">37,41%</w:t>
            </w:r>
            <w:r/>
          </w:p>
        </w:tc>
      </w:tr>
      <w:tr>
        <w:trPr>
          <w:trHeight w:val="20"/>
        </w:trPr>
        <w:tc>
          <w:tcPr>
            <w:shd w:val="clear" w:color="000000" w:fill="ffffff"/>
            <w:tcBorders>
              <w:left w:val="single" w:color="000000" w:sz="4" w:space="0"/>
              <w:bottom w:val="single" w:color="000000" w:sz="4" w:space="0"/>
              <w:right w:val="single" w:color="000000" w:sz="4" w:space="0"/>
            </w:tcBorders>
            <w:tcW w:w="1442"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852" w:type="dxa"/>
            <w:vAlign w:val="center"/>
          </w:tcPr>
          <w:p>
            <w:pPr>
              <w:pStyle w:val="12385"/>
              <w:pBdr/>
              <w:spacing/>
              <w:ind/>
              <w:rPr/>
            </w:pPr>
            <w:r>
              <w:t xml:space="preserve">0,171</w:t>
            </w:r>
            <w:r/>
          </w:p>
        </w:tc>
        <w:tc>
          <w:tcPr>
            <w:tcBorders>
              <w:bottom w:val="single" w:color="000000" w:sz="4" w:space="0"/>
              <w:right w:val="single" w:color="000000" w:sz="4" w:space="0"/>
            </w:tcBorders>
            <w:tcW w:w="1149" w:type="dxa"/>
            <w:vAlign w:val="center"/>
          </w:tcPr>
          <w:p>
            <w:pPr>
              <w:pStyle w:val="12385"/>
              <w:pBdr/>
              <w:spacing/>
              <w:ind/>
              <w:rPr/>
            </w:pPr>
            <w:r>
              <w:t xml:space="preserve">0,086</w:t>
            </w:r>
            <w:r/>
          </w:p>
        </w:tc>
        <w:tc>
          <w:tcPr>
            <w:tcBorders>
              <w:bottom w:val="single" w:color="000000" w:sz="4" w:space="0"/>
              <w:right w:val="single" w:color="000000" w:sz="4" w:space="0"/>
            </w:tcBorders>
            <w:tcW w:w="1501"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335" w:type="dxa"/>
            <w:vAlign w:val="center"/>
          </w:tcPr>
          <w:p>
            <w:pPr>
              <w:pStyle w:val="12385"/>
              <w:pBdr/>
              <w:spacing/>
              <w:ind/>
              <w:rPr/>
            </w:pPr>
            <w:r>
              <w:t xml:space="preserve">0,073</w:t>
            </w:r>
            <w:r/>
          </w:p>
        </w:tc>
        <w:tc>
          <w:tcPr>
            <w:shd w:val="clear" w:color="000000" w:fill="ffffff"/>
            <w:tcBorders>
              <w:bottom w:val="single" w:color="000000" w:sz="4" w:space="0"/>
              <w:right w:val="single" w:color="000000" w:sz="4" w:space="0"/>
            </w:tcBorders>
            <w:tcW w:w="1538" w:type="dxa"/>
            <w:vAlign w:val="center"/>
          </w:tcPr>
          <w:p>
            <w:pPr>
              <w:pStyle w:val="12385"/>
              <w:pBdr/>
              <w:spacing/>
              <w:ind/>
              <w:rPr/>
            </w:pPr>
            <w:r>
              <w:t xml:space="preserve">0,013</w:t>
            </w:r>
            <w:r/>
          </w:p>
        </w:tc>
        <w:tc>
          <w:tcPr>
            <w:shd w:val="clear" w:color="000000" w:fill="ffffff"/>
            <w:tcBorders>
              <w:bottom w:val="single" w:color="000000" w:sz="4" w:space="0"/>
              <w:right w:val="single" w:color="000000" w:sz="4" w:space="0"/>
            </w:tcBorders>
            <w:tcW w:w="1537" w:type="dxa"/>
            <w:vAlign w:val="center"/>
          </w:tcPr>
          <w:p>
            <w:pPr>
              <w:pStyle w:val="12385"/>
              <w:pBdr/>
              <w:spacing/>
              <w:ind/>
              <w:rPr/>
            </w:pPr>
            <w:r>
              <w:t xml:space="preserve">7,46%</w:t>
            </w:r>
            <w:r/>
          </w:p>
        </w:tc>
      </w:tr>
    </w:tbl>
    <w:p>
      <w:pPr>
        <w:pStyle w:val="12960"/>
        <w:pBdr/>
        <w:spacing/>
        <w:ind/>
        <w:rPr>
          <w:b/>
          <w:bCs w:val="0"/>
        </w:rPr>
      </w:pPr>
      <w:r>
        <w:rPr>
          <w:b/>
          <w:bCs w:val="0"/>
        </w:rPr>
      </w:r>
      <w:r>
        <w:rPr>
          <w:b/>
          <w:bCs w:val="0"/>
        </w:rPr>
      </w:r>
    </w:p>
    <w:p>
      <w:pPr>
        <w:pStyle w:val="12960"/>
        <w:pBdr/>
        <w:spacing/>
        <w:ind/>
        <w:rPr/>
      </w:pPr>
      <w:r>
        <w:t xml:space="preserve">При рассмотрении котельных с учетом выделения одного котл</w:t>
      </w:r>
      <w:r>
        <w:t xml:space="preserve">а, как резервного, который покроет недостаток мощности при выходе из строя наибольшего по производительности котла на котельных не выявлен дефицит тепловой мощности (по фактической нагрузке) при аварийном выводе самого мощного пикового котла/турбоагрегата.</w:t>
      </w:r>
      <w:r/>
    </w:p>
    <w:p>
      <w:pPr>
        <w:pStyle w:val="12960"/>
        <w:pBdr/>
        <w:spacing/>
        <w:ind/>
        <w:rPr/>
      </w:pPr>
      <w:r/>
      <w:r/>
    </w:p>
    <w:p>
      <w:pPr>
        <w:pStyle w:val="10535"/>
        <w:keepNext w:val="true"/>
        <w:widowControl w:val="false"/>
        <w:numPr>
          <w:ilvl w:val="1"/>
          <w:numId w:val="13"/>
        </w:numPr>
        <w:pBdr/>
        <w:bidi w:val="false"/>
        <w:spacing w:after="240" w:before="240" w:line="240" w:lineRule="auto"/>
        <w:ind w:right="0" w:hanging="737" w:left="737"/>
        <w:jc w:val="center"/>
        <w:rPr>
          <w:rFonts w:cs="Times New Roman"/>
        </w:rPr>
      </w:pPr>
      <w:r/>
      <w:bookmarkStart w:id="375" w:name="_Toc166767188"/>
      <w:r/>
      <w:bookmarkStart w:id="376" w:name="_Toc84970972"/>
      <w:r/>
      <w:bookmarkStart w:id="377" w:name="_Toc198483528"/>
      <w:r/>
      <w:bookmarkStart w:id="378" w:name="_Toc78674735"/>
      <w:r>
        <w:rPr>
          <w:rFonts w:cs="Times New Roman"/>
        </w:rPr>
        <w:t xml:space="preserve">Описание гидравлических режимов, обеспеч</w:t>
      </w:r>
      <w:r>
        <w:rPr>
          <w:rFonts w:cs="Times New Roman"/>
        </w:rPr>
        <w:t xml:space="preserve">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75"/>
      <w:r/>
      <w:bookmarkEnd w:id="376"/>
      <w:r/>
      <w:bookmarkEnd w:id="377"/>
      <w:r/>
      <w:bookmarkEnd w:id="378"/>
      <w:r/>
      <w:r>
        <w:rPr>
          <w:rFonts w:cs="Times New Roman"/>
        </w:rPr>
      </w:r>
    </w:p>
    <w:p>
      <w:pPr>
        <w:pStyle w:val="12960"/>
        <w:pBdr/>
        <w:spacing/>
        <w:ind/>
        <w:rPr/>
      </w:pPr>
      <w: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r/>
    </w:p>
    <w:p>
      <w:pPr>
        <w:pStyle w:val="12960"/>
        <w:pBdr/>
        <w:spacing/>
        <w:ind/>
        <w:rPr/>
      </w:pPr>
      <w:r>
        <w:t xml:space="preserve">Данные выводы относятся ко всем теплотрассам.</w:t>
      </w:r>
      <w:r/>
    </w:p>
    <w:p>
      <w:pPr>
        <w:pStyle w:val="12960"/>
        <w:pBdr/>
        <w:spacing/>
        <w:ind/>
        <w:rPr/>
      </w:pPr>
      <w:r>
        <w:t xml:space="preserve">1) Давление</w:t>
      </w:r>
      <w:r>
        <w:t xml:space="preserve"> в отдельных точках системы не превышает пределы прочности, следовательно, нет необходимости предусматривать подключение отдельных потребителей по зависимой схеме или деление тепловых сетей на зоны с выбором для каждой зоны своей линии статического напора.</w:t>
      </w:r>
      <w:r/>
    </w:p>
    <w:p>
      <w:pPr>
        <w:pStyle w:val="12960"/>
        <w:pBdr/>
        <w:spacing/>
        <w:ind/>
        <w:rPr/>
      </w:pPr>
      <w:r>
        <w:t xml:space="preserve">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r/>
    </w:p>
    <w:p>
      <w:pPr>
        <w:pStyle w:val="12960"/>
        <w:pBdr/>
        <w:spacing/>
        <w:ind/>
        <w:rPr/>
      </w:pPr>
      <w:r>
        <w:t xml:space="preserve">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r/>
    </w:p>
    <w:p>
      <w:pPr>
        <w:pStyle w:val="12960"/>
        <w:pBdr/>
        <w:spacing/>
        <w:ind/>
        <w:rPr/>
      </w:pPr>
      <w:r>
        <w:t xml:space="preserve">4) Напоры на входе сетевых насосов и на выходе из источника теплоты, удовлетворяют всем требованиям, предъявляемым к гидравлическому режиму.</w:t>
      </w:r>
      <w:r/>
    </w:p>
    <w:p>
      <w:pPr>
        <w:pStyle w:val="12960"/>
        <w:pBdr/>
        <w:spacing/>
        <w:ind/>
        <w:rPr/>
      </w:pPr>
      <w:r>
        <w:t xml:space="preserve">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r/>
    </w:p>
    <w:p>
      <w:pPr>
        <w:pStyle w:val="12960"/>
        <w:pBdr/>
        <w:spacing/>
        <w:ind/>
        <w:rPr/>
      </w:pPr>
      <w:r>
        <w:t xml:space="preserve">Рекомендации по выполнению мероприятий на тепловых сетях.</w:t>
      </w:r>
      <w:r/>
    </w:p>
    <w:p>
      <w:pPr>
        <w:pStyle w:val="12960"/>
        <w:pBdr/>
        <w:spacing/>
        <w:ind/>
        <w:rPr/>
      </w:pPr>
      <w:r>
        <w:t xml:space="preserve">Для согласованной работы всех теплопотребителей и контроля параметров теплоносителя на отдельно взятом объекте, рекомендуем:</w:t>
      </w:r>
      <w:r/>
    </w:p>
    <w:p>
      <w:pPr>
        <w:pStyle w:val="12960"/>
        <w:pBdr/>
        <w:spacing/>
        <w:ind/>
        <w:rPr/>
      </w:pPr>
      <w:r>
        <w:t xml:space="preserve">1. Промыть систему отопления каждого здания и сооружения включая отопительные приборы.</w:t>
      </w:r>
      <w:r/>
    </w:p>
    <w:p>
      <w:pPr>
        <w:pStyle w:val="12960"/>
        <w:pBdr/>
        <w:spacing/>
        <w:ind/>
        <w:rPr/>
      </w:pPr>
      <w:r>
        <w:t xml:space="preserve">2. 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r/>
    </w:p>
    <w:p>
      <w:pPr>
        <w:pStyle w:val="12960"/>
        <w:pBdr/>
        <w:spacing/>
        <w:ind/>
        <w:rPr/>
      </w:pPr>
      <w:r>
        <w:t xml:space="preserve">2.1. на подающем и обратном трубопроводе каждого здания или сооружения;</w:t>
      </w:r>
      <w:r/>
    </w:p>
    <w:p>
      <w:pPr>
        <w:pStyle w:val="12960"/>
        <w:pBdr/>
        <w:spacing/>
        <w:ind/>
        <w:rPr/>
      </w:pPr>
      <w:r>
        <w:t xml:space="preserve">2.2. 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r/>
    </w:p>
    <w:p>
      <w:pPr>
        <w:pStyle w:val="12960"/>
        <w:pBdr/>
        <w:spacing/>
        <w:ind/>
        <w:rPr/>
      </w:pPr>
      <w:r>
        <w:t xml:space="preserve">3. 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r/>
    </w:p>
    <w:p>
      <w:pPr>
        <w:pStyle w:val="12960"/>
        <w:pBdr/>
        <w:spacing/>
        <w:ind/>
        <w:rPr/>
      </w:pPr>
      <w:r>
        <w:t xml:space="preserve">4. 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r/>
    </w:p>
    <w:p>
      <w:pPr>
        <w:pStyle w:val="12960"/>
        <w:pBdr/>
        <w:spacing/>
        <w:ind/>
        <w:rPr/>
      </w:pPr>
      <w:r>
        <w:t xml:space="preserve">5. Для обеспечения надёжной и бесперебойной работы внутре</w:t>
      </w:r>
      <w:r>
        <w:t xml:space="preserve">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r/>
    </w:p>
    <w:p>
      <w:pPr>
        <w:pStyle w:val="12960"/>
        <w:pBdr/>
        <w:spacing/>
        <w:ind/>
        <w:rPr/>
      </w:pPr>
      <w:r>
        <w:t xml:space="preserve">6. Для исключения перерасхода тепловой и электрической энергии, а также топлива котельной установить узлы учёта потребляемого тепла на каждом здании и сооружении.</w:t>
      </w:r>
      <w:r/>
    </w:p>
    <w:p>
      <w:pPr>
        <w:pStyle w:val="12960"/>
        <w:pBdr/>
        <w:spacing/>
        <w:ind/>
        <w:rPr/>
      </w:pPr>
      <w:r>
        <w:t xml:space="preserve">7. 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r/>
    </w:p>
    <w:p>
      <w:pPr>
        <w:pStyle w:val="12960"/>
        <w:pBdr/>
        <w:spacing/>
        <w:ind/>
        <w:rPr/>
      </w:pPr>
      <w:r>
        <w:t xml:space="preserve">8. 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r/>
    </w:p>
    <w:p>
      <w:pPr>
        <w:pStyle w:val="12960"/>
        <w:pBdr/>
        <w:spacing/>
        <w:ind/>
        <w:rPr/>
      </w:pPr>
      <w:r>
        <w:t xml:space="preserve">8.1. регулировать температуру теплоносителя, а, следовательно, и температуру внутри помещений в прямой зависимости от температуры наружного воздуха;</w:t>
      </w:r>
      <w:r/>
    </w:p>
    <w:p>
      <w:pPr>
        <w:pStyle w:val="12960"/>
        <w:pBdr/>
        <w:spacing/>
        <w:ind/>
        <w:rPr/>
      </w:pPr>
      <w:r>
        <w:t xml:space="preserve">8.2. 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379" w:name="_Toc84970973"/>
      <w:r/>
      <w:bookmarkStart w:id="380" w:name="_Toc78674736"/>
      <w:r/>
      <w:bookmarkStart w:id="381" w:name="_Toc198483529"/>
      <w:r/>
      <w:bookmarkStart w:id="382" w:name="_Toc166767189"/>
      <w:r>
        <w:rPr>
          <w:rFonts w:cs="Times New Roman"/>
        </w:rPr>
        <w:t xml:space="preserve">Описание причины возникновения дефицитов тепловой мощности и последствий влияния дефицитов на качество теплоснабжения</w:t>
      </w:r>
      <w:bookmarkEnd w:id="379"/>
      <w:r/>
      <w:bookmarkEnd w:id="380"/>
      <w:r/>
      <w:bookmarkEnd w:id="381"/>
      <w:r/>
      <w:bookmarkEnd w:id="382"/>
      <w:r/>
      <w:r>
        <w:rPr>
          <w:rFonts w:cs="Times New Roman"/>
        </w:rPr>
      </w:r>
    </w:p>
    <w:p>
      <w:pPr>
        <w:pStyle w:val="12960"/>
        <w:pBdr/>
        <w:spacing/>
        <w:ind/>
        <w:rPr/>
      </w:pPr>
      <w: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r/>
    </w:p>
    <w:p>
      <w:pPr>
        <w:pStyle w:val="12960"/>
        <w:pBdr/>
        <w:spacing/>
        <w:ind/>
        <w:rPr/>
      </w:pPr>
      <w:r>
        <w:t xml:space="preserve">Объективным фактором является то, что распределение объектов теплоэнергетики по территории муниципального образования не может быть равномерным по причине разной плотности размещения потребителей тепловой энергии. </w:t>
      </w:r>
      <w:r/>
    </w:p>
    <w:p>
      <w:pPr>
        <w:pStyle w:val="12960"/>
        <w:pBdr/>
        <w:spacing/>
        <w:ind/>
        <w:rPr/>
      </w:pPr>
      <w: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r/>
    </w:p>
    <w:p>
      <w:pPr>
        <w:pStyle w:val="12960"/>
        <w:pBdr/>
        <w:spacing/>
        <w:ind/>
        <w:rPr>
          <w:lang w:eastAsia="ru-RU"/>
        </w:rPr>
      </w:pPr>
      <w:r>
        <w:t xml:space="preserve">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w:t>
      </w:r>
      <w:r>
        <w:rPr>
          <w:lang w:eastAsia="ru-RU"/>
        </w:rPr>
        <w:t xml:space="preserve"> источников систем теплоснабжения.</w:t>
      </w:r>
      <w:r>
        <w:rPr>
          <w:lang w:eastAsia="ru-RU"/>
        </w:rP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383" w:name="_Toc198483530"/>
      <w:r/>
      <w:bookmarkStart w:id="384" w:name="_Toc166767190"/>
      <w:r/>
      <w:bookmarkStart w:id="385" w:name="_Toc84970974"/>
      <w:r/>
      <w:bookmarkStart w:id="386" w:name="_Toc78674737"/>
      <w:r>
        <w:rPr>
          <w:rFonts w:cs="Times New Roman"/>
        </w:rPr>
        <w:t xml:space="preserve">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83"/>
      <w:r/>
      <w:bookmarkEnd w:id="384"/>
      <w:r/>
      <w:bookmarkEnd w:id="385"/>
      <w:r/>
      <w:bookmarkEnd w:id="386"/>
      <w:r/>
      <w:r>
        <w:rPr>
          <w:rFonts w:cs="Times New Roman"/>
        </w:rPr>
      </w:r>
    </w:p>
    <w:p>
      <w:pPr>
        <w:pStyle w:val="12960"/>
        <w:pBdr/>
        <w:spacing/>
        <w:ind/>
        <w:rPr/>
        <w:sectPr>
          <w:headerReference w:type="default" r:id="rId56"/>
          <w:headerReference w:type="first" r:id="rId57"/>
          <w:footerReference w:type="default" r:id="rId323"/>
          <w:footerReference w:type="first" r:id="rId324"/>
          <w:footnotePr/>
          <w:endnotePr/>
          <w:type w:val="nextPage"/>
          <w:pgSz w:h="16838" w:orient="portrait" w:w="11906"/>
          <w:pgMar w:top="1134" w:right="850" w:bottom="1134" w:left="1701" w:header="680" w:footer="284" w:gutter="0"/>
          <w:cols w:num="1" w:sep="0" w:space="1701" w:equalWidth="1"/>
        </w:sectPr>
      </w:pPr>
      <w:r>
        <w:t xml:space="preserve">Необходимость в расширении технологических зон действия источников тепловой энергии с резервами тепловой мощности в зоны действия с дефицитами тепловой мощности отсутствует.</w:t>
      </w:r>
      <w:r/>
    </w:p>
    <w:p>
      <w:pPr>
        <w:pStyle w:val="10534"/>
        <w:numPr>
          <w:ilvl w:val="0"/>
          <w:numId w:val="13"/>
        </w:numPr>
        <w:pBdr/>
        <w:spacing/>
        <w:ind/>
        <w:rPr>
          <w:spacing w:val="0"/>
        </w:rPr>
      </w:pPr>
      <w:r/>
      <w:bookmarkStart w:id="387" w:name="_Toc198483531"/>
      <w:r/>
      <w:bookmarkStart w:id="388" w:name="_Toc166767191"/>
      <w:r/>
      <w:bookmarkStart w:id="389" w:name="_Toc84970975"/>
      <w:r/>
      <w:bookmarkStart w:id="390" w:name="_Toc78674738"/>
      <w:r>
        <w:rPr>
          <w:spacing w:val="0"/>
          <w:lang w:val="en-US"/>
        </w:rPr>
        <w:t xml:space="preserve">Балансы теплоносителя</w:t>
      </w:r>
      <w:bookmarkEnd w:id="387"/>
      <w:r/>
      <w:bookmarkEnd w:id="388"/>
      <w:r/>
      <w:bookmarkEnd w:id="389"/>
      <w:r/>
      <w:bookmarkEnd w:id="390"/>
      <w:r/>
      <w:r>
        <w:rPr>
          <w:spacing w:val="0"/>
        </w:rPr>
      </w:r>
    </w:p>
    <w:p>
      <w:pPr>
        <w:pStyle w:val="10535"/>
        <w:keepNext w:val="false"/>
        <w:widowControl w:val="false"/>
        <w:numPr>
          <w:ilvl w:val="1"/>
          <w:numId w:val="105"/>
        </w:numPr>
        <w:pBdr/>
        <w:tabs>
          <w:tab w:val="left" w:leader="none" w:pos="567"/>
          <w:tab w:val="clear" w:leader="none" w:pos="708"/>
        </w:tabs>
        <w:bidi w:val="false"/>
        <w:spacing w:after="240" w:before="240" w:line="240" w:lineRule="auto"/>
        <w:ind w:right="0" w:hanging="737" w:left="737"/>
        <w:jc w:val="both"/>
        <w:rPr>
          <w:rFonts w:cs="Times New Roman"/>
        </w:rPr>
      </w:pPr>
      <w:r/>
      <w:bookmarkStart w:id="391" w:name="_Toc166767192"/>
      <w:r/>
      <w:bookmarkStart w:id="392" w:name="_Toc475879471"/>
      <w:r/>
      <w:bookmarkStart w:id="393" w:name="_Toc78674739"/>
      <w:r/>
      <w:bookmarkStart w:id="394" w:name="_Toc84970976"/>
      <w:r/>
      <w:bookmarkStart w:id="395" w:name="_Toc198483532"/>
      <w:r>
        <w:rPr>
          <w:rFonts w:cs="Times New Roman"/>
        </w:rPr>
        <w:t xml:space="preserve">Описание утвержденных балансов производительности водоподготовительных уст</w:t>
      </w:r>
      <w:r>
        <w:rPr>
          <w:rFonts w:cs="Times New Roman"/>
        </w:rPr>
        <w:t xml:space="preserve">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391"/>
      <w:r/>
      <w:bookmarkEnd w:id="392"/>
      <w:r/>
      <w:bookmarkEnd w:id="393"/>
      <w:r/>
      <w:bookmarkEnd w:id="394"/>
      <w:r/>
      <w:bookmarkEnd w:id="395"/>
      <w:r/>
      <w:r>
        <w:rPr>
          <w:rFonts w:cs="Times New Roman"/>
        </w:rPr>
      </w:r>
    </w:p>
    <w:p>
      <w:pPr>
        <w:pStyle w:val="12960"/>
        <w:pBdr/>
        <w:spacing/>
        <w:ind/>
        <w:rPr/>
      </w:pPr>
      <w:r>
        <w:t xml:space="preserve">Подпиточной водой и теплоносителем тепловых сетей является вода из системы хозпитьевого водоснабжения муниципального образования. Подготовка теплоносителя для подпитки тепловых сетей организована без применения водоподготовительной установки.</w:t>
      </w:r>
      <w:r/>
    </w:p>
    <w:p>
      <w:pPr>
        <w:pStyle w:val="12960"/>
        <w:pBdr/>
        <w:spacing/>
        <w:ind/>
        <w:rPr/>
      </w:pPr>
      <w:r>
        <w:t xml:space="preserve">В систем</w:t>
      </w:r>
      <w:r>
        <w:t xml:space="preserve">е центрального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источниках подпиточной водой, которая идет на вос</w:t>
      </w:r>
      <w:bookmarkStart w:id="396" w:name="_Toc462820421"/>
      <w:r>
        <w:t xml:space="preserve">полнение утечек теплоносителя.</w:t>
      </w:r>
      <w:bookmarkEnd w:id="396"/>
      <w:r/>
      <w:r/>
    </w:p>
    <w:p>
      <w:pPr>
        <w:pStyle w:val="12960"/>
        <w:pBdr/>
        <w:spacing/>
        <w:ind/>
        <w:rPr/>
      </w:pPr>
      <w:r>
        <w:t xml:space="preserve">Система ХВО отсутствует. В аварийном режиме работы подпитка тепловых сетей осуществляется напрямую из водопровода.</w:t>
      </w:r>
      <w:r/>
    </w:p>
    <w:p>
      <w:pPr>
        <w:pStyle w:val="12960"/>
        <w:pBdr/>
        <w:spacing/>
        <w:ind/>
        <w:rPr>
          <w:rFonts w:eastAsia="Times New Roman"/>
        </w:rPr>
      </w:pPr>
      <w:r>
        <w:rPr>
          <w:rFonts w:eastAsia="Times New Roman"/>
        </w:rPr>
        <w:t xml:space="preserve">Расчет производительности водоподготовительных установок котельной для подпитки тепловых сетей в их зонах действия выполнен согласно СП 74.13330.2023 «Тепловые сети».</w:t>
      </w:r>
      <w:r>
        <w:rPr>
          <w:rFonts w:eastAsia="Times New Roman"/>
        </w:rPr>
      </w:r>
    </w:p>
    <w:p>
      <w:pPr>
        <w:pStyle w:val="12960"/>
        <w:pBdr/>
        <w:spacing/>
        <w:ind/>
        <w:rPr>
          <w:rFonts w:eastAsia="Times New Roman"/>
        </w:rPr>
      </w:pPr>
      <w:r>
        <w:rPr>
          <w:rFonts w:eastAsia="Times New Roman"/>
        </w:rPr>
        <w:t xml:space="preserve">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r>
        <w:rPr>
          <w:rFonts w:eastAsia="Times New Roman"/>
        </w:rPr>
      </w:r>
    </w:p>
    <w:p>
      <w:pPr>
        <w:pStyle w:val="12960"/>
        <w:pBdr/>
        <w:spacing/>
        <w:ind/>
        <w:rPr>
          <w:rFonts w:eastAsia="Times New Roman"/>
        </w:rPr>
      </w:pPr>
      <w:r>
        <w:rPr>
          <w:rFonts w:eastAsia="Times New Roman"/>
        </w:rPr>
        <w:t xml:space="preserve">Согласно п. 6.16 базовой версии СП 74.13330.2023 «Тепловые сети»:</w:t>
      </w:r>
      <w:r>
        <w:rPr>
          <w:rFonts w:eastAsia="Times New Roman"/>
        </w:rPr>
      </w:r>
    </w:p>
    <w:p>
      <w:pPr>
        <w:pStyle w:val="12960"/>
        <w:pBdr/>
        <w:spacing/>
        <w:ind/>
        <w:rPr>
          <w:rFonts w:eastAsia="Times New Roman"/>
        </w:rPr>
      </w:pPr>
      <w:r>
        <w:rPr>
          <w:rFonts w:eastAsia="Times New Roman"/>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r>
        <w:rPr>
          <w:rFonts w:eastAsia="Times New Roman"/>
        </w:rPr>
      </w:r>
    </w:p>
    <w:p>
      <w:pPr>
        <w:pStyle w:val="13832"/>
        <w:keepNext w:val="false"/>
        <w:widowControl w:val="true"/>
        <w:numPr>
          <w:ilvl w:val="0"/>
          <w:numId w:val="61"/>
        </w:numPr>
        <w:pBdr/>
        <w:bidi w:val="false"/>
        <w:spacing w:after="0" w:before="0" w:line="360" w:lineRule="auto"/>
        <w:ind w:right="0" w:firstLine="567" w:left="0"/>
        <w:jc w:val="both"/>
        <w:rPr/>
      </w:pPr>
      <w:r>
        <w:t xml:space="preserve"> </w:t>
      </w:r>
      <w:r>
        <w:t xml:space="preserve">в закрытых системах теплоснабжения – 0,75 % фактического объема воды в трубопроводах тепловых се</w:t>
      </w:r>
      <w:r>
        <w:t xml:space="preserve">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r/>
    </w:p>
    <w:p>
      <w:pPr>
        <w:pStyle w:val="13832"/>
        <w:keepNext w:val="false"/>
        <w:widowControl w:val="true"/>
        <w:numPr>
          <w:ilvl w:val="0"/>
          <w:numId w:val="61"/>
        </w:numPr>
        <w:pBdr/>
        <w:bidi w:val="false"/>
        <w:spacing w:after="0" w:before="0" w:line="360" w:lineRule="auto"/>
        <w:ind w:right="0" w:firstLine="567" w:left="0"/>
        <w:jc w:val="both"/>
        <w:rPr/>
      </w:pPr>
      <w: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w:t>
      </w:r>
      <w:r>
        <w:t xml:space="preserve">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r/>
    </w:p>
    <w:p>
      <w:pPr>
        <w:pStyle w:val="13832"/>
        <w:keepNext w:val="false"/>
        <w:widowControl w:val="true"/>
        <w:numPr>
          <w:ilvl w:val="0"/>
          <w:numId w:val="61"/>
        </w:numPr>
        <w:pBdr/>
        <w:bidi w:val="false"/>
        <w:spacing w:after="0" w:before="0" w:line="360" w:lineRule="auto"/>
        <w:ind w:right="0" w:firstLine="567" w:left="0"/>
        <w:jc w:val="both"/>
        <w:rPr/>
      </w:pPr>
      <w:r>
        <w:t xml:space="preserve">для отдельных тепловых сетей горячего водоснабжения, при наличии баков аккумуляторов, по расчетному среднему расходу воды на горячее водоснаб</w:t>
      </w:r>
      <w:r>
        <w:t xml:space="preserve">жение с коэффициентом 1,2, а при отсутствии баков аккумуляторов по максимальному расходу воды на горячее водоснабжении. В обоих случаях плюс 0,75% фактического объема воды в трубопроводах сетей и присоединенных к ним системах горячего водоснабжения зданий;</w:t>
      </w:r>
      <w:r/>
    </w:p>
    <w:p>
      <w:pPr>
        <w:pStyle w:val="10533"/>
        <w:pBdr/>
        <w:spacing w:line="360" w:lineRule="auto"/>
        <w:ind w:firstLine="680"/>
        <w:jc w:val="center"/>
        <w:rPr/>
      </w:pPr>
      <w:r>
        <mc:AlternateContent>
          <mc:Choice Requires="wpg">
            <w:drawing>
              <wp:inline xmlns:wp="http://schemas.openxmlformats.org/drawingml/2006/wordprocessingDrawing" distT="0" distB="0" distL="0" distR="0">
                <wp:extent cx="4229100" cy="546100"/>
                <wp:effectExtent l="0" t="0" r="0" b="0"/>
                <wp:docPr id="46" name="Изображение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13" descr=""/>
                        <pic:cNvPicPr>
                          <a:picLocks noChangeAspect="1"/>
                        </pic:cNvPicPr>
                        <pic:nvPr/>
                      </pic:nvPicPr>
                      <pic:blipFill rotWithShape="1">
                        <a:blip r:embed="rId619"/>
                        <a:stretch/>
                      </pic:blipFill>
                      <pic:spPr bwMode="auto">
                        <a:xfrm>
                          <a:off x="0" y="0"/>
                          <a:ext cx="4229100" cy="5461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width:333.00pt;height:43.00pt;mso-wrap-distance-left:0.00pt;mso-wrap-distance-top:0.00pt;mso-wrap-distance-right:0.00pt;mso-wrap-distance-bottom:0.00pt;z-index:1;" stroked="false">
                <v:imagedata r:id="rId619" o:title=""/>
                <o:lock v:ext="edit" rotation="t"/>
              </v:shape>
            </w:pict>
          </mc:Fallback>
        </mc:AlternateContent>
      </w:r>
      <w:r/>
    </w:p>
    <w:p>
      <w:pPr>
        <w:pStyle w:val="10533"/>
        <w:pBdr/>
        <w:spacing w:line="360" w:lineRule="auto"/>
        <w:ind w:firstLine="680"/>
        <w:jc w:val="both"/>
        <w:rPr/>
      </w:pPr>
      <w:r>
        <w:t xml:space="preserve">где:</w:t>
      </w:r>
      <w:r/>
    </w:p>
    <w:p>
      <w:pPr>
        <w:pStyle w:val="10533"/>
        <w:pBdr/>
        <w:spacing w:line="360" w:lineRule="auto"/>
        <w:ind w:firstLine="680"/>
        <w:jc w:val="both"/>
        <w:rPr/>
      </w:pPr>
      <w:r>
        <w:t xml:space="preserve">V</w:t>
      </w:r>
      <w:r>
        <w:rPr>
          <w:vertAlign w:val="subscript"/>
        </w:rPr>
        <w:t xml:space="preserve">mc</w:t>
      </w:r>
      <w:r>
        <w:t xml:space="preserve">, V</w:t>
      </w:r>
      <w:r>
        <w:rPr>
          <w:vertAlign w:val="subscript"/>
        </w:rPr>
        <w:t xml:space="preserve">om</w:t>
      </w:r>
      <w:r>
        <w:t xml:space="preserve">, У</w:t>
      </w:r>
      <w:r>
        <w:rPr>
          <w:vertAlign w:val="subscript"/>
        </w:rPr>
        <w:t xml:space="preserve">вент</w:t>
      </w:r>
      <w:r>
        <w:t xml:space="preserve">, У</w:t>
      </w:r>
      <w:r>
        <w:rPr>
          <w:vertAlign w:val="subscript"/>
        </w:rPr>
        <w:t xml:space="preserve">гвс</w:t>
      </w:r>
      <w:r>
        <w:t xml:space="preserve"> - объем теплоносителя в трубопроводах в тепловых сетях, системах отопления, вентиляции и горячего водоснабжения потребителей.</w:t>
      </w:r>
      <w:r/>
    </w:p>
    <w:p>
      <w:pPr>
        <w:pStyle w:val="12960"/>
        <w:pBdr/>
        <w:spacing/>
        <w:ind/>
        <w:rPr/>
      </w:pPr>
      <w:r>
        <w:t xml:space="preserve">Согласно МДК </w:t>
      </w:r>
      <w:r>
        <w:t xml:space="preserve">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12.08.2003г.:</w:t>
      </w:r>
      <w:r/>
    </w:p>
    <w:p>
      <w:pPr>
        <w:pStyle w:val="13832"/>
        <w:keepNext w:val="false"/>
        <w:widowControl w:val="true"/>
        <w:numPr>
          <w:ilvl w:val="0"/>
          <w:numId w:val="61"/>
        </w:numPr>
        <w:pBdr/>
        <w:bidi w:val="false"/>
        <w:spacing w:after="0" w:before="0" w:line="360" w:lineRule="auto"/>
        <w:ind w:right="0" w:firstLine="567" w:left="0"/>
        <w:jc w:val="both"/>
        <w:rPr/>
      </w:pPr>
      <w:r>
        <w:t xml:space="preserve">Емкость трубопроводов тепловых сетей определяется в зависимости от их удельного объема и длины согласно п. 4.1.9. по формуле:</w:t>
      </w:r>
      <w:r/>
    </w:p>
    <w:p>
      <w:pPr>
        <w:pStyle w:val="10533"/>
        <w:pBdr/>
        <w:spacing w:line="360" w:lineRule="auto"/>
        <w:ind w:firstLine="709"/>
        <w:jc w:val="center"/>
        <w:rPr/>
      </w:pPr>
      <w:r>
        <mc:AlternateContent>
          <mc:Choice Requires="wpg">
            <w:drawing>
              <wp:inline xmlns:wp="http://schemas.openxmlformats.org/drawingml/2006/wordprocessingDrawing" distT="0" distB="0" distL="0" distR="0">
                <wp:extent cx="1320800" cy="685800"/>
                <wp:effectExtent l="0" t="0" r="0" b="0"/>
                <wp:docPr id="47" name="Рисунок 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86" descr=""/>
                        <pic:cNvPicPr>
                          <a:picLocks noChangeAspect="1"/>
                        </pic:cNvPicPr>
                        <pic:nvPr/>
                      </pic:nvPicPr>
                      <pic:blipFill rotWithShape="1">
                        <a:blip r:embed="rId620"/>
                        <a:stretch/>
                      </pic:blipFill>
                      <pic:spPr bwMode="auto">
                        <a:xfrm>
                          <a:off x="0" y="0"/>
                          <a:ext cx="1320800" cy="6858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width:104.00pt;height:54.00pt;mso-wrap-distance-left:0.00pt;mso-wrap-distance-top:0.00pt;mso-wrap-distance-right:0.00pt;mso-wrap-distance-bottom:0.00pt;z-index:1;" stroked="false">
                <v:imagedata r:id="rId620" o:title=""/>
                <o:lock v:ext="edit" rotation="t"/>
              </v:shape>
            </w:pict>
          </mc:Fallback>
        </mc:AlternateContent>
      </w:r>
      <w:r/>
    </w:p>
    <w:p>
      <w:pPr>
        <w:pStyle w:val="10533"/>
        <w:pBdr/>
        <w:spacing w:line="360" w:lineRule="auto"/>
        <w:ind w:firstLine="709"/>
        <w:jc w:val="both"/>
        <w:rPr/>
      </w:pPr>
      <w:r>
        <w:t xml:space="preserve">где:</w:t>
      </w:r>
      <w:r/>
    </w:p>
    <w:p>
      <w:pPr>
        <w:pStyle w:val="10533"/>
        <w:pBdr/>
        <w:spacing w:line="360" w:lineRule="auto"/>
        <w:ind w:firstLine="709"/>
        <w:jc w:val="both"/>
        <w:rPr/>
      </w:pPr>
      <w:r>
        <w:t xml:space="preserve">ν</w:t>
      </w:r>
      <w:r>
        <w:rPr>
          <w:vertAlign w:val="subscript"/>
        </w:rPr>
        <w:t xml:space="preserve">di</w:t>
      </w:r>
      <w:r>
        <w:t xml:space="preserve"> - удельный объем i-го участка трубопроводов определенного диаметра, м</w:t>
      </w:r>
      <w:r>
        <w:rPr>
          <w:vertAlign w:val="superscript"/>
        </w:rPr>
        <w:t xml:space="preserve">3</w:t>
      </w:r>
      <w:r>
        <w:t xml:space="preserve">/км;</w:t>
      </w:r>
      <w:r/>
    </w:p>
    <w:p>
      <w:pPr>
        <w:pStyle w:val="10533"/>
        <w:pBdr/>
        <w:spacing w:line="360" w:lineRule="auto"/>
        <w:ind w:firstLine="709"/>
        <w:jc w:val="both"/>
        <w:rPr/>
      </w:pPr>
      <w:r>
        <w:rPr>
          <w:lang w:val="en-US"/>
        </w:rPr>
        <w:t xml:space="preserve">l</w:t>
      </w:r>
      <w:r>
        <w:rPr>
          <w:vertAlign w:val="subscript"/>
        </w:rPr>
        <w:t xml:space="preserve">di</w:t>
      </w:r>
      <w:r>
        <w:t xml:space="preserve"> - длина i-го участка трубопроводов, км.</w:t>
      </w:r>
      <w:r/>
    </w:p>
    <w:p>
      <w:pPr>
        <w:pStyle w:val="13832"/>
        <w:keepNext w:val="false"/>
        <w:widowControl w:val="true"/>
        <w:numPr>
          <w:ilvl w:val="0"/>
          <w:numId w:val="61"/>
        </w:numPr>
        <w:pBdr/>
        <w:bidi w:val="false"/>
        <w:spacing w:after="0" w:before="0" w:line="360" w:lineRule="auto"/>
        <w:ind w:right="0" w:firstLine="567" w:left="0"/>
        <w:jc w:val="both"/>
        <w:rPr/>
      </w:pPr>
      <w:r>
        <w:t xml:space="preserve">Емкость систем теплопотребления зависит от их вида и определяется согласно п. 4.1.10. по формуле:</w:t>
      </w:r>
      <w:r/>
    </w:p>
    <w:p>
      <w:pPr>
        <w:pStyle w:val="10533"/>
        <w:pBdr/>
        <w:spacing w:line="360" w:lineRule="auto"/>
        <w:ind w:firstLine="709"/>
        <w:jc w:val="center"/>
        <w:rPr/>
      </w:pPr>
      <w:r>
        <mc:AlternateContent>
          <mc:Choice Requires="wpg">
            <w:drawing>
              <wp:inline xmlns:wp="http://schemas.openxmlformats.org/drawingml/2006/wordprocessingDrawing" distT="0" distB="0" distL="0" distR="0">
                <wp:extent cx="1270000" cy="736600"/>
                <wp:effectExtent l="0" t="0" r="0" b="0"/>
                <wp:docPr id="48" name="Рисунок 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7" descr=""/>
                        <pic:cNvPicPr>
                          <a:picLocks noChangeAspect="1"/>
                        </pic:cNvPicPr>
                        <pic:nvPr/>
                      </pic:nvPicPr>
                      <pic:blipFill rotWithShape="1">
                        <a:blip r:embed="rId621"/>
                        <a:stretch/>
                      </pic:blipFill>
                      <pic:spPr bwMode="auto">
                        <a:xfrm>
                          <a:off x="0" y="0"/>
                          <a:ext cx="1270000" cy="7366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width:100.00pt;height:58.00pt;mso-wrap-distance-left:0.00pt;mso-wrap-distance-top:0.00pt;mso-wrap-distance-right:0.00pt;mso-wrap-distance-bottom:0.00pt;z-index:1;" stroked="false">
                <v:imagedata r:id="rId621" o:title=""/>
                <o:lock v:ext="edit" rotation="t"/>
              </v:shape>
            </w:pict>
          </mc:Fallback>
        </mc:AlternateContent>
      </w:r>
      <w:r/>
    </w:p>
    <w:p>
      <w:pPr>
        <w:pStyle w:val="10533"/>
        <w:pBdr/>
        <w:spacing w:line="360" w:lineRule="auto"/>
        <w:ind w:firstLine="709"/>
        <w:jc w:val="both"/>
        <w:rPr/>
      </w:pPr>
      <w:r>
        <w:t xml:space="preserve">где:</w:t>
      </w:r>
      <w:r/>
    </w:p>
    <w:p>
      <w:pPr>
        <w:pStyle w:val="10533"/>
        <w:pBdr/>
        <w:spacing w:line="360" w:lineRule="auto"/>
        <w:ind w:firstLine="709"/>
        <w:jc w:val="both"/>
        <w:rPr/>
      </w:pPr>
      <w:r>
        <w:t xml:space="preserve">Q</w:t>
      </w:r>
      <w:r>
        <w:rPr>
          <w:vertAlign w:val="subscript"/>
        </w:rPr>
        <w:t xml:space="preserve">0max</w:t>
      </w:r>
      <w:r>
        <w:t xml:space="preserve"> – расчетное значение часовой тепловой нагрузки здания, Гкал/ч;</w:t>
      </w:r>
      <w:r/>
    </w:p>
    <w:p>
      <w:pPr>
        <w:pStyle w:val="10533"/>
        <w:pBdr/>
        <w:spacing w:line="360" w:lineRule="auto"/>
        <w:ind w:firstLine="709"/>
        <w:jc w:val="both"/>
        <w:rPr/>
      </w:pPr>
      <w:r>
        <w:t xml:space="preserve">ν – удельный объем системы теплопотребления, м</w:t>
      </w:r>
      <w:r>
        <w:rPr>
          <w:vertAlign w:val="superscript"/>
        </w:rPr>
        <w:t xml:space="preserve">3</w:t>
      </w:r>
      <w:r>
        <w:t xml:space="preserve">ч/Гкaл;</w:t>
      </w:r>
      <w:r/>
    </w:p>
    <w:p>
      <w:pPr>
        <w:pStyle w:val="10533"/>
        <w:pBdr/>
        <w:spacing w:line="360" w:lineRule="auto"/>
        <w:ind w:firstLine="709"/>
        <w:jc w:val="both"/>
        <w:rPr/>
      </w:pPr>
      <w:r>
        <w:t xml:space="preserve">№ </w:t>
      </w:r>
      <w:r>
        <w:t xml:space="preserve">- количество систем теплопотребления, оснащенных одним видом нагревательных приборов.</w:t>
      </w:r>
      <w:r/>
    </w:p>
    <w:p>
      <w:pPr>
        <w:pStyle w:val="12960"/>
        <w:pBdr/>
        <w:spacing/>
        <w:ind/>
        <w:rPr/>
      </w:pPr>
      <w:r>
        <w:t xml:space="preserve">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Pr>
          <w:vertAlign w:val="superscript"/>
        </w:rPr>
        <w:t xml:space="preserve">3</w:t>
      </w:r>
      <w:r>
        <w:t xml:space="preserve">ч/Гкал. Ёмкость местных систем горячего водоснабжения в открытых системах теплоснабжения можно определять при </w:t>
      </w:r>
      <w:r>
        <w:rPr>
          <w:b/>
        </w:rPr>
        <w:t xml:space="preserve">v=6 м</w:t>
      </w:r>
      <w:r>
        <w:rPr>
          <w:b/>
          <w:vertAlign w:val="superscript"/>
        </w:rPr>
        <w:t xml:space="preserve">3</w:t>
      </w:r>
      <w:r>
        <w:rPr>
          <w:b/>
        </w:rPr>
        <w:t xml:space="preserve">ч/Гкал</w:t>
      </w:r>
      <w:r>
        <w:t xml:space="preserve"> средней часовой тепловой нагрузки.</w:t>
      </w:r>
      <w:r/>
    </w:p>
    <w:p>
      <w:pPr>
        <w:pStyle w:val="12960"/>
        <w:pBdr/>
        <w:spacing/>
        <w:ind/>
        <w:rPr>
          <w:color w:val="auto"/>
        </w:rPr>
      </w:pPr>
      <w:r>
        <w:rPr>
          <w:color w:val="auto"/>
          <w:lang w:eastAsia="ru-RU"/>
        </w:rPr>
        <w:t xml:space="preserve">Ввиду отсутствия в теплоснабжающих организациях учета фактических потерь сетевой воды, сравнительный анализ нормативных и фактических потерь теплоносителя источников тепловой энергии не выполнялся</w:t>
      </w:r>
      <w:r>
        <w:rPr>
          <w:color w:val="auto"/>
        </w:rPr>
      </w:r>
    </w:p>
    <w:p>
      <w:pPr>
        <w:pStyle w:val="12960"/>
        <w:pBdr/>
        <w:spacing/>
        <w:ind/>
        <w:rPr/>
      </w:pPr>
      <w:r>
        <w:t xml:space="preserve">В Муниципальном образовании Астаповское в качестве теплоносителя для передачи тепловой энергии от источника до потребителей используется горячая вода. Для поддержания безопасности теплоносителя для н</w:t>
      </w:r>
      <w:r>
        <w:t xml:space="preserve">аселения, на источниках теплоснабжения используются хим-водоподготовка внутреннего и наружного контура. Для поддержания качества воды в системе при капитальном ремонте тепловых сетей применяются (по возможности) стальные трубопроводы и трубопроводы из ППУ.</w:t>
      </w:r>
      <w:r/>
    </w:p>
    <w:p>
      <w:pPr>
        <w:pStyle w:val="12960"/>
        <w:pBdr/>
        <w:spacing/>
        <w:ind/>
        <w:rPr/>
      </w:pPr>
      <w:r>
        <w:t xml:space="preserve">В соответствии с СП аварийная подпитка тепловых сетей от источников в количестве 2 % от объема воды в тепловых сетях и присоединенных к ним систем теплопотребления может осуществляться химически не обработанной и недеаэрированной водой.</w:t>
      </w:r>
      <w:r/>
    </w:p>
    <w:p>
      <w:pPr>
        <w:pStyle w:val="12960"/>
        <w:pBdr/>
        <w:spacing/>
        <w:ind/>
        <w:rPr/>
      </w:pPr>
      <w:r>
        <w:t xml:space="preserve">В случае от</w:t>
      </w:r>
      <w:r>
        <w:t xml:space="preserve">сутствия ХВП минеральные отложения приводят к значительным потерям мощности котлов, а в некоторых случаях могут полностью заблокировать работу котельной из-за закупоривания внутренней конструкции водогрейного оборудования или образования очаговой коррозии.</w:t>
      </w:r>
      <w:r/>
    </w:p>
    <w:p>
      <w:pPr>
        <w:pStyle w:val="12960"/>
        <w:pBdr/>
        <w:spacing/>
        <w:ind/>
        <w:rPr/>
      </w:pPr>
      <w:r>
        <w:t xml:space="preserve">Водно-химический режим должен обеспечивать работу водогрейных котлов и систем теплоснабжения без повреждений их внутренних поверхностей вследствие коррозии металла, отложений накипи и шлама. </w:t>
      </w:r>
      <w:r/>
    </w:p>
    <w:p>
      <w:pPr>
        <w:pStyle w:val="11055"/>
        <w:pBdr/>
        <w:spacing w:after="0" w:before="5"/>
        <w:ind/>
        <w:rPr>
          <w:rFonts w:ascii="Times New Roman" w:hAnsi="Times New Roman"/>
          <w:sz w:val="2"/>
          <w:lang w:val="ru-RU"/>
        </w:rPr>
        <w:sectPr>
          <w:headerReference w:type="default" r:id="rId58"/>
          <w:headerReference w:type="first" r:id="rId59"/>
          <w:footerReference w:type="default" r:id="rId325"/>
          <w:footerReference w:type="first" r:id="rId326"/>
          <w:footnotePr/>
          <w:endnotePr/>
          <w:type w:val="nextPage"/>
          <w:pgSz w:h="16838" w:orient="portrait" w:w="11906"/>
          <w:pgMar w:top="1134" w:right="850" w:bottom="1134" w:left="1701" w:header="567" w:footer="454" w:gutter="0"/>
          <w:cols w:num="1" w:sep="0" w:space="1701" w:equalWidth="1"/>
        </w:sectPr>
      </w:pPr>
      <w:r>
        <w:rPr>
          <w:rFonts w:ascii="Times New Roman" w:hAnsi="Times New Roman"/>
          <w:sz w:val="2"/>
          <w:lang w:val="ru-RU"/>
        </w:rPr>
      </w:r>
      <w:r>
        <w:rPr>
          <w:rFonts w:ascii="Times New Roman" w:hAnsi="Times New Roman"/>
          <w:sz w:val="2"/>
          <w:lang w:val="ru-RU"/>
        </w:rPr>
      </w:r>
    </w:p>
    <w:p>
      <w:pPr>
        <w:pStyle w:val="12960"/>
        <w:pBdr/>
        <w:spacing/>
        <w:ind/>
        <w:rPr>
          <w:b/>
        </w:rPr>
      </w:pPr>
      <w:r>
        <w:rPr>
          <w:b/>
        </w:rPr>
        <w:t xml:space="preserve">Таблица 1.7.1.1– Расчетные потери и объем теплоносителя, м</w:t>
      </w:r>
      <w:r>
        <w:rPr>
          <w:b/>
          <w:vertAlign w:val="superscript"/>
        </w:rPr>
        <w:t xml:space="preserve">3 </w:t>
      </w:r>
      <w:r>
        <w:rPr>
          <w:b/>
        </w:rPr>
        <w:t xml:space="preserve">(без учета ГВС).</w:t>
      </w:r>
      <w:r>
        <w:rPr>
          <w:b/>
        </w:rPr>
      </w:r>
    </w:p>
    <w:tbl>
      <w:tblPr>
        <w:tblInd w:w="0" w:type="dxa"/>
        <w:tblW w:w="14561" w:type="dxa"/>
        <w:tblCellMar>
          <w:left w:w="108" w:type="dxa"/>
          <w:top w:w="0" w:type="dxa"/>
          <w:right w:w="108" w:type="dxa"/>
          <w:bottom w:w="0" w:type="dxa"/>
        </w:tblCellMar>
        <w:tblBorders/>
        <w:tblLayout w:type="fixed"/>
        <w:tblLook w:val="04A0" w:firstRow="1" w:lastRow="0" w:firstColumn="1" w:lastColumn="0" w:noHBand="0" w:noVBand="1"/>
      </w:tblPr>
      <w:tblGrid>
        <w:gridCol w:w="5323"/>
        <w:gridCol w:w="3895"/>
        <w:gridCol w:w="1057"/>
        <w:gridCol w:w="1471"/>
        <w:gridCol w:w="1344"/>
        <w:gridCol w:w="1470"/>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5323" w:type="dxa"/>
            <w:vAlign w:val="center"/>
          </w:tcPr>
          <w:p>
            <w:pPr>
              <w:pStyle w:val="12385"/>
              <w:pBdr/>
              <w:spacing/>
              <w:ind/>
              <w:rPr/>
            </w:pPr>
            <w:r>
              <w:t xml:space="preserve">Диаметр трубопровода, dу, мм</w:t>
            </w:r>
            <w:r/>
          </w:p>
        </w:tc>
        <w:tc>
          <w:tcPr>
            <w:shd w:val="clear" w:color="000000" w:fill="d9d9d9"/>
            <w:tcBorders>
              <w:top w:val="single" w:color="000000" w:sz="4" w:space="0"/>
              <w:bottom w:val="single" w:color="000000" w:sz="4" w:space="0"/>
              <w:right w:val="single" w:color="000000" w:sz="4" w:space="0"/>
            </w:tcBorders>
            <w:tcW w:w="3895" w:type="dxa"/>
            <w:vAlign w:val="center"/>
          </w:tcPr>
          <w:p>
            <w:pPr>
              <w:pStyle w:val="12385"/>
              <w:pBdr/>
              <w:spacing/>
              <w:ind/>
              <w:rPr/>
            </w:pPr>
            <w:r>
              <w:t xml:space="preserve">Общая протяженность трубопроводов участка сети (в двухтрубном исчислении), L, км</w:t>
            </w:r>
            <w:r/>
          </w:p>
        </w:tc>
        <w:tc>
          <w:tcPr>
            <w:shd w:val="clear" w:color="000000" w:fill="d9d9d9"/>
            <w:tcBorders>
              <w:top w:val="single" w:color="000000" w:sz="4" w:space="0"/>
              <w:bottom w:val="single" w:color="000000" w:sz="4" w:space="0"/>
              <w:right w:val="single" w:color="000000" w:sz="4" w:space="0"/>
            </w:tcBorders>
            <w:tcW w:w="1057" w:type="dxa"/>
            <w:vAlign w:val="center"/>
          </w:tcPr>
          <w:p>
            <w:pPr>
              <w:pStyle w:val="12385"/>
              <w:pBdr/>
              <w:spacing/>
              <w:ind/>
              <w:rPr/>
            </w:pPr>
            <w:r>
              <w:t xml:space="preserve">Условный диаметр, мм</w:t>
            </w:r>
            <w:r/>
          </w:p>
        </w:tc>
        <w:tc>
          <w:tcPr>
            <w:shd w:val="clear" w:color="000000" w:fill="d9d9d9"/>
            <w:tcBorders>
              <w:top w:val="single" w:color="000000" w:sz="4" w:space="0"/>
              <w:bottom w:val="single" w:color="000000" w:sz="4" w:space="0"/>
              <w:right w:val="single" w:color="000000" w:sz="4" w:space="0"/>
            </w:tcBorders>
            <w:tcW w:w="1471" w:type="dxa"/>
            <w:vAlign w:val="center"/>
          </w:tcPr>
          <w:p>
            <w:pPr>
              <w:pStyle w:val="12385"/>
              <w:pBdr/>
              <w:spacing/>
              <w:ind/>
              <w:rPr/>
            </w:pPr>
            <w:r>
              <w:t xml:space="preserve">Удельный объём теплоносителя, vi, м</w:t>
            </w:r>
            <w:r>
              <w:rPr>
                <w:vertAlign w:val="superscript"/>
              </w:rPr>
              <w:t xml:space="preserve">3</w:t>
            </w:r>
            <w:r>
              <w:t xml:space="preserve">/км</w:t>
            </w:r>
            <w:r/>
          </w:p>
        </w:tc>
        <w:tc>
          <w:tcPr>
            <w:shd w:val="clear" w:color="000000" w:fill="d9d9d9"/>
            <w:tcBorders>
              <w:top w:val="single" w:color="000000" w:sz="4" w:space="0"/>
              <w:bottom w:val="single" w:color="000000" w:sz="4" w:space="0"/>
              <w:right w:val="single" w:color="000000" w:sz="4" w:space="0"/>
            </w:tcBorders>
            <w:tcW w:w="1344" w:type="dxa"/>
            <w:vAlign w:val="center"/>
          </w:tcPr>
          <w:p>
            <w:pPr>
              <w:pStyle w:val="12385"/>
              <w:pBdr/>
              <w:spacing/>
              <w:ind/>
              <w:rPr>
                <w:sz w:val="18"/>
                <w:szCs w:val="18"/>
              </w:rPr>
            </w:pPr>
            <w:r>
              <w:rPr>
                <w:sz w:val="18"/>
                <w:szCs w:val="18"/>
              </w:rPr>
              <w:t xml:space="preserve">Объем теплоносителя, V, м</w:t>
            </w:r>
            <w:r>
              <w:rPr>
                <w:sz w:val="18"/>
                <w:szCs w:val="18"/>
                <w:vertAlign w:val="superscript"/>
              </w:rPr>
              <w:t xml:space="preserve">3</w:t>
            </w:r>
            <w:r>
              <w:rPr>
                <w:sz w:val="18"/>
                <w:szCs w:val="18"/>
              </w:rPr>
            </w:r>
          </w:p>
        </w:tc>
        <w:tc>
          <w:tcPr>
            <w:shd w:val="clear" w:color="000000" w:fill="d9d9d9"/>
            <w:tcBorders>
              <w:top w:val="single" w:color="000000" w:sz="4" w:space="0"/>
              <w:bottom w:val="single" w:color="000000" w:sz="4" w:space="0"/>
              <w:right w:val="single" w:color="000000" w:sz="4" w:space="0"/>
            </w:tcBorders>
            <w:tcW w:w="1470" w:type="dxa"/>
            <w:vAlign w:val="center"/>
          </w:tcPr>
          <w:p>
            <w:pPr>
              <w:pStyle w:val="12385"/>
              <w:pBdr/>
              <w:spacing/>
              <w:ind/>
              <w:rPr/>
            </w:pPr>
            <w:r>
              <w:t xml:space="preserve">Нормируемая утечка теплоносителя, м</w:t>
            </w:r>
            <w:r>
              <w:rPr>
                <w:vertAlign w:val="superscript"/>
              </w:rPr>
              <w:t xml:space="preserve">3</w:t>
            </w:r>
            <w:r>
              <w:t xml:space="preserve">/час</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3895"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r/>
          </w:p>
        </w:tc>
        <w:tc>
          <w:tcPr>
            <w:tcBorders>
              <w:bottom w:val="single" w:color="000000" w:sz="4" w:space="0"/>
              <w:right w:val="single" w:color="000000" w:sz="4" w:space="0"/>
            </w:tcBorders>
            <w:tcW w:w="1344" w:type="dxa"/>
            <w:vAlign w:val="center"/>
          </w:tcPr>
          <w:p>
            <w:pPr>
              <w:pStyle w:val="12385"/>
              <w:pBdr/>
              <w:spacing/>
              <w:ind/>
              <w:rPr/>
            </w:pPr>
            <w:r>
              <w:t xml:space="preserve">0,10</w:t>
            </w:r>
            <w:r/>
          </w:p>
        </w:tc>
        <w:tc>
          <w:tcPr>
            <w:tcBorders>
              <w:bottom w:val="single" w:color="000000" w:sz="4" w:space="0"/>
              <w:right w:val="single" w:color="000000" w:sz="4" w:space="0"/>
            </w:tcBorders>
            <w:tcW w:w="1470" w:type="dxa"/>
            <w:vAlign w:val="center"/>
          </w:tcPr>
          <w:p>
            <w:pPr>
              <w:pStyle w:val="12385"/>
              <w:pBdr/>
              <w:spacing/>
              <w:ind/>
              <w:rPr/>
            </w:pPr>
            <w:r>
              <w:t xml:space="preserve">0,0003</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3895"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t xml:space="preserve">1,26</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70" w:type="dxa"/>
            <w:vAlign w:val="center"/>
          </w:tcPr>
          <w:p>
            <w:pPr>
              <w:pStyle w:val="12385"/>
              <w:pBdr/>
              <w:spacing/>
              <w:ind/>
              <w:rPr/>
            </w:pPr>
            <w:r>
              <w:t xml:space="preserve">0,0003</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3895"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r/>
          </w:p>
        </w:tc>
        <w:tc>
          <w:tcPr>
            <w:tcBorders>
              <w:bottom w:val="single" w:color="000000" w:sz="4" w:space="0"/>
              <w:right w:val="single" w:color="000000" w:sz="4" w:space="0"/>
            </w:tcBorders>
            <w:tcW w:w="1344" w:type="dxa"/>
            <w:vAlign w:val="center"/>
          </w:tcPr>
          <w:p>
            <w:pPr>
              <w:pStyle w:val="12385"/>
              <w:pBdr/>
              <w:spacing/>
              <w:ind/>
              <w:rPr/>
            </w:pPr>
            <w:r>
              <w:t xml:space="preserve">0,18</w:t>
            </w:r>
            <w:r/>
          </w:p>
        </w:tc>
        <w:tc>
          <w:tcPr>
            <w:tcBorders>
              <w:bottom w:val="single" w:color="000000" w:sz="4" w:space="0"/>
              <w:right w:val="single" w:color="000000" w:sz="4" w:space="0"/>
            </w:tcBorders>
            <w:tcW w:w="1470" w:type="dxa"/>
            <w:vAlign w:val="center"/>
          </w:tcPr>
          <w:p>
            <w:pPr>
              <w:pStyle w:val="12385"/>
              <w:pBdr/>
              <w:spacing/>
              <w:ind/>
              <w:rPr/>
            </w:pPr>
            <w:r>
              <w:t xml:space="preserve">0,0004</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3895"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t xml:space="preserve">1,26</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70" w:type="dxa"/>
            <w:vAlign w:val="center"/>
          </w:tcPr>
          <w:p>
            <w:pPr>
              <w:pStyle w:val="12385"/>
              <w:pBdr/>
              <w:spacing/>
              <w:ind/>
              <w:rPr/>
            </w:pPr>
            <w:r>
              <w:t xml:space="preserve">0,0004</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3895"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r/>
          </w:p>
        </w:tc>
        <w:tc>
          <w:tcPr>
            <w:tcBorders>
              <w:bottom w:val="single" w:color="000000" w:sz="4" w:space="0"/>
              <w:right w:val="single" w:color="000000" w:sz="4" w:space="0"/>
            </w:tcBorders>
            <w:tcW w:w="1344" w:type="dxa"/>
            <w:vAlign w:val="center"/>
          </w:tcPr>
          <w:p>
            <w:pPr>
              <w:pStyle w:val="12385"/>
              <w:pBdr/>
              <w:spacing/>
              <w:ind/>
              <w:rPr/>
            </w:pPr>
            <w:r>
              <w:t xml:space="preserve">0,18</w:t>
            </w:r>
            <w:r/>
          </w:p>
        </w:tc>
        <w:tc>
          <w:tcPr>
            <w:tcBorders>
              <w:bottom w:val="single" w:color="000000" w:sz="4" w:space="0"/>
              <w:right w:val="single" w:color="000000" w:sz="4" w:space="0"/>
            </w:tcBorders>
            <w:tcW w:w="1470" w:type="dxa"/>
            <w:vAlign w:val="center"/>
          </w:tcPr>
          <w:p>
            <w:pPr>
              <w:pStyle w:val="12385"/>
              <w:pBdr/>
              <w:spacing/>
              <w:ind/>
              <w:rPr/>
            </w:pPr>
            <w:r>
              <w:t xml:space="preserve">0,0004</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3895"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t xml:space="preserve">1,26</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70" w:type="dxa"/>
            <w:vAlign w:val="center"/>
          </w:tcPr>
          <w:p>
            <w:pPr>
              <w:pStyle w:val="12385"/>
              <w:pBdr/>
              <w:spacing/>
              <w:ind/>
              <w:rPr/>
            </w:pPr>
            <w:r>
              <w:t xml:space="preserve">0,0004</w:t>
            </w:r>
            <w:r/>
          </w:p>
        </w:tc>
      </w:tr>
    </w:tbl>
    <w:p>
      <w:pPr>
        <w:pStyle w:val="12960"/>
        <w:pBdr/>
        <w:spacing/>
        <w:ind/>
        <w:rPr/>
      </w:pPr>
      <w:r/>
      <w:r/>
    </w:p>
    <w:p>
      <w:pPr>
        <w:pStyle w:val="12385"/>
        <w:pBdr/>
        <w:tabs>
          <w:tab w:val="clear" w:leader="none" w:pos="708"/>
          <w:tab w:val="left" w:leader="none" w:pos="2410"/>
          <w:tab w:val="left" w:leader="none" w:pos="6913"/>
          <w:tab w:val="left" w:leader="none" w:pos="7881"/>
          <w:tab w:val="left" w:leader="none" w:pos="8774"/>
        </w:tabs>
        <w:spacing/>
        <w:ind w:firstLine="0" w:left="113"/>
        <w:jc w:val="left"/>
        <w:rPr>
          <w:rFonts w:cs="Times New Roman"/>
          <w:lang w:eastAsia="zh-CN"/>
        </w:rPr>
      </w:pPr>
      <w:r>
        <w:rPr>
          <w:rFonts w:cs="Times New Roman"/>
          <w:lang w:eastAsia="zh-CN"/>
        </w:rPr>
      </w:r>
      <w:r>
        <w:rPr>
          <w:rFonts w:cs="Times New Roman"/>
          <w:lang w:eastAsia="zh-CN"/>
        </w:rPr>
      </w:r>
    </w:p>
    <w:p>
      <w:pPr>
        <w:pStyle w:val="12960"/>
        <w:pBdr/>
        <w:spacing/>
        <w:ind/>
        <w:rPr>
          <w:b/>
          <w:bCs w:val="0"/>
        </w:rPr>
      </w:pPr>
      <w:r>
        <w:rPr>
          <w:b/>
          <w:bCs w:val="0"/>
        </w:rPr>
        <w:t xml:space="preserve">Таблица 1.7.1.2– Годовой расход теплоносителя источника тепловой энергии за 2025 год</w:t>
      </w:r>
      <w:r>
        <w:rPr>
          <w:b/>
          <w:bCs w:val="0"/>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10034"/>
        <w:gridCol w:w="1512"/>
        <w:gridCol w:w="1511"/>
        <w:gridCol w:w="1512"/>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034" w:type="dxa"/>
            <w:vAlign w:val="center"/>
          </w:tcPr>
          <w:p>
            <w:pPr>
              <w:pStyle w:val="12385"/>
              <w:pBdr/>
              <w:spacing/>
              <w:ind/>
              <w:rPr/>
            </w:pPr>
            <w:r>
              <w:t xml:space="preserve">Наименование показателя</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Кот 5</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11" w:type="dxa"/>
            <w:vAlign w:val="center"/>
          </w:tcPr>
          <w:p>
            <w:pPr>
              <w:pStyle w:val="12385"/>
              <w:pBdr/>
              <w:spacing/>
              <w:ind/>
              <w:rPr/>
            </w:pPr>
            <w:r>
              <w:t xml:space="preserve">Кот 6</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Кот 7</w:t>
            </w:r>
            <w:r/>
          </w:p>
        </w:tc>
      </w:tr>
      <w:tr>
        <w:trPr>
          <w:trHeight w:val="20"/>
        </w:trPr>
        <w:tc>
          <w:tcPr>
            <w:tcBorders>
              <w:top w:val="single" w:color="000000" w:sz="4" w:space="0"/>
              <w:left w:val="single" w:color="000000" w:sz="4" w:space="0"/>
              <w:bottom w:val="single" w:color="000000" w:sz="4" w:space="0"/>
              <w:right w:val="single" w:color="000000" w:sz="4" w:space="0"/>
            </w:tcBorders>
            <w:tcW w:w="10034" w:type="dxa"/>
            <w:vAlign w:val="center"/>
          </w:tcPr>
          <w:p>
            <w:pPr>
              <w:pStyle w:val="12385"/>
              <w:pBdr/>
              <w:spacing/>
              <w:ind/>
              <w:rPr/>
            </w:pPr>
            <w:r>
              <w:t xml:space="preserve">Объем воды в трубопроводах тепловых сетей и присоединенных к ним системах отопления, вентиляции, м</w:t>
            </w:r>
            <w:r>
              <w:rPr>
                <w:vertAlign w:val="superscript"/>
              </w:rPr>
              <w:t xml:space="preserve">3</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1,500</w:t>
            </w:r>
            <w:r/>
          </w:p>
        </w:tc>
        <w:tc>
          <w:tcPr>
            <w:tcBorders>
              <w:top w:val="single" w:color="000000" w:sz="4" w:space="0"/>
              <w:left w:val="single" w:color="000000" w:sz="4" w:space="0"/>
              <w:bottom w:val="single" w:color="000000" w:sz="4" w:space="0"/>
              <w:right w:val="single" w:color="000000" w:sz="4" w:space="0"/>
            </w:tcBorders>
            <w:tcW w:w="1511" w:type="dxa"/>
            <w:vAlign w:val="center"/>
          </w:tcPr>
          <w:p>
            <w:pPr>
              <w:pStyle w:val="12385"/>
              <w:pBdr/>
              <w:spacing/>
              <w:ind/>
              <w:rPr/>
            </w:pPr>
            <w:r>
              <w:t xml:space="preserve">4,342</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15,984</w:t>
            </w:r>
            <w:r/>
          </w:p>
        </w:tc>
      </w:tr>
      <w:tr>
        <w:trPr>
          <w:trHeight w:val="20"/>
        </w:trPr>
        <w:tc>
          <w:tcPr>
            <w:tcBorders>
              <w:top w:val="single" w:color="000000" w:sz="4" w:space="0"/>
              <w:left w:val="single" w:color="000000" w:sz="4" w:space="0"/>
              <w:bottom w:val="single" w:color="000000" w:sz="4" w:space="0"/>
              <w:right w:val="single" w:color="000000" w:sz="4" w:space="0"/>
            </w:tcBorders>
            <w:tcW w:w="10034" w:type="dxa"/>
            <w:vAlign w:val="center"/>
          </w:tcPr>
          <w:p>
            <w:pPr>
              <w:pStyle w:val="12385"/>
              <w:pBdr/>
              <w:spacing/>
              <w:ind/>
              <w:rPr/>
            </w:pPr>
            <w:r>
              <w:t xml:space="preserve">Всего подпитка тепловой сети, в том числе:</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511"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10034" w:type="dxa"/>
            <w:vAlign w:val="center"/>
          </w:tcPr>
          <w:p>
            <w:pPr>
              <w:pStyle w:val="12385"/>
              <w:pBdr/>
              <w:spacing/>
              <w:ind/>
              <w:rPr/>
            </w:pPr>
            <w:r>
              <w:t xml:space="preserve">нормативные утечки теплоносителя в сетях, тыс. м</w:t>
            </w:r>
            <w:r>
              <w:rPr>
                <w:vertAlign w:val="superscript"/>
              </w:rPr>
              <w:t xml:space="preserve">3</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0,022</w:t>
            </w:r>
            <w:r/>
          </w:p>
        </w:tc>
        <w:tc>
          <w:tcPr>
            <w:tcBorders>
              <w:top w:val="single" w:color="000000" w:sz="4" w:space="0"/>
              <w:left w:val="single" w:color="000000" w:sz="4" w:space="0"/>
              <w:bottom w:val="single" w:color="000000" w:sz="4" w:space="0"/>
              <w:right w:val="single" w:color="000000" w:sz="4" w:space="0"/>
            </w:tcBorders>
            <w:tcW w:w="1511" w:type="dxa"/>
            <w:vAlign w:val="center"/>
          </w:tcPr>
          <w:p>
            <w:pPr>
              <w:pStyle w:val="12385"/>
              <w:pBdr/>
              <w:spacing/>
              <w:ind/>
              <w:rPr/>
            </w:pPr>
            <w:r>
              <w:t xml:space="preserve">0,054</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0,199</w:t>
            </w:r>
            <w:r/>
          </w:p>
        </w:tc>
      </w:tr>
      <w:tr>
        <w:trPr>
          <w:trHeight w:val="20"/>
        </w:trPr>
        <w:tc>
          <w:tcPr>
            <w:tcBorders>
              <w:top w:val="single" w:color="000000" w:sz="4" w:space="0"/>
              <w:left w:val="single" w:color="000000" w:sz="4" w:space="0"/>
              <w:bottom w:val="single" w:color="000000" w:sz="4" w:space="0"/>
              <w:right w:val="single" w:color="000000" w:sz="4" w:space="0"/>
            </w:tcBorders>
            <w:tcW w:w="10034" w:type="dxa"/>
            <w:vAlign w:val="center"/>
          </w:tcPr>
          <w:p>
            <w:pPr>
              <w:pStyle w:val="12385"/>
              <w:pBdr/>
              <w:spacing/>
              <w:ind/>
              <w:rPr/>
            </w:pPr>
            <w:r>
              <w:t xml:space="preserve">сверхнормативный расход воды, тыс. м</w:t>
            </w:r>
            <w:r>
              <w:rPr>
                <w:vertAlign w:val="superscript"/>
              </w:rPr>
              <w:t xml:space="preserve">3</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511"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10034" w:type="dxa"/>
            <w:vAlign w:val="center"/>
          </w:tcPr>
          <w:p>
            <w:pPr>
              <w:pStyle w:val="12385"/>
              <w:pBdr/>
              <w:spacing/>
              <w:ind/>
              <w:rPr/>
            </w:pPr>
            <w:r>
              <w:t xml:space="preserve">Расход воды на ГВС, тыс. м</w:t>
            </w:r>
            <w:r>
              <w:rPr>
                <w:vertAlign w:val="superscript"/>
              </w:rPr>
              <w:t xml:space="preserve">3</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w:t>
            </w:r>
            <w:r/>
          </w:p>
        </w:tc>
        <w:tc>
          <w:tcPr>
            <w:tcBorders>
              <w:top w:val="single" w:color="000000" w:sz="4" w:space="0"/>
              <w:left w:val="single" w:color="000000" w:sz="4" w:space="0"/>
              <w:bottom w:val="single" w:color="000000" w:sz="4" w:space="0"/>
              <w:right w:val="single" w:color="000000" w:sz="4" w:space="0"/>
            </w:tcBorders>
            <w:tcW w:w="1511" w:type="dxa"/>
            <w:vAlign w:val="center"/>
          </w:tcPr>
          <w:p>
            <w:pPr>
              <w:pStyle w:val="12385"/>
              <w:pBdr/>
              <w:spacing/>
              <w:ind/>
              <w:rPr/>
            </w:pPr>
            <w:r>
              <w:t xml:space="preserve">-</w:t>
            </w:r>
            <w:r/>
          </w:p>
        </w:tc>
        <w:tc>
          <w:tcPr>
            <w:tcBorders>
              <w:top w:val="single" w:color="000000" w:sz="4" w:space="0"/>
              <w:left w:val="single" w:color="000000" w:sz="4" w:space="0"/>
              <w:bottom w:val="single" w:color="000000" w:sz="4" w:space="0"/>
              <w:right w:val="single" w:color="000000" w:sz="4" w:space="0"/>
            </w:tcBorders>
            <w:tcW w:w="1512" w:type="dxa"/>
            <w:vAlign w:val="center"/>
          </w:tcPr>
          <w:p>
            <w:pPr>
              <w:pStyle w:val="12385"/>
              <w:pBdr/>
              <w:spacing/>
              <w:ind/>
              <w:rPr/>
            </w:pPr>
            <w:r>
              <w:t xml:space="preserve">-</w:t>
            </w:r>
            <w:r/>
          </w:p>
        </w:tc>
      </w:tr>
    </w:tbl>
    <w:p>
      <w:pPr>
        <w:pBdr/>
        <w:spacing/>
        <w:ind/>
        <w:rPr/>
        <w:sectPr>
          <w:headerReference w:type="default" r:id="rId60"/>
          <w:headerReference w:type="first" r:id="rId61"/>
          <w:footerReference w:type="default" r:id="rId327"/>
          <w:footerReference w:type="first" r:id="rId328"/>
          <w:footnotePr/>
          <w:endnotePr/>
          <w:type w:val="nextPage"/>
          <w:pgSz w:h="11906" w:orient="landscape" w:w="16838"/>
          <w:pgMar w:top="1701" w:right="1134" w:bottom="851" w:left="1134" w:header="680" w:footer="284" w:gutter="0"/>
          <w:cols w:num="1" w:sep="0" w:space="1701" w:equalWidth="1"/>
        </w:sectPr>
      </w:pPr>
      <w:r/>
      <w:r/>
    </w:p>
    <w:p>
      <w:pPr>
        <w:pStyle w:val="12385"/>
        <w:pBdr/>
        <w:tabs>
          <w:tab w:val="clear" w:leader="none" w:pos="708"/>
          <w:tab w:val="left" w:leader="none" w:pos="2410"/>
          <w:tab w:val="left" w:leader="none" w:pos="6913"/>
          <w:tab w:val="left" w:leader="none" w:pos="7881"/>
          <w:tab w:val="left" w:leader="none" w:pos="8774"/>
        </w:tabs>
        <w:spacing/>
        <w:ind w:firstLine="0" w:left="113"/>
        <w:jc w:val="left"/>
        <w:rPr>
          <w:rFonts w:cs="Times New Roman"/>
          <w:lang w:eastAsia="zh-CN"/>
        </w:rPr>
      </w:pPr>
      <w:r>
        <w:rPr>
          <w:rFonts w:cs="Times New Roman"/>
          <w:lang w:eastAsia="zh-CN"/>
        </w:rPr>
        <w:tab/>
        <w:tab/>
        <w:tab/>
        <w:tab/>
      </w:r>
      <w:r>
        <w:rPr>
          <w:rFonts w:cs="Times New Roman"/>
          <w:lang w:eastAsia="zh-CN"/>
        </w:rPr>
      </w:r>
    </w:p>
    <w:p>
      <w:pPr>
        <w:pStyle w:val="12960"/>
        <w:pBdr/>
        <w:spacing/>
        <w:ind/>
        <w:rPr/>
      </w:pPr>
      <w:r>
        <w:t xml:space="preserve">Потери теплоносителя в СЦТ объясняется потерями теплоносителя через неплотност</w:t>
      </w:r>
      <w:r>
        <w:t xml:space="preserve">и запорно-регулирующей арматуры, фланцевых соединений и т.д.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w:t>
      </w:r>
      <w:r>
        <w:t xml:space="preserve">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 от объема системы.</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rPr>
          <w:rFonts w:cs="Times New Roman"/>
        </w:rPr>
        <w:t xml:space="preserve">Максимальный и среднечасовой расход теплоносителя (расход сетевой воды) на горячее водоснабжение потребителей с использованием открытой</w:t>
      </w:r>
      <w:r>
        <w:rPr>
          <w:rFonts w:cs="Times New Roman"/>
        </w:rPr>
        <w:t xml:space="preserve">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rFonts w:cs="Times New Roman"/>
        </w:rPr>
      </w:r>
    </w:p>
    <w:p>
      <w:pPr>
        <w:pStyle w:val="12960"/>
        <w:pBdr/>
        <w:spacing/>
        <w:ind/>
        <w:rPr/>
      </w:pPr>
      <w:r>
        <w:t xml:space="preserve">В Муниципальном образовании Астаповское от ООО «АГК» запроектированы и действуют закрытые системы теплоснабжения, в которых не предусматривается использование сетевой воды потребителями для нужд горячего водоснабжения.</w:t>
      </w:r>
      <w:r/>
    </w:p>
    <w:p>
      <w:pPr>
        <w:pStyle w:val="12960"/>
        <w:pBdr/>
        <w:spacing/>
        <w:ind/>
        <w:rPr>
          <w:color w:val="000000"/>
        </w:rPr>
      </w:pPr>
      <w:r>
        <w:rPr>
          <w:bCs w:val="0"/>
          <w:color w:val="000000"/>
        </w:rPr>
        <w:t xml:space="preserve">От</w:t>
      </w:r>
      <w:r>
        <w:rPr>
          <w:bCs w:val="0"/>
          <w:color w:val="000000"/>
        </w:rPr>
        <w:t xml:space="preserve">к</w:t>
      </w:r>
      <w:r>
        <w:rPr>
          <w:bCs w:val="0"/>
          <w:color w:val="000000"/>
        </w:rPr>
        <w:t xml:space="preserve">рытые системы теплоснабжения отсутствуют.</w:t>
      </w:r>
      <w:r>
        <w:rPr>
          <w:color w:val="000000"/>
        </w:rPr>
      </w:r>
    </w:p>
    <w:p>
      <w:pPr>
        <w:pStyle w:val="10533"/>
        <w:keepNext w:val="true"/>
        <w:pBdr/>
        <w:spacing/>
        <w:ind/>
        <w:rPr>
          <w:rFonts w:eastAsia="Calibri"/>
          <w:b/>
          <w:bCs/>
        </w:rPr>
      </w:pPr>
      <w:r>
        <w:rPr>
          <w:rFonts w:eastAsia="Calibri"/>
          <w:b/>
          <w:bCs/>
        </w:rPr>
      </w:r>
      <w:r>
        <w:rPr>
          <w:rFonts w:eastAsia="Calibri"/>
          <w:b/>
          <w:bCs/>
        </w:rPr>
      </w:r>
    </w:p>
    <w:p>
      <w:pPr>
        <w:pStyle w:val="10535"/>
        <w:keepNext w:val="false"/>
        <w:widowControl w:val="false"/>
        <w:numPr>
          <w:ilvl w:val="1"/>
          <w:numId w:val="13"/>
        </w:numPr>
        <w:pBdr/>
        <w:bidi w:val="false"/>
        <w:spacing w:after="0" w:before="0" w:line="240" w:lineRule="auto"/>
        <w:ind w:right="0" w:hanging="737" w:left="737"/>
        <w:jc w:val="left"/>
        <w:rPr>
          <w:rFonts w:cs="Times New Roman"/>
        </w:rPr>
      </w:pPr>
      <w:r/>
      <w:r/>
      <w:r/>
      <w:r/>
      <w:r/>
      <w:r>
        <w:rPr>
          <w:rFonts w:cs="Times New Roman"/>
        </w:rPr>
        <w:t xml:space="preserve">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rFonts w:cs="Times New Roman"/>
        </w:rPr>
      </w:r>
    </w:p>
    <w:p>
      <w:pPr>
        <w:pStyle w:val="10533"/>
        <w:pBdr/>
        <w:spacing/>
        <w:ind/>
        <w:rPr>
          <w:lang w:eastAsia="en-US" w:bidi="en-US"/>
        </w:rPr>
      </w:pPr>
      <w:r>
        <w:rPr>
          <w:lang w:eastAsia="en-US" w:bidi="en-US"/>
        </w:rPr>
      </w:r>
      <w:r>
        <w:rPr>
          <w:lang w:eastAsia="en-US" w:bidi="en-US"/>
        </w:rPr>
      </w:r>
    </w:p>
    <w:p>
      <w:pPr>
        <w:pStyle w:val="12960"/>
        <w:pBdr/>
        <w:spacing/>
        <w:ind/>
        <w:rPr>
          <w:lang w:bidi="en-US"/>
        </w:rPr>
      </w:pPr>
      <w:r>
        <w:rPr>
          <w:lang w:bidi="en-US"/>
        </w:rPr>
        <w:t xml:space="preserve">В Муниципальном образовании Астаповское в качестве теплоносителя для передачи тепловой энергии от источников до потребителей используется горячая вода. Качество исп</w:t>
      </w:r>
      <w:r>
        <w:rPr>
          <w:lang w:bidi="en-US"/>
        </w:rPr>
        <w:t xml:space="preserve">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r>
        <w:rPr>
          <w:lang w:bidi="en-US"/>
        </w:rPr>
      </w:r>
    </w:p>
    <w:p>
      <w:pPr>
        <w:pStyle w:val="12960"/>
        <w:pBdr/>
        <w:spacing/>
        <w:ind/>
        <w:rPr>
          <w:lang w:bidi="en-US"/>
        </w:rPr>
      </w:pPr>
      <w:r>
        <w:rPr>
          <w:lang w:bidi="en-US"/>
        </w:rPr>
        <w:t xml:space="preserve">Присоединение (</w:t>
      </w:r>
      <w:r>
        <w:rPr>
          <w:lang w:bidi="en-US"/>
        </w:rPr>
        <w:t xml:space="preserve">подключение) всех потребителей во вновь создаваемых зонах теплоснабжения будет осуществляться по 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r>
        <w:rPr>
          <w:lang w:bidi="en-US"/>
        </w:rPr>
      </w:r>
    </w:p>
    <w:p>
      <w:pPr>
        <w:pStyle w:val="12960"/>
        <w:pBdr/>
        <w:spacing/>
        <w:ind/>
        <w:rPr>
          <w:lang w:bidi="en-US"/>
        </w:rPr>
      </w:pPr>
      <w:r>
        <w:rPr>
          <w:lang w:bidi="en-US"/>
        </w:rPr>
        <w:t xml:space="preserve">Тепловые узлы существующих потребителей должны быть реконструированы с ус</w:t>
      </w:r>
      <w:r>
        <w:rPr>
          <w:lang w:bidi="en-US"/>
        </w:rPr>
        <w:t xml:space="preserve">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централизованного горячего водоснабжения и использовать индивидуальные электрические водонагреватели.</w:t>
      </w:r>
      <w:r>
        <w:rPr>
          <w:lang w:bidi="en-US"/>
        </w:rPr>
      </w:r>
    </w:p>
    <w:p>
      <w:pPr>
        <w:pStyle w:val="12960"/>
        <w:pBdr/>
        <w:spacing/>
        <w:ind/>
        <w:rPr>
          <w:lang w:bidi="en-US"/>
        </w:rPr>
      </w:pPr>
      <w:r>
        <w:rPr>
          <w:lang w:bidi="en-US"/>
        </w:rPr>
        <w:t xml:space="preserve">Подпиточной водой и теплоносителем тепловых сетей является вода из системы хозпитьевого водоснабжения муниципального образования. Подготовка теплоносителя для подпитки тепловых сетей организована без с применением водоподготовительной установки.</w:t>
      </w:r>
      <w:r>
        <w:rPr>
          <w:lang w:bidi="en-US"/>
        </w:rPr>
      </w:r>
    </w:p>
    <w:p>
      <w:pPr>
        <w:pStyle w:val="12960"/>
        <w:pBdr/>
        <w:spacing/>
        <w:ind/>
        <w:rPr>
          <w:lang w:bidi="en-US"/>
        </w:rPr>
      </w:pPr>
      <w:r>
        <w:rPr>
          <w:lang w:bidi="en-US"/>
        </w:rPr>
        <w:t xml:space="preserve">Производительности сетевых и подпиточных насосов достаточно для обеспечения работы системы теплоснабжения.</w:t>
      </w:r>
      <w:r>
        <w:rPr>
          <w:lang w:bidi="en-US"/>
        </w:rPr>
      </w:r>
    </w:p>
    <w:p>
      <w:pPr>
        <w:pStyle w:val="12960"/>
        <w:pBdr/>
        <w:spacing/>
        <w:ind/>
        <w:rPr>
          <w:lang w:bidi="en-US"/>
        </w:rPr>
      </w:pPr>
      <w:r>
        <w:rPr>
          <w:lang w:bidi="en-US"/>
        </w:rPr>
        <w:t xml:space="preserve">Согласно п. 6.22 СП 74.13330.2023 «СНиП 41-02-2003 Тепловые сети»: Для открытых и закрытых </w:t>
      </w:r>
      <w:r>
        <w:rPr>
          <w:lang w:bidi="en-US"/>
        </w:rPr>
        <w:t xml:space="preserve">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w:t>
      </w:r>
      <w:r>
        <w:rPr>
          <w:lang w:bidi="en-US"/>
        </w:rPr>
        <w:t xml:space="preserve">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w:t>
      </w:r>
      <w:r>
        <w:rPr>
          <w:lang w:bidi="en-US"/>
        </w:rPr>
        <w:t xml:space="preserve">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r>
        <w:rPr>
          <w:lang w:bidi="en-US"/>
        </w:rPr>
      </w:r>
    </w:p>
    <w:p>
      <w:pPr>
        <w:pStyle w:val="12960"/>
        <w:pBdr/>
        <w:spacing/>
        <w:ind/>
        <w:rPr>
          <w:lang w:bidi="en-US"/>
        </w:rPr>
      </w:pPr>
      <w:r>
        <w:rPr>
          <w:lang w:bidi="en-US"/>
        </w:rPr>
        <w:t xml:space="preserve">Данные о расчетном расходе подпиточной воды для эксплуатационного и аварийного режимов за 2025 год представлены ниже.</w:t>
      </w:r>
      <w:r>
        <w:rPr>
          <w:lang w:bidi="en-US"/>
        </w:rPr>
      </w:r>
    </w:p>
    <w:p>
      <w:pPr>
        <w:pStyle w:val="12960"/>
        <w:pBdr/>
        <w:spacing/>
        <w:ind/>
        <w:rPr>
          <w:lang w:bidi="en-US"/>
        </w:rPr>
      </w:pPr>
      <w:r>
        <w:rPr>
          <w:lang w:bidi="en-US"/>
        </w:rPr>
      </w:r>
      <w:r>
        <w:rPr>
          <w:lang w:bidi="en-US"/>
        </w:rPr>
      </w:r>
    </w:p>
    <w:p>
      <w:pPr>
        <w:pStyle w:val="12960"/>
        <w:pBdr/>
        <w:spacing/>
        <w:ind/>
        <w:rPr>
          <w:lang w:bidi="en-US"/>
        </w:rPr>
      </w:pPr>
      <w:r>
        <w:rPr>
          <w:lang w:bidi="en-US"/>
        </w:rPr>
      </w:r>
      <w:r>
        <w:rPr>
          <w:lang w:bidi="en-US"/>
        </w:rPr>
      </w:r>
    </w:p>
    <w:p>
      <w:pPr>
        <w:pStyle w:val="12960"/>
        <w:pBdr/>
        <w:spacing/>
        <w:ind/>
        <w:rPr>
          <w:lang w:bidi="en-US"/>
        </w:rPr>
      </w:pPr>
      <w:r>
        <w:rPr>
          <w:lang w:bidi="en-US"/>
        </w:rPr>
      </w:r>
      <w:r>
        <w:rPr>
          <w:lang w:bidi="en-US"/>
        </w:rPr>
      </w:r>
    </w:p>
    <w:p>
      <w:pPr>
        <w:pStyle w:val="12960"/>
        <w:pBdr/>
        <w:spacing/>
        <w:ind/>
        <w:rPr>
          <w:lang w:bidi="en-US"/>
        </w:rPr>
      </w:pPr>
      <w:r>
        <w:rPr>
          <w:lang w:bidi="en-US"/>
        </w:rPr>
      </w:r>
      <w:r>
        <w:rPr>
          <w:lang w:bidi="en-US"/>
        </w:rPr>
      </w:r>
    </w:p>
    <w:p>
      <w:pPr>
        <w:pStyle w:val="12960"/>
        <w:pBdr/>
        <w:spacing/>
        <w:ind/>
        <w:rPr>
          <w:lang w:bidi="en-US"/>
        </w:rPr>
      </w:pPr>
      <w:r>
        <w:rPr>
          <w:lang w:bidi="en-US"/>
        </w:rPr>
      </w:r>
      <w:r>
        <w:rPr>
          <w:lang w:bidi="en-US"/>
        </w:rPr>
      </w:r>
    </w:p>
    <w:p>
      <w:pPr>
        <w:pStyle w:val="12960"/>
        <w:pBdr/>
        <w:spacing/>
        <w:ind/>
        <w:rPr>
          <w:b/>
          <w:bCs w:val="0"/>
          <w:lang w:bidi="en-US"/>
        </w:rPr>
      </w:pPr>
      <w:r>
        <w:rPr>
          <w:b/>
          <w:bCs w:val="0"/>
          <w:lang w:bidi="en-US"/>
        </w:rPr>
        <w:t xml:space="preserve">Таблица 1.7.3.1– Расчетный (для эксплуатационного и аварийного режимов) и фактический часовой расход подпиточной воды в зоне действия источников тепловой энергии</w:t>
      </w:r>
      <w:r>
        <w:rPr>
          <w:b/>
          <w:bCs w:val="0"/>
          <w:lang w:bidi="en-US"/>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059"/>
        <w:gridCol w:w="1663"/>
        <w:gridCol w:w="1514"/>
        <w:gridCol w:w="1336"/>
        <w:gridCol w:w="1783"/>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059" w:type="dxa"/>
            <w:vAlign w:val="center"/>
          </w:tcPr>
          <w:p>
            <w:pPr>
              <w:pStyle w:val="12385"/>
              <w:pBdr/>
              <w:spacing/>
              <w:ind/>
              <w:rPr/>
            </w:pPr>
            <w:r>
              <w:t xml:space="preserve">Показатель</w:t>
            </w:r>
            <w:r/>
          </w:p>
        </w:tc>
        <w:tc>
          <w:tcPr>
            <w:shd w:val="clear" w:color="000000" w:fill="d9d9d9"/>
            <w:tcBorders>
              <w:top w:val="single" w:color="000000" w:sz="4" w:space="0"/>
              <w:bottom w:val="single" w:color="000000" w:sz="4" w:space="0"/>
              <w:right w:val="single" w:color="000000" w:sz="4" w:space="0"/>
            </w:tcBorders>
            <w:tcW w:w="1663" w:type="dxa"/>
            <w:vAlign w:val="center"/>
          </w:tcPr>
          <w:p>
            <w:pPr>
              <w:pStyle w:val="12385"/>
              <w:pBdr/>
              <w:spacing/>
              <w:ind/>
              <w:rPr/>
            </w:pPr>
            <w:r>
              <w:t xml:space="preserve">Объем теплоносителя в системе теплоснабжения, м</w:t>
            </w:r>
            <w:r>
              <w:rPr>
                <w:vertAlign w:val="superscript"/>
              </w:rPr>
              <w:t xml:space="preserve">3</w:t>
            </w:r>
            <w:r/>
          </w:p>
        </w:tc>
        <w:tc>
          <w:tcPr>
            <w:shd w:val="clear" w:color="000000" w:fill="d9d9d9"/>
            <w:tcBorders>
              <w:top w:val="single" w:color="000000" w:sz="4" w:space="0"/>
              <w:bottom w:val="single" w:color="000000" w:sz="4" w:space="0"/>
              <w:right w:val="single" w:color="000000" w:sz="4" w:space="0"/>
            </w:tcBorders>
            <w:tcW w:w="1514" w:type="dxa"/>
            <w:vAlign w:val="center"/>
          </w:tcPr>
          <w:p>
            <w:pPr>
              <w:pStyle w:val="12385"/>
              <w:pBdr/>
              <w:spacing/>
              <w:ind/>
              <w:rPr/>
            </w:pPr>
            <w:r>
              <w:t xml:space="preserve">Нормируемая утечка теплоносителя, м</w:t>
            </w:r>
            <w:r>
              <w:rPr>
                <w:vertAlign w:val="superscript"/>
              </w:rPr>
              <w:t xml:space="preserve">3</w:t>
            </w:r>
            <w:r>
              <w:t xml:space="preserve">/час</w:t>
            </w:r>
            <w:r/>
          </w:p>
        </w:tc>
        <w:tc>
          <w:tcPr>
            <w:shd w:val="clear" w:color="000000" w:fill="d9d9d9"/>
            <w:tcBorders>
              <w:top w:val="single" w:color="000000" w:sz="4" w:space="0"/>
              <w:bottom w:val="single" w:color="000000" w:sz="4" w:space="0"/>
              <w:right w:val="single" w:color="000000" w:sz="4" w:space="0"/>
            </w:tcBorders>
            <w:tcW w:w="1336" w:type="dxa"/>
            <w:vAlign w:val="center"/>
          </w:tcPr>
          <w:p>
            <w:pPr>
              <w:pStyle w:val="12385"/>
              <w:pBdr/>
              <w:spacing/>
              <w:ind/>
              <w:rPr/>
            </w:pPr>
            <w:r>
              <w:t xml:space="preserve">Расчетный расход подпиточной воды (Без учета ГВС), м</w:t>
            </w:r>
            <w:r>
              <w:rPr>
                <w:vertAlign w:val="superscript"/>
              </w:rPr>
              <w:t xml:space="preserve">3</w:t>
            </w:r>
            <w:r>
              <w:t xml:space="preserve">/час</w:t>
            </w:r>
            <w:r/>
          </w:p>
        </w:tc>
        <w:tc>
          <w:tcPr>
            <w:shd w:val="clear" w:color="000000" w:fill="d9d9d9"/>
            <w:tcBorders>
              <w:top w:val="single" w:color="000000" w:sz="4" w:space="0"/>
              <w:bottom w:val="single" w:color="000000" w:sz="4" w:space="0"/>
              <w:right w:val="single" w:color="000000" w:sz="4" w:space="0"/>
            </w:tcBorders>
            <w:tcW w:w="1783" w:type="dxa"/>
            <w:vAlign w:val="center"/>
          </w:tcPr>
          <w:p>
            <w:pPr>
              <w:pStyle w:val="12385"/>
              <w:pBdr/>
              <w:spacing/>
              <w:ind/>
              <w:rPr/>
            </w:pPr>
            <w:r>
              <w:t xml:space="preserve">Аварийная подпитка химически не обработанной и недеаэрированной воды, м</w:t>
            </w:r>
            <w:r>
              <w:rPr>
                <w:vertAlign w:val="superscript"/>
              </w:rPr>
              <w:t xml:space="preserve">3</w:t>
            </w:r>
            <w:r>
              <w:t xml:space="preserve">/час</w:t>
            </w:r>
            <w:r/>
          </w:p>
        </w:tc>
      </w:tr>
      <w:tr>
        <w:trPr>
          <w:trHeight w:val="20"/>
        </w:trPr>
        <w:tc>
          <w:tcPr>
            <w:shd w:val="clear" w:color="000000" w:fill="ffffff"/>
            <w:tcBorders>
              <w:left w:val="single" w:color="000000" w:sz="4" w:space="0"/>
              <w:bottom w:val="single" w:color="000000" w:sz="4" w:space="0"/>
              <w:right w:val="single" w:color="000000" w:sz="4" w:space="0"/>
            </w:tcBorders>
            <w:tcW w:w="3059"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1663" w:type="dxa"/>
            <w:vAlign w:val="center"/>
          </w:tcPr>
          <w:p>
            <w:pPr>
              <w:pStyle w:val="12385"/>
              <w:pBdr/>
              <w:spacing/>
              <w:ind/>
              <w:rPr/>
            </w:pPr>
            <w:r/>
            <w:r/>
          </w:p>
        </w:tc>
        <w:tc>
          <w:tcPr>
            <w:shd w:val="clear" w:color="000000" w:fill="ffffff"/>
            <w:tcBorders>
              <w:bottom w:val="single" w:color="000000" w:sz="4" w:space="0"/>
              <w:right w:val="single" w:color="000000" w:sz="4" w:space="0"/>
            </w:tcBorders>
            <w:tcW w:w="1514" w:type="dxa"/>
            <w:vAlign w:val="center"/>
          </w:tcPr>
          <w:p>
            <w:pPr>
              <w:pStyle w:val="12385"/>
              <w:pBdr/>
              <w:spacing/>
              <w:ind/>
              <w:rPr/>
            </w:pPr>
            <w:r/>
            <w:r/>
          </w:p>
        </w:tc>
        <w:tc>
          <w:tcPr>
            <w:shd w:val="clear" w:color="000000" w:fill="ffffff"/>
            <w:tcBorders>
              <w:bottom w:val="single" w:color="000000" w:sz="4" w:space="0"/>
              <w:right w:val="single" w:color="000000" w:sz="4" w:space="0"/>
            </w:tcBorders>
            <w:tcW w:w="1336" w:type="dxa"/>
            <w:vAlign w:val="center"/>
          </w:tcPr>
          <w:p>
            <w:pPr>
              <w:pStyle w:val="12385"/>
              <w:pBdr/>
              <w:spacing/>
              <w:ind/>
              <w:rPr/>
            </w:pPr>
            <w:r/>
            <w:r/>
          </w:p>
        </w:tc>
        <w:tc>
          <w:tcPr>
            <w:shd w:val="clear" w:color="000000" w:fill="ffffff"/>
            <w:tcBorders>
              <w:bottom w:val="single" w:color="000000" w:sz="4" w:space="0"/>
              <w:right w:val="single" w:color="000000" w:sz="4" w:space="0"/>
            </w:tcBorders>
            <w:tcW w:w="1783"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59"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663"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514" w:type="dxa"/>
            <w:vAlign w:val="center"/>
          </w:tcPr>
          <w:p>
            <w:pPr>
              <w:pStyle w:val="12385"/>
              <w:pBdr/>
              <w:spacing/>
              <w:ind/>
              <w:rPr/>
            </w:pPr>
            <w:r>
              <w:t xml:space="preserve">0,00025</w:t>
            </w:r>
            <w:r/>
          </w:p>
        </w:tc>
        <w:tc>
          <w:tcPr>
            <w:shd w:val="clear" w:color="000000" w:fill="ffffff"/>
            <w:tcBorders>
              <w:bottom w:val="single" w:color="000000" w:sz="4" w:space="0"/>
              <w:right w:val="single" w:color="000000" w:sz="4" w:space="0"/>
            </w:tcBorders>
            <w:tcW w:w="1336" w:type="dxa"/>
            <w:vAlign w:val="center"/>
          </w:tcPr>
          <w:p>
            <w:pPr>
              <w:pStyle w:val="12385"/>
              <w:pBdr/>
              <w:spacing/>
              <w:ind/>
              <w:rPr/>
            </w:pPr>
            <w:r>
              <w:t xml:space="preserve">0,00075</w:t>
            </w:r>
            <w:r/>
          </w:p>
        </w:tc>
        <w:tc>
          <w:tcPr>
            <w:shd w:val="clear" w:color="000000" w:fill="ffffff"/>
            <w:tcBorders>
              <w:bottom w:val="single" w:color="000000" w:sz="4" w:space="0"/>
              <w:right w:val="single" w:color="000000" w:sz="4" w:space="0"/>
            </w:tcBorders>
            <w:tcW w:w="1783" w:type="dxa"/>
            <w:vAlign w:val="center"/>
          </w:tcPr>
          <w:p>
            <w:pPr>
              <w:pStyle w:val="12385"/>
              <w:pBdr/>
              <w:spacing/>
              <w:ind/>
              <w:rPr/>
            </w:pPr>
            <w:r>
              <w:t xml:space="preserve">0,00201</w:t>
            </w:r>
            <w:r/>
          </w:p>
        </w:tc>
      </w:tr>
      <w:tr>
        <w:trPr>
          <w:trHeight w:val="20"/>
        </w:trPr>
        <w:tc>
          <w:tcPr>
            <w:shd w:val="clear" w:color="000000" w:fill="ffffff"/>
            <w:tcBorders>
              <w:left w:val="single" w:color="000000" w:sz="4" w:space="0"/>
              <w:bottom w:val="single" w:color="000000" w:sz="4" w:space="0"/>
              <w:right w:val="single" w:color="000000" w:sz="4" w:space="0"/>
            </w:tcBorders>
            <w:tcW w:w="3059"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66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514"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1336"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1783" w:type="dxa"/>
            <w:vAlign w:val="center"/>
          </w:tcPr>
          <w:p>
            <w:pPr>
              <w:pStyle w:val="12385"/>
              <w:pBdr/>
              <w:spacing/>
              <w:ind/>
              <w:rPr/>
            </w:pPr>
            <w:r>
              <w:t xml:space="preserve">0,00352</w:t>
            </w:r>
            <w:r/>
          </w:p>
        </w:tc>
      </w:tr>
      <w:tr>
        <w:trPr>
          <w:trHeight w:val="20"/>
        </w:trPr>
        <w:tc>
          <w:tcPr>
            <w:shd w:val="clear" w:color="000000" w:fill="ffffff"/>
            <w:tcBorders>
              <w:left w:val="single" w:color="000000" w:sz="4" w:space="0"/>
              <w:bottom w:val="single" w:color="000000" w:sz="4" w:space="0"/>
              <w:right w:val="single" w:color="000000" w:sz="4" w:space="0"/>
            </w:tcBorders>
            <w:tcW w:w="3059"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66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514"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1336"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1783" w:type="dxa"/>
            <w:vAlign w:val="center"/>
          </w:tcPr>
          <w:p>
            <w:pPr>
              <w:pStyle w:val="12385"/>
              <w:pBdr/>
              <w:spacing/>
              <w:ind/>
              <w:rPr/>
            </w:pPr>
            <w:r>
              <w:t xml:space="preserve">0,00352</w:t>
            </w:r>
            <w:r/>
          </w:p>
        </w:tc>
      </w:tr>
    </w:tbl>
    <w:p>
      <w:pPr>
        <w:pStyle w:val="10533"/>
        <w:pBdr/>
        <w:spacing/>
        <w:ind/>
        <w:rPr>
          <w:lang w:eastAsia="en-US" w:bidi="en-US"/>
        </w:rPr>
      </w:pPr>
      <w:r>
        <w:rPr>
          <w:lang w:eastAsia="en-US" w:bidi="en-US"/>
        </w:rPr>
      </w:r>
      <w:r>
        <w:rPr>
          <w:lang w:eastAsia="en-US" w:bidi="en-US"/>
        </w:rPr>
      </w:r>
    </w:p>
    <w:p>
      <w:pPr>
        <w:pStyle w:val="10533"/>
        <w:pBdr/>
        <w:spacing/>
        <w:ind/>
        <w:rPr>
          <w:lang w:eastAsia="en-US" w:bidi="en-US"/>
        </w:rPr>
      </w:pPr>
      <w:r>
        <w:rPr>
          <w:lang w:eastAsia="en-US" w:bidi="en-US"/>
        </w:rPr>
      </w:r>
      <w:r>
        <w:rPr>
          <w:lang w:eastAsia="en-US" w:bidi="en-US"/>
        </w:rPr>
      </w:r>
    </w:p>
    <w:p>
      <w:pPr>
        <w:pStyle w:val="10535"/>
        <w:keepNext w:val="false"/>
        <w:widowControl w:val="false"/>
        <w:numPr>
          <w:ilvl w:val="1"/>
          <w:numId w:val="13"/>
        </w:numPr>
        <w:pBdr/>
        <w:tabs>
          <w:tab w:val="left" w:leader="none" w:pos="567"/>
          <w:tab w:val="clear" w:leader="none" w:pos="708"/>
        </w:tabs>
        <w:bidi w:val="false"/>
        <w:spacing w:after="0" w:before="0" w:line="240" w:lineRule="auto"/>
        <w:ind w:right="0" w:hanging="850" w:left="850"/>
        <w:jc w:val="center"/>
        <w:rPr/>
      </w:pPr>
      <w:r/>
      <w:bookmarkStart w:id="402" w:name="_Toc475879472"/>
      <w:r/>
      <w:bookmarkStart w:id="403" w:name="_Toc166767193"/>
      <w:r/>
      <w:bookmarkStart w:id="404" w:name="_Toc198483533"/>
      <w:r/>
      <w:bookmarkStart w:id="405" w:name="_Toc78674740"/>
      <w:r/>
      <w:bookmarkStart w:id="406" w:name="_Toc84970977"/>
      <w:r>
        <w:rPr>
          <w:rFonts w:cs="Times New Roman"/>
        </w:rPr>
        <w:t xml:space="preserve">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402"/>
      <w:r/>
      <w:bookmarkEnd w:id="403"/>
      <w:r/>
      <w:bookmarkEnd w:id="404"/>
      <w:r/>
      <w:bookmarkEnd w:id="405"/>
      <w:r/>
      <w:bookmarkEnd w:id="406"/>
      <w:r/>
      <w:r/>
    </w:p>
    <w:p>
      <w:pPr>
        <w:pStyle w:val="12960"/>
        <w:pBdr/>
        <w:spacing/>
        <w:ind/>
        <w:rPr>
          <w:lang w:bidi="en-US"/>
        </w:rPr>
      </w:pPr>
      <w:r>
        <w:rPr>
          <w:lang w:bidi="en-US"/>
        </w:rPr>
      </w:r>
      <w:r>
        <w:rPr>
          <w:lang w:bidi="en-US"/>
        </w:rPr>
      </w:r>
    </w:p>
    <w:p>
      <w:pPr>
        <w:pStyle w:val="12960"/>
        <w:pBdr/>
        <w:spacing/>
        <w:ind/>
        <w:rPr>
          <w:lang w:bidi="en-US"/>
        </w:rPr>
      </w:pPr>
      <w:r>
        <w:rPr>
          <w:lang w:bidi="en-US"/>
        </w:rPr>
        <w:t xml:space="preserve">Рас</w:t>
      </w:r>
      <w:r>
        <w:rPr>
          <w:lang w:bidi="en-US"/>
        </w:rPr>
        <w:t xml:space="preserve">чет и обоснование нормативов технологических потерь теплоносителя и тепловой энергии в тепловых сетях производится согласно Приказу №265 от 4 октября 2005 года «Порядок расчета и обоснования нормативов технологических потерь при передаче тепловой энергии».</w:t>
      </w:r>
      <w:r>
        <w:rPr>
          <w:lang w:bidi="en-US"/>
        </w:rPr>
      </w:r>
    </w:p>
    <w:p>
      <w:pPr>
        <w:pStyle w:val="12960"/>
        <w:pBdr/>
        <w:spacing/>
        <w:ind/>
        <w:rPr>
          <w:lang w:bidi="en-US"/>
        </w:rPr>
      </w:pPr>
      <w:r>
        <w:rPr>
          <w:lang w:bidi="en-US"/>
        </w:rPr>
        <w:t xml:space="preserve">Нормируемые часовые среднегодовые тепловые пот</w:t>
      </w:r>
      <w:r>
        <w:rPr>
          <w:lang w:bidi="en-US"/>
        </w:rPr>
        <w:t xml:space="preserve">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r>
        <w:rPr>
          <w:lang w:bidi="en-US"/>
        </w:rPr>
      </w:r>
    </w:p>
    <w:p>
      <w:pPr>
        <w:pStyle w:val="12960"/>
        <w:pBdr/>
        <w:spacing/>
        <w:ind/>
        <w:rPr>
          <w:lang w:bidi="en-US"/>
        </w:rPr>
      </w:pPr>
      <w:r>
        <w:rPr>
          <w:lang w:bidi="en-US"/>
        </w:rPr>
        <w:t xml:space="preserve">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w:t>
      </w:r>
      <w:r>
        <w:rPr>
          <w:lang w:bidi="en-US"/>
        </w:rPr>
        <w:t xml:space="preserve">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r>
        <w:rPr>
          <w:lang w:bidi="en-US"/>
        </w:rPr>
      </w:r>
    </w:p>
    <w:p>
      <w:pPr>
        <w:pStyle w:val="12960"/>
        <w:pBdr/>
        <w:spacing/>
        <w:ind/>
        <w:rPr>
          <w:lang w:bidi="en-US"/>
        </w:rPr>
      </w:pPr>
      <w:r>
        <w:rPr>
          <w:lang w:bidi="en-US"/>
        </w:rPr>
        <w:t xml:space="preserve">Фактические годовые потери тепловой энергии через тепловую изоляцию определяются путем суммирования фактических тепло</w:t>
      </w:r>
      <w:r>
        <w:rPr>
          <w:lang w:bidi="en-US"/>
        </w:rPr>
        <w:t xml:space="preserve">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 </w:t>
      </w:r>
      <w:r>
        <w:rPr>
          <w:lang w:bidi="en-US"/>
        </w:rPr>
        <w:t xml:space="preserve">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 </w:t>
      </w:r>
      <w:r>
        <w:rPr>
          <w:lang w:bidi="en-US"/>
        </w:rPr>
        <w:t xml:space="preserve">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 </w:t>
      </w:r>
      <w:r>
        <w:rPr>
          <w:lang w:bidi="en-US"/>
        </w:rPr>
        <w:t xml:space="preserve">среднемесячной и среднегодовой температуре грунта на глубине заложения теплопроводов; </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 </w:t>
      </w:r>
      <w:r>
        <w:rPr>
          <w:lang w:bidi="en-US"/>
        </w:rPr>
        <w:t xml:space="preserve">фактической среднемесячной и среднегодовой температуре наружного воздуха за год.</w:t>
      </w:r>
      <w:r>
        <w:rPr>
          <w:lang w:bidi="en-US"/>
        </w:rPr>
      </w:r>
    </w:p>
    <w:p>
      <w:pPr>
        <w:pStyle w:val="12960"/>
        <w:pBdr/>
        <w:spacing/>
        <w:ind/>
        <w:rPr>
          <w:b/>
          <w:bCs w:val="0"/>
        </w:rPr>
      </w:pPr>
      <w:r>
        <w:rPr>
          <w:b/>
          <w:bCs w:val="0"/>
        </w:rPr>
        <w:t xml:space="preserve">Таблица 1.7.3.1 – Расчетный баланс теплоносителя (Без учета ГВС)</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885"/>
        <w:gridCol w:w="1622"/>
        <w:gridCol w:w="1573"/>
        <w:gridCol w:w="1434"/>
        <w:gridCol w:w="1841"/>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885"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1622" w:type="dxa"/>
            <w:vAlign w:val="center"/>
          </w:tcPr>
          <w:p>
            <w:pPr>
              <w:pStyle w:val="12385"/>
              <w:pBdr/>
              <w:spacing/>
              <w:ind/>
              <w:rPr/>
            </w:pPr>
            <w:r>
              <w:t xml:space="preserve">Тепловая нагрузка с учетом потерь тепловой энергии при транспортировке, Гкал/час</w:t>
            </w:r>
            <w:r/>
          </w:p>
        </w:tc>
        <w:tc>
          <w:tcPr>
            <w:shd w:val="clear" w:color="000000" w:fill="d9d9d9"/>
            <w:tcBorders>
              <w:top w:val="single" w:color="000000" w:sz="4" w:space="0"/>
              <w:bottom w:val="single" w:color="000000" w:sz="4" w:space="0"/>
              <w:right w:val="single" w:color="000000" w:sz="4" w:space="0"/>
            </w:tcBorders>
            <w:tcW w:w="1573" w:type="dxa"/>
            <w:vAlign w:val="center"/>
          </w:tcPr>
          <w:p>
            <w:pPr>
              <w:pStyle w:val="12385"/>
              <w:pBdr/>
              <w:spacing/>
              <w:ind/>
              <w:rPr/>
            </w:pPr>
            <w:r>
              <w:t xml:space="preserve">Объем теплоносителя в системе теплоснабжения, м</w:t>
            </w:r>
            <w:r>
              <w:rPr>
                <w:vertAlign w:val="superscript"/>
              </w:rPr>
              <w:t xml:space="preserve">3</w:t>
            </w:r>
            <w:r/>
          </w:p>
        </w:tc>
        <w:tc>
          <w:tcPr>
            <w:shd w:val="clear" w:color="000000" w:fill="d9d9d9"/>
            <w:tcBorders>
              <w:top w:val="single" w:color="000000" w:sz="4" w:space="0"/>
              <w:bottom w:val="single" w:color="000000" w:sz="4" w:space="0"/>
              <w:right w:val="single" w:color="000000" w:sz="4" w:space="0"/>
            </w:tcBorders>
            <w:tcW w:w="1434" w:type="dxa"/>
            <w:vAlign w:val="center"/>
          </w:tcPr>
          <w:p>
            <w:pPr>
              <w:pStyle w:val="12385"/>
              <w:pBdr/>
              <w:spacing/>
              <w:ind/>
              <w:rPr/>
            </w:pPr>
            <w:r>
              <w:t xml:space="preserve">Нормируемая утечка теплоносителя, м</w:t>
            </w:r>
            <w:r>
              <w:rPr>
                <w:vertAlign w:val="superscript"/>
              </w:rPr>
              <w:t xml:space="preserve">3</w:t>
            </w:r>
            <w:r>
              <w:t xml:space="preserve">/час</w:t>
            </w:r>
            <w:r/>
          </w:p>
        </w:tc>
        <w:tc>
          <w:tcPr>
            <w:shd w:val="clear" w:color="000000" w:fill="d9d9d9"/>
            <w:tcBorders>
              <w:top w:val="single" w:color="000000" w:sz="4" w:space="0"/>
              <w:bottom w:val="single" w:color="000000" w:sz="4" w:space="0"/>
              <w:right w:val="single" w:color="000000" w:sz="4" w:space="0"/>
            </w:tcBorders>
            <w:tcW w:w="1841" w:type="dxa"/>
            <w:vAlign w:val="center"/>
          </w:tcPr>
          <w:p>
            <w:pPr>
              <w:pStyle w:val="12385"/>
              <w:pBdr/>
              <w:spacing/>
              <w:ind/>
              <w:rPr/>
            </w:pPr>
            <w:r>
              <w:t xml:space="preserve">Необходимая производительность установки водоподготовки, м</w:t>
            </w:r>
            <w:r>
              <w:rPr>
                <w:vertAlign w:val="superscript"/>
              </w:rPr>
              <w:t xml:space="preserve">3</w:t>
            </w:r>
            <w:r>
              <w:t xml:space="preserve">/час</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2025 год</w:t>
            </w:r>
            <w:r/>
          </w:p>
        </w:tc>
      </w:tr>
      <w:tr>
        <w:trPr>
          <w:trHeight w:val="20"/>
        </w:trPr>
        <w:tc>
          <w:tcPr>
            <w:shd w:val="clear" w:color="000000" w:fill="ffffff"/>
            <w:tcBorders>
              <w:left w:val="single" w:color="000000" w:sz="4" w:space="0"/>
              <w:bottom w:val="single" w:color="000000" w:sz="4" w:space="0"/>
              <w:right w:val="single" w:color="000000" w:sz="4" w:space="0"/>
            </w:tcBorders>
            <w:tcW w:w="2885"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622" w:type="dxa"/>
            <w:vAlign w:val="center"/>
          </w:tcPr>
          <w:p>
            <w:pPr>
              <w:pStyle w:val="12385"/>
              <w:pBdr/>
              <w:spacing/>
              <w:ind/>
              <w:rPr/>
            </w:pPr>
            <w:r>
              <w:t xml:space="preserve">0,24</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0,000251</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0,000754</w:t>
            </w:r>
            <w:r/>
          </w:p>
        </w:tc>
      </w:tr>
      <w:tr>
        <w:trPr>
          <w:trHeight w:val="20"/>
        </w:trPr>
        <w:tc>
          <w:tcPr>
            <w:shd w:val="clear" w:color="000000" w:fill="ffffff"/>
            <w:tcBorders>
              <w:left w:val="single" w:color="000000" w:sz="4" w:space="0"/>
              <w:bottom w:val="single" w:color="000000" w:sz="4" w:space="0"/>
              <w:right w:val="single" w:color="000000" w:sz="4" w:space="0"/>
            </w:tcBorders>
            <w:tcW w:w="2885"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622" w:type="dxa"/>
            <w:vAlign w:val="center"/>
          </w:tcPr>
          <w:p>
            <w:pPr>
              <w:pStyle w:val="12385"/>
              <w:pBdr/>
              <w:spacing/>
              <w:ind/>
              <w:rPr/>
            </w:pPr>
            <w:r>
              <w:t xml:space="preserve">0,12</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0,000440</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shd w:val="clear" w:color="000000" w:fill="ffffff"/>
            <w:tcBorders>
              <w:left w:val="single" w:color="000000" w:sz="4" w:space="0"/>
              <w:bottom w:val="single" w:color="000000" w:sz="4" w:space="0"/>
              <w:right w:val="single" w:color="000000" w:sz="4" w:space="0"/>
            </w:tcBorders>
            <w:tcW w:w="2885"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622"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0,000440</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bl>
    <w:p>
      <w:pPr>
        <w:pStyle w:val="12960"/>
        <w:pBdr/>
        <w:spacing/>
        <w:ind/>
        <w:rPr/>
      </w:pPr>
      <w:r/>
      <w:r/>
    </w:p>
    <w:p>
      <w:pPr>
        <w:pStyle w:val="12960"/>
        <w:pBdr/>
        <w:spacing/>
        <w:ind/>
        <w:rPr/>
        <w:sectPr>
          <w:headerReference w:type="default" r:id="rId62"/>
          <w:headerReference w:type="first" r:id="rId63"/>
          <w:footerReference w:type="default" r:id="rId329"/>
          <w:footerReference w:type="first" r:id="rId330"/>
          <w:footnotePr/>
          <w:endnotePr/>
          <w:type w:val="nextPage"/>
          <w:pgSz w:h="16838" w:orient="portrait" w:w="11906"/>
          <w:pgMar w:top="1134" w:right="850" w:bottom="1134" w:left="1701" w:header="680" w:footer="284" w:gutter="0"/>
          <w:cols w:num="1" w:sep="0" w:space="1701" w:equalWidth="1"/>
        </w:sectPr>
      </w:pPr>
      <w:r>
        <w:t xml:space="preserve">Производительности сетевых и подпиточных насосов достаточно для обеспечения работы системы теплоснабжения. </w:t>
      </w:r>
      <w:r/>
    </w:p>
    <w:p>
      <w:pPr>
        <w:pStyle w:val="10534"/>
        <w:numPr>
          <w:ilvl w:val="0"/>
          <w:numId w:val="13"/>
        </w:numPr>
        <w:pBdr/>
        <w:spacing/>
        <w:ind/>
        <w:rPr>
          <w:rFonts w:ascii="Times New Roman" w:hAnsi="Times New Roman" w:eastAsia="Times New Roman" w:cs="Times New Roman"/>
          <w:b/>
          <w:smallCaps/>
          <w:spacing w:val="0"/>
          <w:sz w:val="28"/>
          <w:szCs w:val="36"/>
          <w:lang w:eastAsia="en-US" w:bidi="en-US"/>
        </w:rPr>
      </w:pPr>
      <w:r/>
      <w:bookmarkStart w:id="407" w:name="_Toc84970978"/>
      <w:r/>
      <w:bookmarkStart w:id="408" w:name="_Toc78674741"/>
      <w:r/>
      <w:bookmarkStart w:id="409" w:name="_Toc166767194"/>
      <w:r/>
      <w:bookmarkStart w:id="410" w:name="_Toc198483534"/>
      <w:r>
        <w:rPr>
          <w:rFonts w:eastAsia="Times New Roman" w:cs="Times New Roman"/>
          <w:b/>
          <w:smallCaps/>
          <w:spacing w:val="0"/>
          <w:sz w:val="28"/>
          <w:szCs w:val="36"/>
          <w:lang w:eastAsia="en-US" w:bidi="en-US"/>
        </w:rPr>
        <w:t xml:space="preserve">Топливные балансы источников тепловой энергии и система обеспечения топливом</w:t>
      </w:r>
      <w:bookmarkEnd w:id="407"/>
      <w:r/>
      <w:bookmarkEnd w:id="408"/>
      <w:r/>
      <w:bookmarkEnd w:id="409"/>
      <w:r/>
      <w:bookmarkEnd w:id="410"/>
      <w:r/>
      <w:r>
        <w:rPr>
          <w:rFonts w:ascii="Times New Roman" w:hAnsi="Times New Roman" w:eastAsia="Times New Roman" w:cs="Times New Roman"/>
          <w:b/>
          <w:smallCaps/>
          <w:spacing w:val="0"/>
          <w:sz w:val="28"/>
          <w:szCs w:val="36"/>
          <w:lang w:eastAsia="en-US" w:bidi="en-US"/>
        </w:rPr>
      </w:r>
    </w:p>
    <w:p>
      <w:pPr>
        <w:pStyle w:val="10535"/>
        <w:keepNext w:val="false"/>
        <w:widowControl w:val="false"/>
        <w:numPr>
          <w:ilvl w:val="1"/>
          <w:numId w:val="106"/>
        </w:numPr>
        <w:pBdr/>
        <w:spacing w:after="240" w:before="240" w:line="240" w:lineRule="auto"/>
        <w:ind w:firstLine="0" w:left="0"/>
        <w:rPr>
          <w:rFonts w:cs="Times New Roman"/>
        </w:rPr>
      </w:pPr>
      <w:r/>
      <w:bookmarkStart w:id="411" w:name="_Toc198483535"/>
      <w:r/>
      <w:bookmarkStart w:id="412" w:name="_Toc166767195"/>
      <w:r/>
      <w:bookmarkStart w:id="413" w:name="_Toc84970979"/>
      <w:r/>
      <w:bookmarkStart w:id="414" w:name="_Toc78674742"/>
      <w:r/>
      <w:bookmarkStart w:id="415" w:name="_Toc515271637"/>
      <w:r>
        <w:rPr>
          <w:rFonts w:cs="Times New Roman"/>
        </w:rPr>
        <w:t xml:space="preserve">Описание видов и количества используемого основного топлива</w:t>
      </w:r>
      <w:bookmarkEnd w:id="411"/>
      <w:r/>
      <w:bookmarkEnd w:id="412"/>
      <w:r/>
      <w:bookmarkEnd w:id="413"/>
      <w:r/>
      <w:bookmarkEnd w:id="414"/>
      <w:r/>
      <w:bookmarkEnd w:id="415"/>
      <w:r/>
      <w:r>
        <w:rPr>
          <w:rFonts w:cs="Times New Roman"/>
        </w:rPr>
      </w:r>
    </w:p>
    <w:p>
      <w:pPr>
        <w:pStyle w:val="12960"/>
        <w:pBdr/>
        <w:spacing/>
        <w:ind/>
        <w:rPr/>
      </w:pPr>
      <w:r/>
      <w:r>
        <w:t xml:space="preserve">На территории муниципального образования Астаповское функционируют 3 котельных. На котельных основным топливом является природный газ со средней теплотворной способностью 8312 Ккал/кг. </w:t>
      </w:r>
      <w:r/>
    </w:p>
    <w:p>
      <w:pPr>
        <w:pStyle w:val="12960"/>
        <w:pBdr/>
        <w:spacing/>
        <w:ind/>
        <w:rPr/>
      </w:pPr>
      <w:r>
        <w:t xml:space="preserve">Потребление котельно-</w:t>
      </w:r>
      <w:r>
        <w:t xml:space="preserve">печного топлива, определенное расчетным путем в зависимости от утвержденного норматива удельного расхода топлива на отпущенную тепловую энергию. Котельно-печное топливо поставляется по графику. Топливо поставляется в полном объёме весь отопительный период.</w:t>
      </w:r>
      <w:r/>
    </w:p>
    <w:p>
      <w:pPr>
        <w:pStyle w:val="12960"/>
        <w:pBdr/>
        <w:spacing/>
        <w:ind/>
        <w:rPr/>
      </w:pPr>
      <w:r>
        <w:rPr>
          <w:b/>
          <w:bCs w:val="0"/>
        </w:rPr>
        <w:t xml:space="preserve">Таблица 1.8.1.1 – Характеристика топлив, используемых на источниках теплоснабжения</w:t>
      </w:r>
      <w:r/>
    </w:p>
    <w:tbl>
      <w:tblPr>
        <w:tblInd w:w="0" w:type="dxa"/>
        <w:tblW w:w="5000" w:type="pct"/>
        <w:tblCellMar>
          <w:left w:w="40" w:type="dxa"/>
          <w:top w:w="0" w:type="dxa"/>
          <w:right w:w="40" w:type="dxa"/>
          <w:bottom w:w="0" w:type="dxa"/>
        </w:tblCellMar>
        <w:tblBorders/>
        <w:tblLayout w:type="fixed"/>
        <w:tblLook w:val="0000" w:firstRow="0" w:lastRow="0" w:firstColumn="0" w:lastColumn="0" w:noHBand="0" w:noVBand="0"/>
      </w:tblPr>
      <w:tblGrid>
        <w:gridCol w:w="3183"/>
        <w:gridCol w:w="2057"/>
        <w:gridCol w:w="2058"/>
        <w:gridCol w:w="2056"/>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Показатели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rFonts w:cs="Times New Roman"/>
              </w:rPr>
            </w:pPr>
            <w:r>
              <w:rPr>
                <w:rFonts w:cs="Times New Roman"/>
              </w:rPr>
              <w:t xml:space="preserve">Основное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color w:val="000000"/>
                <w:szCs w:val="20"/>
              </w:rPr>
              <w:t xml:space="preserve">Резервное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rPr>
            </w:pPr>
            <w:r>
              <w:rPr>
                <w:rFonts w:cs="Times New Roman"/>
                <w:color w:val="000000"/>
                <w:szCs w:val="20"/>
              </w:rPr>
              <w:t xml:space="preserve">Аварийное топливо</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Вид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7" w:type="dxa"/>
            <w:vAlign w:val="center"/>
          </w:tcPr>
          <w:p>
            <w:pPr>
              <w:pStyle w:val="12385"/>
              <w:pBdr/>
              <w:spacing/>
              <w:ind/>
              <w:rPr>
                <w:rFonts w:cs="Times New Roman"/>
              </w:rPr>
            </w:pPr>
            <w:r>
              <w:rPr>
                <w:rFonts w:cs="Times New Roman"/>
                <w:szCs w:val="20"/>
              </w:rPr>
              <w:t xml:space="preserve">природный газ</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нет</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нет</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Марка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7"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Поставщик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7"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Способ доставки на котельную</w:t>
            </w:r>
            <w:r>
              <w:rPr>
                <w:rFonts w:cs="Times New Roman"/>
              </w:rPr>
            </w:r>
          </w:p>
        </w:tc>
        <w:tc>
          <w:tcPr>
            <w:tcBorders>
              <w:top w:val="single" w:color="000000" w:sz="4" w:space="0"/>
              <w:left w:val="single" w:color="000000" w:sz="4" w:space="0"/>
              <w:bottom w:val="single" w:color="000000" w:sz="4" w:space="0"/>
              <w:right w:val="single" w:color="000000" w:sz="4" w:space="0"/>
            </w:tcBorders>
            <w:tcW w:w="2057"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Откуда осуществляется поставка (место)</w:t>
            </w:r>
            <w:r>
              <w:rPr>
                <w:rFonts w:cs="Times New Roman"/>
              </w:rPr>
            </w:r>
          </w:p>
        </w:tc>
        <w:tc>
          <w:tcPr>
            <w:tcBorders>
              <w:top w:val="single" w:color="000000" w:sz="4" w:space="0"/>
              <w:left w:val="single" w:color="000000" w:sz="4" w:space="0"/>
              <w:bottom w:val="single" w:color="000000" w:sz="4" w:space="0"/>
              <w:right w:val="single" w:color="000000" w:sz="4" w:space="0"/>
            </w:tcBorders>
            <w:tcW w:w="2057"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3" w:type="dxa"/>
            <w:vAlign w:val="center"/>
          </w:tcPr>
          <w:p>
            <w:pPr>
              <w:pStyle w:val="12385"/>
              <w:pBdr/>
              <w:spacing/>
              <w:ind/>
              <w:rPr>
                <w:rFonts w:cs="Times New Roman"/>
              </w:rPr>
            </w:pPr>
            <w:r>
              <w:rPr>
                <w:rFonts w:cs="Times New Roman"/>
              </w:rPr>
              <w:t xml:space="preserve">Периодичность поставки</w:t>
            </w:r>
            <w:r>
              <w:rPr>
                <w:rFonts w:cs="Times New Roman"/>
              </w:rPr>
            </w:r>
          </w:p>
        </w:tc>
        <w:tc>
          <w:tcPr>
            <w:tcBorders>
              <w:top w:val="single" w:color="000000" w:sz="4" w:space="0"/>
              <w:left w:val="single" w:color="000000" w:sz="4" w:space="0"/>
              <w:bottom w:val="single" w:color="000000" w:sz="4" w:space="0"/>
              <w:right w:val="single" w:color="000000" w:sz="4" w:space="0"/>
            </w:tcBorders>
            <w:tcW w:w="2057"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bl>
    <w:p>
      <w:pPr>
        <w:pStyle w:val="12960"/>
        <w:pBdr/>
        <w:spacing/>
        <w:ind/>
        <w:rPr/>
        <w:sectPr>
          <w:headerReference w:type="default" r:id="rId64"/>
          <w:headerReference w:type="first" r:id="rId65"/>
          <w:footerReference w:type="default" r:id="rId331"/>
          <w:footerReference w:type="first" r:id="rId332"/>
          <w:footnotePr/>
          <w:endnotePr/>
          <w:type w:val="nextPage"/>
          <w:pgSz w:h="16838" w:orient="portrait" w:w="11906"/>
          <w:pgMar w:top="1134" w:right="850" w:bottom="1134" w:left="1701" w:header="567" w:footer="454" w:gutter="0"/>
          <w:cols w:num="1" w:sep="0" w:space="1701" w:equalWidth="1"/>
        </w:sectPr>
      </w:pPr>
      <w:r/>
      <w:r/>
    </w:p>
    <w:p>
      <w:pPr>
        <w:pStyle w:val="12944"/>
        <w:pBdr/>
        <w:spacing/>
        <w:ind w:firstLine="0" w:left="0"/>
        <w:rPr>
          <w:b/>
          <w:u w:val="none"/>
        </w:rPr>
      </w:pPr>
      <w:r>
        <w:rPr>
          <w:b/>
          <w:bCs/>
          <w:u w:val="none"/>
        </w:rPr>
        <w:t xml:space="preserve">Таблица 1.8.1.2 – </w:t>
      </w:r>
      <w:r>
        <w:rPr>
          <w:b/>
          <w:u w:val="none"/>
        </w:rPr>
        <w:t xml:space="preserve">Расход основного топлива от выработки </w:t>
      </w:r>
      <w:r>
        <w:rPr>
          <w:b/>
          <w:u w:val="none"/>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201"/>
        <w:gridCol w:w="1672"/>
        <w:gridCol w:w="1646"/>
        <w:gridCol w:w="1365"/>
        <w:gridCol w:w="1219"/>
        <w:gridCol w:w="1346"/>
        <w:gridCol w:w="1370"/>
        <w:gridCol w:w="1097"/>
        <w:gridCol w:w="1369"/>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201"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1672" w:type="dxa"/>
            <w:vAlign w:val="center"/>
          </w:tcPr>
          <w:p>
            <w:pPr>
              <w:pStyle w:val="12385"/>
              <w:pBdr/>
              <w:spacing/>
              <w:ind/>
              <w:rPr/>
            </w:pPr>
            <w:r>
              <w:t xml:space="preserve">Тепловая нагрузка с учетом потерь при транспортировке и СН, Гкал/час</w:t>
            </w:r>
            <w:r/>
          </w:p>
        </w:tc>
        <w:tc>
          <w:tcPr>
            <w:shd w:val="clear" w:color="000000" w:fill="d9d9d9"/>
            <w:tcBorders>
              <w:top w:val="single" w:color="000000" w:sz="4" w:space="0"/>
              <w:bottom w:val="single" w:color="000000" w:sz="4" w:space="0"/>
              <w:right w:val="single" w:color="000000" w:sz="4" w:space="0"/>
            </w:tcBorders>
            <w:tcW w:w="1646" w:type="dxa"/>
            <w:vAlign w:val="center"/>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365" w:type="dxa"/>
            <w:vAlign w:val="center"/>
          </w:tcPr>
          <w:p>
            <w:pPr>
              <w:pStyle w:val="12385"/>
              <w:pBdr/>
              <w:spacing/>
              <w:ind/>
              <w:rPr/>
            </w:pPr>
            <w:r>
              <w:t xml:space="preserve">Объем производства тепловой энергии в год, Гкал</w:t>
            </w:r>
            <w:r/>
          </w:p>
        </w:tc>
        <w:tc>
          <w:tcPr>
            <w:shd w:val="clear" w:color="000000" w:fill="d9d9d9"/>
            <w:tcBorders>
              <w:top w:val="single" w:color="000000" w:sz="4" w:space="0"/>
              <w:bottom w:val="single" w:color="000000" w:sz="4" w:space="0"/>
              <w:right w:val="single" w:color="000000" w:sz="4" w:space="0"/>
            </w:tcBorders>
            <w:tcW w:w="1219" w:type="dxa"/>
            <w:vAlign w:val="center"/>
          </w:tcPr>
          <w:p>
            <w:pPr>
              <w:pStyle w:val="12385"/>
              <w:pBdr/>
              <w:spacing/>
              <w:ind/>
              <w:rPr/>
            </w:pPr>
            <w:r>
              <w:t xml:space="preserve">Основное топливо</w:t>
            </w:r>
            <w:r/>
          </w:p>
        </w:tc>
        <w:tc>
          <w:tcPr>
            <w:shd w:val="clear" w:color="000000" w:fill="d9d9d9"/>
            <w:tcBorders>
              <w:top w:val="single" w:color="000000" w:sz="4" w:space="0"/>
              <w:bottom w:val="single" w:color="000000" w:sz="4" w:space="0"/>
              <w:right w:val="single" w:color="000000" w:sz="4" w:space="0"/>
            </w:tcBorders>
            <w:tcW w:w="1346" w:type="dxa"/>
            <w:vAlign w:val="center"/>
          </w:tcPr>
          <w:p>
            <w:pPr>
              <w:pStyle w:val="12385"/>
              <w:pBdr/>
              <w:spacing/>
              <w:ind/>
              <w:rPr/>
            </w:pPr>
            <w:r>
              <w:t xml:space="preserve">Фактический удельный расход удельного топлива, кг.у.т./Гкал</w:t>
            </w:r>
            <w:r/>
          </w:p>
        </w:tc>
        <w:tc>
          <w:tcPr>
            <w:shd w:val="clear" w:color="000000" w:fill="d9d9d9"/>
            <w:tcBorders>
              <w:top w:val="single" w:color="000000" w:sz="4" w:space="0"/>
              <w:bottom w:val="single" w:color="000000" w:sz="4" w:space="0"/>
              <w:right w:val="single" w:color="000000" w:sz="4" w:space="0"/>
            </w:tcBorders>
            <w:tcW w:w="1370" w:type="dxa"/>
            <w:vAlign w:val="center"/>
          </w:tcPr>
          <w:p>
            <w:pPr>
              <w:pStyle w:val="12385"/>
              <w:pBdr/>
              <w:spacing/>
              <w:ind/>
              <w:rPr/>
            </w:pPr>
            <w:r>
              <w:t xml:space="preserve">Средняя теплотворная способность топлива, ккал/кг</w:t>
            </w:r>
            <w:r/>
          </w:p>
        </w:tc>
        <w:tc>
          <w:tcPr>
            <w:shd w:val="clear" w:color="000000" w:fill="d9d9d9"/>
            <w:tcBorders>
              <w:top w:val="single" w:color="000000" w:sz="4" w:space="0"/>
              <w:bottom w:val="single" w:color="000000" w:sz="4" w:space="0"/>
              <w:right w:val="single" w:color="000000" w:sz="4" w:space="0"/>
            </w:tcBorders>
            <w:tcW w:w="1097" w:type="dxa"/>
            <w:vAlign w:val="center"/>
          </w:tcPr>
          <w:p>
            <w:pPr>
              <w:pStyle w:val="12385"/>
              <w:pBdr/>
              <w:spacing/>
              <w:ind/>
              <w:rPr/>
            </w:pPr>
            <w:r>
              <w:t xml:space="preserve">Годовой расход основного топлива, т.у.т.</w:t>
            </w:r>
            <w:r/>
          </w:p>
        </w:tc>
        <w:tc>
          <w:tcPr>
            <w:shd w:val="clear" w:color="000000" w:fill="d9d9d9"/>
            <w:tcBorders>
              <w:top w:val="single" w:color="000000" w:sz="4" w:space="0"/>
              <w:bottom w:val="single" w:color="000000" w:sz="4" w:space="0"/>
              <w:right w:val="single" w:color="000000" w:sz="4" w:space="0"/>
            </w:tcBorders>
            <w:tcW w:w="1369" w:type="dxa"/>
            <w:vAlign w:val="center"/>
          </w:tcPr>
          <w:p>
            <w:pPr>
              <w:pStyle w:val="12385"/>
              <w:pBdr/>
              <w:spacing/>
              <w:ind/>
              <w:rPr>
                <w:color w:val="000000"/>
              </w:rPr>
            </w:pPr>
            <w:r>
              <w:rPr>
                <w:color w:val="000000"/>
              </w:rPr>
              <w:t xml:space="preserve">Годовой расход натурального топлива, т (тыс. м</w:t>
            </w:r>
            <w:r>
              <w:rPr>
                <w:color w:val="000000"/>
                <w:vertAlign w:val="superscript"/>
              </w:rPr>
              <w:t xml:space="preserve">3</w:t>
            </w:r>
            <w:r>
              <w:rPr>
                <w:color w:val="000000"/>
              </w:rPr>
              <w:t xml:space="preserve">, тыс. кВт*ч)</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3201"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1672" w:type="dxa"/>
            <w:vAlign w:val="center"/>
          </w:tcPr>
          <w:p>
            <w:pPr>
              <w:pStyle w:val="12385"/>
              <w:pBdr/>
              <w:spacing/>
              <w:ind/>
              <w:rPr/>
            </w:pPr>
            <w:r/>
            <w:r/>
          </w:p>
        </w:tc>
        <w:tc>
          <w:tcPr>
            <w:shd w:val="clear" w:color="000000" w:fill="ffffff"/>
            <w:tcBorders>
              <w:bottom w:val="single" w:color="000000" w:sz="4" w:space="0"/>
              <w:right w:val="single" w:color="000000" w:sz="4" w:space="0"/>
            </w:tcBorders>
            <w:tcW w:w="1646" w:type="dxa"/>
            <w:vAlign w:val="center"/>
          </w:tcPr>
          <w:p>
            <w:pPr>
              <w:pStyle w:val="12385"/>
              <w:pBdr/>
              <w:spacing/>
              <w:ind/>
              <w:rPr/>
            </w:pPr>
            <w:r/>
            <w:r/>
          </w:p>
        </w:tc>
        <w:tc>
          <w:tcPr>
            <w:shd w:val="clear" w:color="000000" w:fill="ffffff"/>
            <w:tcBorders>
              <w:bottom w:val="single" w:color="000000" w:sz="4" w:space="0"/>
              <w:right w:val="single" w:color="000000" w:sz="4" w:space="0"/>
            </w:tcBorders>
            <w:tcW w:w="1365" w:type="dxa"/>
            <w:vAlign w:val="center"/>
          </w:tcPr>
          <w:p>
            <w:pPr>
              <w:pStyle w:val="12385"/>
              <w:pBdr/>
              <w:spacing/>
              <w:ind/>
              <w:rPr/>
            </w:pPr>
            <w:r/>
            <w:r/>
          </w:p>
        </w:tc>
        <w:tc>
          <w:tcPr>
            <w:shd w:val="clear" w:color="000000" w:fill="ffffff"/>
            <w:tcBorders>
              <w:bottom w:val="single" w:color="000000" w:sz="4" w:space="0"/>
              <w:right w:val="single" w:color="000000" w:sz="4" w:space="0"/>
            </w:tcBorders>
            <w:tcW w:w="1219"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346" w:type="dxa"/>
            <w:vAlign w:val="center"/>
          </w:tcPr>
          <w:p>
            <w:pPr>
              <w:pStyle w:val="12385"/>
              <w:pBdr/>
              <w:spacing/>
              <w:ind/>
              <w:rPr/>
            </w:pPr>
            <w:r/>
            <w:r/>
          </w:p>
        </w:tc>
        <w:tc>
          <w:tcPr>
            <w:shd w:val="clear" w:color="000000" w:fill="ffffff"/>
            <w:tcBorders>
              <w:bottom w:val="single" w:color="000000" w:sz="4" w:space="0"/>
              <w:right w:val="single" w:color="000000" w:sz="4" w:space="0"/>
            </w:tcBorders>
            <w:tcW w:w="1370" w:type="dxa"/>
            <w:vAlign w:val="center"/>
          </w:tcPr>
          <w:p>
            <w:pPr>
              <w:pStyle w:val="12385"/>
              <w:pBdr/>
              <w:spacing/>
              <w:ind/>
              <w:rPr/>
            </w:pPr>
            <w:r/>
            <w:r/>
          </w:p>
        </w:tc>
        <w:tc>
          <w:tcPr>
            <w:shd w:val="clear" w:color="000000" w:fill="ffffff"/>
            <w:tcBorders>
              <w:right w:val="single" w:color="000000" w:sz="4" w:space="0"/>
            </w:tcBorders>
            <w:tcW w:w="1097" w:type="dxa"/>
            <w:vAlign w:val="center"/>
          </w:tcPr>
          <w:p>
            <w:pPr>
              <w:pStyle w:val="12385"/>
              <w:pBdr/>
              <w:spacing/>
              <w:ind/>
              <w:rPr/>
            </w:pPr>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201" w:type="dxa"/>
            <w:vAlign w:val="center"/>
          </w:tcPr>
          <w:p>
            <w:pPr>
              <w:pStyle w:val="12385"/>
              <w:pBdr/>
              <w:spacing/>
              <w:ind/>
              <w:rPr/>
            </w:pPr>
            <w:r>
              <w:rPr>
                <w:szCs w:val="20"/>
              </w:rPr>
              <w:t xml:space="preserve">Котельная №5 д. Ясенки</w:t>
            </w:r>
            <w:r/>
          </w:p>
        </w:tc>
        <w:tc>
          <w:tcPr>
            <w:shd w:val="clear" w:color="000000" w:fill="ffffff"/>
            <w:tcBorders>
              <w:bottom w:val="single" w:color="000000" w:sz="4" w:space="0"/>
              <w:right w:val="single" w:color="000000" w:sz="4" w:space="0"/>
            </w:tcBorders>
            <w:tcW w:w="1672" w:type="dxa"/>
            <w:vAlign w:val="center"/>
          </w:tcPr>
          <w:p>
            <w:pPr>
              <w:pStyle w:val="12385"/>
              <w:pBdr/>
              <w:spacing/>
              <w:ind/>
              <w:rPr/>
            </w:pPr>
            <w:r>
              <w:rPr>
                <w:szCs w:val="20"/>
              </w:rPr>
              <w:t xml:space="preserve">0,055</w:t>
            </w:r>
            <w:r/>
          </w:p>
        </w:tc>
        <w:tc>
          <w:tcPr>
            <w:shd w:val="clear" w:color="000000" w:fill="ffffff"/>
            <w:tcBorders>
              <w:bottom w:val="single" w:color="000000" w:sz="4" w:space="0"/>
              <w:right w:val="single" w:color="000000" w:sz="4" w:space="0"/>
            </w:tcBorders>
            <w:tcW w:w="1646" w:type="dxa"/>
            <w:vAlign w:val="center"/>
          </w:tcPr>
          <w:p>
            <w:pPr>
              <w:pStyle w:val="12385"/>
              <w:pBdr/>
              <w:spacing/>
              <w:ind/>
              <w:rPr/>
            </w:pPr>
            <w:r>
              <w:rPr>
                <w:szCs w:val="20"/>
              </w:rPr>
              <w:t xml:space="preserve">0,050</w:t>
            </w:r>
            <w:r/>
          </w:p>
        </w:tc>
        <w:tc>
          <w:tcPr>
            <w:shd w:val="clear" w:color="000000" w:fill="ffffff"/>
            <w:tcBorders>
              <w:bottom w:val="single" w:color="000000" w:sz="4" w:space="0"/>
              <w:right w:val="single" w:color="000000" w:sz="4" w:space="0"/>
            </w:tcBorders>
            <w:tcW w:w="1365" w:type="dxa"/>
            <w:vAlign w:val="center"/>
          </w:tcPr>
          <w:p>
            <w:pPr>
              <w:pStyle w:val="12385"/>
              <w:pBdr/>
              <w:spacing/>
              <w:ind/>
              <w:rPr/>
            </w:pPr>
            <w:r>
              <w:rPr>
                <w:szCs w:val="20"/>
              </w:rPr>
              <w:t xml:space="preserve">118,577</w:t>
            </w:r>
            <w:r/>
          </w:p>
        </w:tc>
        <w:tc>
          <w:tcPr>
            <w:tcBorders>
              <w:bottom w:val="single" w:color="000000" w:sz="4" w:space="0"/>
              <w:right w:val="single" w:color="000000" w:sz="4" w:space="0"/>
            </w:tcBorders>
            <w:tcW w:w="1219" w:type="dxa"/>
            <w:vAlign w:val="center"/>
          </w:tcPr>
          <w:p>
            <w:pPr>
              <w:pStyle w:val="12385"/>
              <w:pBdr/>
              <w:spacing/>
              <w:ind/>
              <w:rPr/>
            </w:pPr>
            <w:r>
              <w:rPr>
                <w:szCs w:val="20"/>
              </w:rPr>
              <w:t xml:space="preserve">Природный газ</w:t>
            </w:r>
            <w:r/>
          </w:p>
        </w:tc>
        <w:tc>
          <w:tcPr>
            <w:tcBorders>
              <w:bottom w:val="single" w:color="000000" w:sz="4" w:space="0"/>
              <w:right w:val="single" w:color="000000" w:sz="4" w:space="0"/>
            </w:tcBorders>
            <w:tcW w:w="1346" w:type="dxa"/>
            <w:vAlign w:val="center"/>
          </w:tcPr>
          <w:p>
            <w:pPr>
              <w:pStyle w:val="12385"/>
              <w:pBdr/>
              <w:spacing/>
              <w:ind/>
              <w:rPr/>
            </w:pPr>
            <w:r>
              <w:rPr>
                <w:szCs w:val="20"/>
              </w:rPr>
              <w:t xml:space="preserve">112,42</w:t>
            </w:r>
            <w:r/>
          </w:p>
        </w:tc>
        <w:tc>
          <w:tcPr>
            <w:tcBorders>
              <w:bottom w:val="single" w:color="000000" w:sz="4" w:space="0"/>
              <w:right w:val="single" w:color="000000" w:sz="4" w:space="0"/>
            </w:tcBorders>
            <w:tcW w:w="1370" w:type="dxa"/>
            <w:vAlign w:val="center"/>
          </w:tcPr>
          <w:p>
            <w:pPr>
              <w:pStyle w:val="12385"/>
              <w:pBdr/>
              <w:spacing/>
              <w:ind/>
              <w:rPr/>
            </w:pPr>
            <w:r>
              <w:t xml:space="preserve">8312</w:t>
            </w:r>
            <w:r/>
          </w:p>
        </w:tc>
        <w:tc>
          <w:tcPr>
            <w:tcBorders>
              <w:top w:val="single" w:color="000000" w:sz="4" w:space="0"/>
              <w:bottom w:val="single" w:color="000000" w:sz="4" w:space="0"/>
              <w:right w:val="single" w:color="000000" w:sz="4" w:space="0"/>
            </w:tcBorders>
            <w:tcW w:w="1097" w:type="dxa"/>
            <w:vAlign w:val="center"/>
          </w:tcPr>
          <w:p>
            <w:pPr>
              <w:pStyle w:val="12385"/>
              <w:pBdr/>
              <w:spacing/>
              <w:ind/>
              <w:rPr/>
            </w:pPr>
            <w:r>
              <w:rPr>
                <w:szCs w:val="20"/>
              </w:rPr>
              <w:t xml:space="preserve">13,32995</w:t>
            </w:r>
            <w:r/>
          </w:p>
        </w:tc>
        <w:tc>
          <w:tcPr>
            <w:tcBorders>
              <w:bottom w:val="single" w:color="000000" w:sz="4" w:space="0"/>
              <w:right w:val="single" w:color="000000" w:sz="4" w:space="0"/>
            </w:tcBorders>
            <w:tcW w:w="1369" w:type="dxa"/>
            <w:vAlign w:val="center"/>
          </w:tcPr>
          <w:p>
            <w:pPr>
              <w:pStyle w:val="12385"/>
              <w:pBdr/>
              <w:spacing/>
              <w:ind/>
              <w:rPr/>
            </w:pPr>
            <w:r>
              <w:rPr>
                <w:szCs w:val="20"/>
              </w:rPr>
              <w:t xml:space="preserve">11,23100</w:t>
            </w:r>
            <w:r/>
          </w:p>
        </w:tc>
      </w:tr>
      <w:tr>
        <w:trPr>
          <w:trHeight w:val="20"/>
        </w:trPr>
        <w:tc>
          <w:tcPr>
            <w:shd w:val="clear" w:color="000000" w:fill="ffffff"/>
            <w:tcBorders>
              <w:left w:val="single" w:color="000000" w:sz="4" w:space="0"/>
              <w:bottom w:val="single" w:color="000000" w:sz="4" w:space="0"/>
              <w:right w:val="single" w:color="000000" w:sz="4" w:space="0"/>
            </w:tcBorders>
            <w:tcW w:w="3201" w:type="dxa"/>
            <w:vAlign w:val="center"/>
          </w:tcPr>
          <w:p>
            <w:pPr>
              <w:pStyle w:val="12385"/>
              <w:pBdr/>
              <w:spacing/>
              <w:ind/>
              <w:rPr/>
            </w:pPr>
            <w:r>
              <w:rPr>
                <w:szCs w:val="20"/>
              </w:rPr>
              <w:t xml:space="preserve">Котельная №6 п. Первомайский</w:t>
            </w:r>
            <w:r/>
          </w:p>
        </w:tc>
        <w:tc>
          <w:tcPr>
            <w:shd w:val="clear" w:color="000000" w:fill="ffffff"/>
            <w:tcBorders>
              <w:bottom w:val="single" w:color="000000" w:sz="4" w:space="0"/>
              <w:right w:val="single" w:color="000000" w:sz="4" w:space="0"/>
            </w:tcBorders>
            <w:tcW w:w="1672" w:type="dxa"/>
            <w:vAlign w:val="center"/>
          </w:tcPr>
          <w:p>
            <w:pPr>
              <w:pStyle w:val="12385"/>
              <w:pBdr/>
              <w:spacing/>
              <w:ind/>
              <w:rPr/>
            </w:pPr>
            <w:r>
              <w:rPr>
                <w:szCs w:val="20"/>
              </w:rPr>
              <w:t xml:space="preserve">0,131</w:t>
            </w:r>
            <w:r/>
          </w:p>
        </w:tc>
        <w:tc>
          <w:tcPr>
            <w:shd w:val="clear" w:color="000000" w:fill="ffffff"/>
            <w:tcBorders>
              <w:bottom w:val="single" w:color="000000" w:sz="4" w:space="0"/>
              <w:right w:val="single" w:color="000000" w:sz="4" w:space="0"/>
            </w:tcBorders>
            <w:tcW w:w="1646" w:type="dxa"/>
            <w:vAlign w:val="center"/>
          </w:tcPr>
          <w:p>
            <w:pPr>
              <w:pStyle w:val="12385"/>
              <w:pBdr/>
              <w:spacing/>
              <w:ind/>
              <w:rPr/>
            </w:pPr>
            <w:r>
              <w:rPr>
                <w:szCs w:val="20"/>
              </w:rPr>
              <w:t xml:space="preserve">0,120</w:t>
            </w:r>
            <w:r/>
          </w:p>
        </w:tc>
        <w:tc>
          <w:tcPr>
            <w:shd w:val="clear" w:color="000000" w:fill="ffffff"/>
            <w:tcBorders>
              <w:bottom w:val="single" w:color="000000" w:sz="4" w:space="0"/>
              <w:right w:val="single" w:color="000000" w:sz="4" w:space="0"/>
            </w:tcBorders>
            <w:tcW w:w="1365" w:type="dxa"/>
            <w:vAlign w:val="center"/>
          </w:tcPr>
          <w:p>
            <w:pPr>
              <w:pStyle w:val="12385"/>
              <w:pBdr/>
              <w:spacing/>
              <w:ind/>
              <w:rPr/>
            </w:pPr>
            <w:r>
              <w:rPr>
                <w:szCs w:val="20"/>
              </w:rPr>
              <w:t xml:space="preserve">316,156</w:t>
            </w:r>
            <w:r/>
          </w:p>
        </w:tc>
        <w:tc>
          <w:tcPr>
            <w:tcBorders>
              <w:bottom w:val="single" w:color="000000" w:sz="4" w:space="0"/>
              <w:right w:val="single" w:color="000000" w:sz="4" w:space="0"/>
            </w:tcBorders>
            <w:tcW w:w="1219" w:type="dxa"/>
            <w:vAlign w:val="center"/>
          </w:tcPr>
          <w:p>
            <w:pPr>
              <w:pStyle w:val="12385"/>
              <w:pBdr/>
              <w:spacing/>
              <w:ind/>
              <w:rPr/>
            </w:pPr>
            <w:r>
              <w:rPr>
                <w:szCs w:val="20"/>
              </w:rPr>
              <w:t xml:space="preserve">Природный газ</w:t>
            </w:r>
            <w:r/>
          </w:p>
        </w:tc>
        <w:tc>
          <w:tcPr>
            <w:tcBorders>
              <w:bottom w:val="single" w:color="000000" w:sz="4" w:space="0"/>
              <w:right w:val="single" w:color="000000" w:sz="4" w:space="0"/>
            </w:tcBorders>
            <w:tcW w:w="1346" w:type="dxa"/>
            <w:vAlign w:val="center"/>
          </w:tcPr>
          <w:p>
            <w:pPr>
              <w:pStyle w:val="12385"/>
              <w:pBdr/>
              <w:spacing/>
              <w:ind/>
              <w:rPr/>
            </w:pPr>
            <w:r>
              <w:rPr>
                <w:szCs w:val="20"/>
              </w:rPr>
              <w:t xml:space="preserve">139,53</w:t>
            </w:r>
            <w:r/>
          </w:p>
        </w:tc>
        <w:tc>
          <w:tcPr>
            <w:tcBorders>
              <w:bottom w:val="single" w:color="000000" w:sz="4" w:space="0"/>
              <w:right w:val="single" w:color="000000" w:sz="4" w:space="0"/>
            </w:tcBorders>
            <w:tcW w:w="1370" w:type="dxa"/>
            <w:vAlign w:val="center"/>
          </w:tcPr>
          <w:p>
            <w:pPr>
              <w:pStyle w:val="12385"/>
              <w:pBdr/>
              <w:spacing/>
              <w:ind/>
              <w:rPr/>
            </w:pPr>
            <w:r>
              <w:t xml:space="preserve">8312</w:t>
            </w:r>
            <w:r/>
          </w:p>
        </w:tc>
        <w:tc>
          <w:tcPr>
            <w:tcBorders>
              <w:bottom w:val="single" w:color="000000" w:sz="4" w:space="0"/>
              <w:right w:val="single" w:color="000000" w:sz="4" w:space="0"/>
            </w:tcBorders>
            <w:tcW w:w="1097" w:type="dxa"/>
            <w:vAlign w:val="center"/>
          </w:tcPr>
          <w:p>
            <w:pPr>
              <w:pStyle w:val="12385"/>
              <w:pBdr/>
              <w:spacing/>
              <w:ind/>
              <w:rPr/>
            </w:pPr>
            <w:r>
              <w:rPr>
                <w:szCs w:val="20"/>
              </w:rPr>
              <w:t xml:space="preserve">44,11332</w:t>
            </w:r>
            <w:r/>
          </w:p>
        </w:tc>
        <w:tc>
          <w:tcPr>
            <w:tcBorders>
              <w:bottom w:val="single" w:color="000000" w:sz="4" w:space="0"/>
              <w:right w:val="single" w:color="000000" w:sz="4" w:space="0"/>
            </w:tcBorders>
            <w:tcW w:w="1369" w:type="dxa"/>
            <w:vAlign w:val="center"/>
          </w:tcPr>
          <w:p>
            <w:pPr>
              <w:pStyle w:val="12385"/>
              <w:pBdr/>
              <w:spacing/>
              <w:ind/>
              <w:rPr/>
            </w:pPr>
            <w:r>
              <w:rPr>
                <w:szCs w:val="20"/>
              </w:rPr>
              <w:t xml:space="preserve">37,17200</w:t>
            </w:r>
            <w:r/>
          </w:p>
        </w:tc>
      </w:tr>
      <w:tr>
        <w:trPr>
          <w:trHeight w:val="20"/>
        </w:trPr>
        <w:tc>
          <w:tcPr>
            <w:shd w:val="clear" w:color="000000" w:fill="ffffff"/>
            <w:tcBorders>
              <w:left w:val="single" w:color="000000" w:sz="4" w:space="0"/>
              <w:bottom w:val="single" w:color="000000" w:sz="4" w:space="0"/>
              <w:right w:val="single" w:color="000000" w:sz="4" w:space="0"/>
            </w:tcBorders>
            <w:tcW w:w="3201" w:type="dxa"/>
            <w:vAlign w:val="center"/>
          </w:tcPr>
          <w:p>
            <w:pPr>
              <w:pStyle w:val="12385"/>
              <w:pBdr/>
              <w:spacing/>
              <w:ind/>
              <w:rPr/>
            </w:pPr>
            <w:r>
              <w:rPr>
                <w:szCs w:val="20"/>
              </w:rPr>
              <w:t xml:space="preserve">Котельная №7 с. Белый Колодезь</w:t>
            </w:r>
            <w:r/>
          </w:p>
        </w:tc>
        <w:tc>
          <w:tcPr>
            <w:shd w:val="clear" w:color="000000" w:fill="ffffff"/>
            <w:tcBorders>
              <w:bottom w:val="single" w:color="000000" w:sz="4" w:space="0"/>
              <w:right w:val="single" w:color="000000" w:sz="4" w:space="0"/>
            </w:tcBorders>
            <w:tcW w:w="1672" w:type="dxa"/>
            <w:vAlign w:val="center"/>
          </w:tcPr>
          <w:p>
            <w:pPr>
              <w:pStyle w:val="12385"/>
              <w:pBdr/>
              <w:spacing/>
              <w:ind/>
              <w:rPr/>
            </w:pPr>
            <w:r>
              <w:rPr>
                <w:szCs w:val="20"/>
              </w:rPr>
              <w:t xml:space="preserve">0,074</w:t>
            </w:r>
            <w:r/>
          </w:p>
        </w:tc>
        <w:tc>
          <w:tcPr>
            <w:shd w:val="clear" w:color="000000" w:fill="ffffff"/>
            <w:tcBorders>
              <w:bottom w:val="single" w:color="000000" w:sz="4" w:space="0"/>
              <w:right w:val="single" w:color="000000" w:sz="4" w:space="0"/>
            </w:tcBorders>
            <w:tcW w:w="1646" w:type="dxa"/>
            <w:vAlign w:val="center"/>
          </w:tcPr>
          <w:p>
            <w:pPr>
              <w:pStyle w:val="12385"/>
              <w:pBdr/>
              <w:spacing/>
              <w:ind/>
              <w:rPr/>
            </w:pPr>
            <w:r>
              <w:rPr>
                <w:szCs w:val="20"/>
              </w:rPr>
              <w:t xml:space="preserve">0,070</w:t>
            </w:r>
            <w:r/>
          </w:p>
        </w:tc>
        <w:tc>
          <w:tcPr>
            <w:shd w:val="clear" w:color="000000" w:fill="ffffff"/>
            <w:tcBorders>
              <w:bottom w:val="single" w:color="000000" w:sz="4" w:space="0"/>
              <w:right w:val="single" w:color="000000" w:sz="4" w:space="0"/>
            </w:tcBorders>
            <w:tcW w:w="1365" w:type="dxa"/>
            <w:vAlign w:val="center"/>
          </w:tcPr>
          <w:p>
            <w:pPr>
              <w:pStyle w:val="12385"/>
              <w:pBdr/>
              <w:spacing/>
              <w:ind/>
              <w:rPr/>
            </w:pPr>
            <w:r>
              <w:rPr>
                <w:szCs w:val="20"/>
              </w:rPr>
              <w:t xml:space="preserve">159,960</w:t>
            </w:r>
            <w:r/>
          </w:p>
        </w:tc>
        <w:tc>
          <w:tcPr>
            <w:tcBorders>
              <w:bottom w:val="single" w:color="000000" w:sz="4" w:space="0"/>
              <w:right w:val="single" w:color="000000" w:sz="4" w:space="0"/>
            </w:tcBorders>
            <w:tcW w:w="1219" w:type="dxa"/>
            <w:vAlign w:val="center"/>
          </w:tcPr>
          <w:p>
            <w:pPr>
              <w:pStyle w:val="12385"/>
              <w:pBdr/>
              <w:spacing/>
              <w:ind/>
              <w:rPr/>
            </w:pPr>
            <w:r>
              <w:rPr>
                <w:szCs w:val="20"/>
              </w:rPr>
              <w:t xml:space="preserve">Природный газ</w:t>
            </w:r>
            <w:r/>
          </w:p>
        </w:tc>
        <w:tc>
          <w:tcPr>
            <w:tcBorders>
              <w:bottom w:val="single" w:color="000000" w:sz="4" w:space="0"/>
              <w:right w:val="single" w:color="000000" w:sz="4" w:space="0"/>
            </w:tcBorders>
            <w:tcW w:w="1346" w:type="dxa"/>
            <w:vAlign w:val="center"/>
          </w:tcPr>
          <w:p>
            <w:pPr>
              <w:pStyle w:val="12385"/>
              <w:pBdr/>
              <w:spacing/>
              <w:ind/>
              <w:rPr/>
            </w:pPr>
            <w:r>
              <w:rPr>
                <w:szCs w:val="20"/>
              </w:rPr>
              <w:t xml:space="preserve">153,52</w:t>
            </w:r>
            <w:r/>
          </w:p>
        </w:tc>
        <w:tc>
          <w:tcPr>
            <w:tcBorders>
              <w:bottom w:val="single" w:color="000000" w:sz="4" w:space="0"/>
              <w:right w:val="single" w:color="000000" w:sz="4" w:space="0"/>
            </w:tcBorders>
            <w:tcW w:w="1370" w:type="dxa"/>
            <w:vAlign w:val="center"/>
          </w:tcPr>
          <w:p>
            <w:pPr>
              <w:pStyle w:val="12385"/>
              <w:pBdr/>
              <w:spacing/>
              <w:ind/>
              <w:rPr/>
            </w:pPr>
            <w:r>
              <w:t xml:space="preserve">8312</w:t>
            </w:r>
            <w:r/>
          </w:p>
        </w:tc>
        <w:tc>
          <w:tcPr>
            <w:tcBorders>
              <w:bottom w:val="single" w:color="000000" w:sz="4" w:space="0"/>
              <w:right w:val="single" w:color="000000" w:sz="4" w:space="0"/>
            </w:tcBorders>
            <w:tcW w:w="1097" w:type="dxa"/>
            <w:vAlign w:val="center"/>
          </w:tcPr>
          <w:p>
            <w:pPr>
              <w:pStyle w:val="12385"/>
              <w:pBdr/>
              <w:spacing/>
              <w:ind/>
              <w:rPr/>
            </w:pPr>
            <w:r>
              <w:rPr>
                <w:szCs w:val="20"/>
              </w:rPr>
              <w:t xml:space="preserve">24,55639</w:t>
            </w:r>
            <w:r/>
          </w:p>
        </w:tc>
        <w:tc>
          <w:tcPr>
            <w:tcBorders>
              <w:bottom w:val="single" w:color="000000" w:sz="4" w:space="0"/>
              <w:right w:val="single" w:color="000000" w:sz="4" w:space="0"/>
            </w:tcBorders>
            <w:tcW w:w="1369" w:type="dxa"/>
            <w:vAlign w:val="center"/>
          </w:tcPr>
          <w:p>
            <w:pPr>
              <w:pStyle w:val="12385"/>
              <w:pBdr/>
              <w:spacing/>
              <w:ind/>
              <w:rPr/>
            </w:pPr>
            <w:r>
              <w:rPr>
                <w:szCs w:val="20"/>
              </w:rPr>
              <w:t xml:space="preserve">20,68800</w:t>
            </w:r>
            <w:r/>
          </w:p>
        </w:tc>
      </w:tr>
    </w:tbl>
    <w:p>
      <w:pPr>
        <w:pStyle w:val="12960"/>
        <w:pBdr/>
        <w:spacing/>
        <w:ind/>
        <w:rPr/>
      </w:pPr>
      <w:r/>
      <w:r/>
    </w:p>
    <w:p>
      <w:pPr>
        <w:pStyle w:val="12960"/>
        <w:pBdr/>
        <w:spacing/>
        <w:ind/>
        <w:rPr/>
        <w:sectPr>
          <w:headerReference w:type="default" r:id="rId66"/>
          <w:headerReference w:type="first" r:id="rId67"/>
          <w:footerReference w:type="default" r:id="rId333"/>
          <w:footerReference w:type="first" r:id="rId334"/>
          <w:footnotePr/>
          <w:endnotePr/>
          <w:type w:val="nextPage"/>
          <w:pgSz w:h="11906" w:orient="landscape" w:w="16838"/>
          <w:pgMar w:top="1134" w:right="850" w:bottom="1134" w:left="1701" w:header="454" w:footer="454" w:gutter="0"/>
          <w:cols w:num="1" w:sep="0" w:space="1701" w:equalWidth="1"/>
        </w:sectPr>
      </w:pPr>
      <w:r>
        <w:t xml:space="preserve">Обеспечение топливом производится надлежащим образом в соответствии с действующими нормативными документами.</w:t>
      </w:r>
      <w:r/>
    </w:p>
    <w:p>
      <w:pPr>
        <w:pStyle w:val="10535"/>
        <w:keepNext w:val="true"/>
        <w:widowControl w:val="true"/>
        <w:numPr>
          <w:ilvl w:val="1"/>
          <w:numId w:val="13"/>
        </w:numPr>
        <w:pBdr/>
        <w:bidi w:val="false"/>
        <w:spacing w:after="0" w:before="0" w:line="240" w:lineRule="auto"/>
        <w:ind w:right="0" w:hanging="737" w:left="737"/>
        <w:jc w:val="center"/>
        <w:rPr>
          <w:rFonts w:eastAsia="Calibri" w:cs="Times New Roman"/>
          <w:bCs/>
          <w:szCs w:val="24"/>
          <w:lang w:bidi="ar-SA"/>
        </w:rPr>
      </w:pPr>
      <w:r/>
      <w:bookmarkStart w:id="417" w:name="_Toc515271638"/>
      <w:r/>
      <w:bookmarkStart w:id="418" w:name="_Toc78674743"/>
      <w:r/>
      <w:bookmarkStart w:id="419" w:name="_Toc198483536"/>
      <w:r/>
      <w:bookmarkStart w:id="420" w:name="_Toc84970980"/>
      <w:r/>
      <w:bookmarkStart w:id="421" w:name="_Toc166767196"/>
      <w:r>
        <w:rPr>
          <w:rFonts w:cs="Times New Roman"/>
        </w:rPr>
        <w:t xml:space="preserve">Описание видов резервного и аварийного топлива и возможности их обеспечения в соответствии с нормативными требованиями</w:t>
      </w:r>
      <w:bookmarkEnd w:id="417"/>
      <w:r/>
      <w:bookmarkEnd w:id="418"/>
      <w:r/>
      <w:bookmarkEnd w:id="419"/>
      <w:r/>
      <w:bookmarkEnd w:id="420"/>
      <w:r/>
      <w:bookmarkEnd w:id="421"/>
      <w:r/>
      <w:r>
        <w:rPr>
          <w:rFonts w:eastAsia="Calibri" w:cs="Times New Roman"/>
          <w:bCs/>
          <w:szCs w:val="24"/>
          <w:lang w:bidi="ar-SA"/>
        </w:rPr>
      </w:r>
    </w:p>
    <w:p>
      <w:pPr>
        <w:pStyle w:val="12960"/>
        <w:pBdr/>
        <w:spacing/>
        <w:ind/>
        <w:rPr/>
      </w:pPr>
      <w:r/>
      <w:r/>
    </w:p>
    <w:p>
      <w:pPr>
        <w:pStyle w:val="12960"/>
        <w:pBdr/>
        <w:spacing/>
        <w:ind/>
        <w:rPr>
          <w:lang w:eastAsia="ru-RU"/>
        </w:rPr>
      </w:pPr>
      <w:r>
        <w:t xml:space="preserve">Аварийное топливо на всех котельных на территории муниципального образования Астаповское не предусмотрено.</w:t>
      </w:r>
      <w:r>
        <w:rPr>
          <w:lang w:eastAsia="ru-RU"/>
        </w:rPr>
        <w:t xml:space="preserve"> </w:t>
      </w:r>
      <w:r>
        <w:rPr>
          <w:lang w:eastAsia="ru-RU"/>
        </w:rPr>
      </w:r>
    </w:p>
    <w:p>
      <w:pPr>
        <w:pStyle w:val="12960"/>
        <w:pBdr/>
        <w:spacing/>
        <w:ind/>
        <w:rPr>
          <w:b/>
          <w:bCs w:val="0"/>
        </w:rPr>
      </w:pPr>
      <w:r/>
      <w:bookmarkStart w:id="422" w:name="_Hlk212774203"/>
      <w:r>
        <w:rPr>
          <w:b/>
          <w:bCs w:val="0"/>
        </w:rPr>
        <w:t xml:space="preserve">Таблица 1.8.2.1 – Вид и количество используемого резервного топлива для каждого источника тепловой энергии</w:t>
      </w:r>
      <w:bookmarkEnd w:id="422"/>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748"/>
        <w:gridCol w:w="2137"/>
        <w:gridCol w:w="1457"/>
        <w:gridCol w:w="1557"/>
        <w:gridCol w:w="1456"/>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748"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2137" w:type="dxa"/>
            <w:vAlign w:val="center"/>
          </w:tcPr>
          <w:p>
            <w:pPr>
              <w:pStyle w:val="12385"/>
              <w:pBdr/>
              <w:spacing/>
              <w:ind/>
              <w:rPr/>
            </w:pPr>
            <w:r>
              <w:t xml:space="preserve">Максимально-часовой расход топлива, т.у.т./час</w:t>
            </w:r>
            <w:r/>
          </w:p>
        </w:tc>
        <w:tc>
          <w:tcPr>
            <w:shd w:val="clear" w:color="000000" w:fill="d9d9d9"/>
            <w:tcBorders>
              <w:top w:val="single" w:color="000000" w:sz="4" w:space="0"/>
              <w:bottom w:val="single" w:color="000000" w:sz="4" w:space="0"/>
              <w:right w:val="single" w:color="000000" w:sz="4" w:space="0"/>
            </w:tcBorders>
            <w:tcW w:w="1457" w:type="dxa"/>
            <w:vAlign w:val="center"/>
          </w:tcPr>
          <w:p>
            <w:pPr>
              <w:pStyle w:val="12385"/>
              <w:pBdr/>
              <w:spacing/>
              <w:ind/>
              <w:rPr/>
            </w:pPr>
            <w:r>
              <w:t xml:space="preserve">Максимально-часовой расход топлива, т (тыс. м</w:t>
            </w:r>
            <w:r>
              <w:rPr>
                <w:vertAlign w:val="superscript"/>
              </w:rPr>
              <w:t xml:space="preserve">3</w:t>
            </w:r>
            <w:r>
              <w:t xml:space="preserve">, тыс. кВт*ч)/час</w:t>
            </w:r>
            <w:r/>
          </w:p>
        </w:tc>
        <w:tc>
          <w:tcPr>
            <w:shd w:val="clear" w:color="000000" w:fill="d9d9d9"/>
            <w:tcBorders>
              <w:top w:val="single" w:color="000000" w:sz="4" w:space="0"/>
              <w:bottom w:val="single" w:color="000000" w:sz="4" w:space="0"/>
              <w:right w:val="single" w:color="000000" w:sz="4" w:space="0"/>
            </w:tcBorders>
            <w:tcW w:w="1557" w:type="dxa"/>
            <w:vAlign w:val="center"/>
          </w:tcPr>
          <w:p>
            <w:pPr>
              <w:pStyle w:val="12385"/>
              <w:pBdr/>
              <w:spacing/>
              <w:ind/>
              <w:rPr/>
            </w:pPr>
            <w:r>
              <w:t xml:space="preserve">Расход топлива за сутки, т (тыс. м</w:t>
            </w:r>
            <w:r>
              <w:rPr>
                <w:vertAlign w:val="superscript"/>
              </w:rPr>
              <w:t xml:space="preserve">3</w:t>
            </w:r>
            <w:r>
              <w:t xml:space="preserve">, тыс. кВт*ч)/сут)</w:t>
            </w:r>
            <w:r/>
          </w:p>
        </w:tc>
        <w:tc>
          <w:tcPr>
            <w:shd w:val="clear" w:color="000000" w:fill="d9d9d9"/>
            <w:tcBorders>
              <w:top w:val="single" w:color="000000" w:sz="4" w:space="0"/>
              <w:bottom w:val="single" w:color="000000" w:sz="4" w:space="0"/>
              <w:right w:val="single" w:color="000000" w:sz="4" w:space="0"/>
            </w:tcBorders>
            <w:tcW w:w="1456" w:type="dxa"/>
            <w:vAlign w:val="center"/>
          </w:tcPr>
          <w:p>
            <w:pPr>
              <w:pStyle w:val="12385"/>
              <w:pBdr/>
              <w:spacing/>
              <w:ind/>
              <w:rPr/>
            </w:pPr>
            <w:r>
              <w:t xml:space="preserve">Аварийный запас топлива, т (тыс. м</w:t>
            </w:r>
            <w:r>
              <w:rPr>
                <w:vertAlign w:val="superscript"/>
              </w:rPr>
              <w:t xml:space="preserve">3</w:t>
            </w:r>
            <w:r>
              <w:t xml:space="preserve">, тыс. кВт*ч)</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2025 год</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rPr>
                <w:szCs w:val="20"/>
              </w:rPr>
              <w:t xml:space="preserve">Котельная №5 д. Ясенки</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rPr>
                <w:szCs w:val="20"/>
              </w:rPr>
              <w:t xml:space="preserve">0,00314</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rPr>
                <w:szCs w:val="20"/>
              </w:rPr>
              <w:t xml:space="preserve">0,00265</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rPr>
                <w:szCs w:val="20"/>
              </w:rPr>
              <w:t xml:space="preserve">0,06357</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rPr>
                <w:szCs w:val="20"/>
              </w:rP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rPr>
                <w:szCs w:val="20"/>
              </w:rPr>
              <w:t xml:space="preserve">Котельная №6 п. Первомайский</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rPr>
                <w:szCs w:val="20"/>
              </w:rPr>
              <w:t xml:space="preserve">0,01040</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rPr>
                <w:szCs w:val="20"/>
              </w:rPr>
              <w:t xml:space="preserve">0,00877</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rPr>
                <w:szCs w:val="20"/>
              </w:rPr>
              <w:t xml:space="preserve">0,21041</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rPr>
                <w:szCs w:val="20"/>
              </w:rP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rPr>
                <w:szCs w:val="20"/>
              </w:rPr>
              <w:t xml:space="preserve">Котельная №7 с. Белый Колодезь</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rPr>
                <w:szCs w:val="20"/>
              </w:rPr>
              <w:t xml:space="preserve">0,00579</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rPr>
                <w:szCs w:val="20"/>
              </w:rPr>
              <w:t xml:space="preserve">0,00488</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rPr>
                <w:szCs w:val="20"/>
              </w:rPr>
              <w:t xml:space="preserve">0,11710</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rPr>
                <w:szCs w:val="20"/>
              </w:rPr>
              <w:t xml:space="preserve">-</w:t>
            </w:r>
            <w:r/>
          </w:p>
        </w:tc>
      </w:tr>
    </w:tbl>
    <w:p>
      <w:pPr>
        <w:pStyle w:val="12960"/>
        <w:pBdr/>
        <w:spacing/>
        <w:ind/>
        <w:rPr>
          <w:b/>
          <w:bCs w:val="0"/>
        </w:rPr>
      </w:pPr>
      <w:r>
        <w:rPr>
          <w:b/>
          <w:bCs w:val="0"/>
        </w:rPr>
      </w:r>
      <w:r>
        <w:rPr>
          <w:b/>
          <w:bCs w:val="0"/>
        </w:rPr>
      </w:r>
    </w:p>
    <w:p>
      <w:pPr>
        <w:pStyle w:val="12960"/>
        <w:pBdr/>
        <w:spacing/>
        <w:ind/>
        <w:rPr/>
      </w:pPr>
      <w:r>
        <w:t xml:space="preserve">Объемы запасов топлива выдерживаются в соответствии с порядком создания и использования котельными запасов топлива. Норматив создания запасов топлива на котельной является общим нормативным запасом основного и резервного видов топлива (далее - ОНЗТ) и </w:t>
      </w:r>
      <w:r>
        <w:t xml:space="preserve">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w:t>
      </w:r>
      <w:r>
        <w:t xml:space="preserve">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w:t>
      </w:r>
      <w:r>
        <w:t xml:space="preserve">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w:t>
      </w:r>
      <w:r>
        <w:t xml:space="preserve">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w:t>
      </w:r>
      <w:r>
        <w:t xml:space="preserve">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Нормативный эксплуатационный запас то</w:t>
      </w:r>
      <w:r>
        <w:t xml:space="preserve">плива (далее – НЭЗТ) необходим для надежной и стабильной работы котельных и обеспечивает плановую выработку тепловой энергии. Расчет НЭЗТ производится ежегодно для каждой котельной, сжигающей или имеющей в качестве резервного твердое или жидкое топливо (уг</w:t>
      </w:r>
      <w:r>
        <w:rPr>
          <w:lang w:val="en-US"/>
        </w:rPr>
        <w:t xml:space="preserve">o</w:t>
      </w:r>
      <w:r>
        <w:t xml:space="preserve">ль, м</w:t>
      </w:r>
      <w:r>
        <w:rPr>
          <w:lang w:val="en-US"/>
        </w:rPr>
        <w:t xml:space="preserve">a</w:t>
      </w:r>
      <w:r>
        <w:t xml:space="preserve">зут, торф, диз</w:t>
      </w:r>
      <w:r>
        <w:rPr>
          <w:lang w:val="en-US"/>
        </w:rPr>
        <w:t xml:space="preserve">e</w:t>
      </w:r>
      <w:r>
        <w:t xml:space="preserve">льное т</w:t>
      </w:r>
      <w:r>
        <w:rPr>
          <w:lang w:val="en-US"/>
        </w:rPr>
        <w:t xml:space="preserve">o</w:t>
      </w:r>
      <w:r>
        <w:t xml:space="preserve">пливо). Расчеты производятся на 1 октября планируемого года.</w:t>
      </w:r>
      <w:r/>
    </w:p>
    <w:p>
      <w:pPr>
        <w:pStyle w:val="12960"/>
        <w:pBdr/>
        <w:spacing/>
        <w:ind/>
        <w:rPr/>
      </w:pPr>
      <w:r>
        <w:t xml:space="preserve">Для котельных в связи с сезонностью завоза топлива, ННЗТ не рассчитывается и не устанавливается. </w:t>
      </w:r>
      <w:r/>
    </w:p>
    <w:p>
      <w:pPr>
        <w:pStyle w:val="12960"/>
        <w:pBdr/>
        <w:spacing/>
        <w:ind/>
        <w:rPr/>
      </w:pPr>
      <w:r>
        <w:t xml:space="preserve">Расчет нормативных эксплуатационных запасов топлива (НЭЗТ) выполнялся в соответствии с «Инструкции по организации в Минэнерго России</w:t>
      </w:r>
      <w:r>
        <w:t xml:space="preserve">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r/>
    </w:p>
    <w:p>
      <w:pPr>
        <w:pStyle w:val="12960"/>
        <w:pBdr/>
        <w:spacing/>
        <w:ind/>
        <w:rPr/>
      </w:pPr>
      <w:r>
        <w:t xml:space="preserve"> </w:t>
      </w:r>
      <w:r>
        <w:t xml:space="preserve">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r/>
    </w:p>
    <w:p>
      <w:pPr>
        <w:pStyle w:val="12960"/>
        <w:pBdr/>
        <w:spacing/>
        <w:ind/>
        <w:rPr/>
      </w:pPr>
      <w:r>
        <w:t xml:space="preserve">Количество суток, на которые рассчитывается ННЗТ, определяется в зависимости от вида топлива и способа его доставки в соответствии с таблицей.</w:t>
      </w:r>
      <w:r/>
    </w:p>
    <w:p>
      <w:pPr>
        <w:pStyle w:val="12960"/>
        <w:pBdr/>
        <w:spacing/>
        <w:ind/>
        <w:rPr/>
      </w:pPr>
      <w:r>
        <w:rPr>
          <w:b/>
          <w:bCs w:val="0"/>
        </w:rPr>
        <w:t xml:space="preserve">Таблица 1.8.2.3 – Количество суток для расчета запаса</w:t>
      </w:r>
      <w:r/>
    </w:p>
    <w:tbl>
      <w:tblPr>
        <w:tblInd w:w="0" w:type="dxa"/>
        <w:tblW w:w="5000" w:type="pct"/>
        <w:tblCellMar>
          <w:left w:w="10" w:type="dxa"/>
          <w:top w:w="0" w:type="dxa"/>
          <w:right w:w="10" w:type="dxa"/>
          <w:bottom w:w="0" w:type="dxa"/>
        </w:tblCellMar>
        <w:tblBorders/>
        <w:tblLayout w:type="fixed"/>
        <w:tblLook w:val="04A0" w:firstRow="1" w:lastRow="0" w:firstColumn="1" w:lastColumn="0" w:noHBand="0" w:noVBand="1"/>
      </w:tblPr>
      <w:tblGrid>
        <w:gridCol w:w="2469"/>
        <w:gridCol w:w="3853"/>
        <w:gridCol w:w="3033"/>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469" w:type="dxa"/>
            <w:vAlign w:val="center"/>
          </w:tcPr>
          <w:p>
            <w:pPr>
              <w:pStyle w:val="12385"/>
              <w:pBdr/>
              <w:spacing/>
              <w:ind/>
              <w:rPr>
                <w:rFonts w:cs="Times New Roman"/>
                <w:lang w:bidi="ru-RU"/>
              </w:rPr>
            </w:pPr>
            <w:r>
              <w:rPr>
                <w:rFonts w:cs="Times New Roman"/>
                <w:lang w:bidi="ru-RU"/>
              </w:rPr>
              <w:t xml:space="preserve">Вид топлива</w:t>
            </w:r>
            <w:r>
              <w:rPr>
                <w:rFonts w:cs="Times New Roman"/>
                <w:lang w:bidi="ru-RU"/>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lang w:bidi="ru-RU"/>
              </w:rPr>
            </w:pPr>
            <w:r>
              <w:rPr>
                <w:rFonts w:cs="Times New Roman"/>
                <w:lang w:bidi="ru-RU"/>
              </w:rPr>
              <w:t xml:space="preserve">Способ доставки топлива</w:t>
            </w:r>
            <w:r>
              <w:rPr>
                <w:rFonts w:cs="Times New Roman"/>
                <w:lang w:bidi="ru-RU"/>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Объем запаса топлива, сут.</w:t>
            </w:r>
            <w:r>
              <w:rPr>
                <w:rFonts w:cs="Times New Roman"/>
                <w:lang w:bidi="ru-RU"/>
              </w:rPr>
            </w:r>
          </w:p>
        </w:tc>
      </w:tr>
      <w:tr>
        <w:trPr>
          <w:trHeight w:val="20"/>
        </w:trPr>
        <w:tc>
          <w:tcPr>
            <w:shd w:val="clear" w:color="auto" w:fill="ffffff"/>
            <w:tcBorders>
              <w:top w:val="single" w:color="000000" w:sz="4" w:space="0"/>
              <w:left w:val="single" w:color="000000" w:sz="4" w:space="0"/>
              <w:bottom w:val="single" w:color="000000" w:sz="4" w:space="0"/>
              <w:right w:val="single" w:color="000000" w:sz="4" w:space="0"/>
            </w:tcBorders>
            <w:tcW w:w="2469" w:type="dxa"/>
            <w:vAlign w:val="center"/>
          </w:tcPr>
          <w:p>
            <w:pPr>
              <w:pStyle w:val="12385"/>
              <w:pBdr/>
              <w:spacing/>
              <w:ind/>
              <w:rPr>
                <w:rFonts w:cs="Times New Roman"/>
                <w:lang w:bidi="ru-RU"/>
              </w:rPr>
            </w:pPr>
            <w:r>
              <w:rPr>
                <w:rFonts w:cs="Times New Roman"/>
                <w:color w:val="3a1522"/>
                <w:lang w:bidi="ru-RU"/>
              </w:rPr>
              <w:t xml:space="preserve">1</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lang w:bidi="ru-RU"/>
              </w:rPr>
            </w:pPr>
            <w:r>
              <w:rPr>
                <w:rFonts w:cs="Times New Roman"/>
                <w:lang w:bidi="ru-RU"/>
              </w:rPr>
              <w:t xml:space="preserve">2</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3</w:t>
            </w:r>
            <w:r>
              <w:rPr>
                <w:rFonts w:cs="Times New Roman"/>
                <w:lang w:bidi="ru-RU"/>
              </w:rPr>
            </w:r>
          </w:p>
        </w:tc>
      </w:tr>
      <w:tr>
        <w:trPr>
          <w:trHeight w:val="20"/>
        </w:trPr>
        <w:tc>
          <w:tcPr>
            <w:shd w:val="clear" w:color="auto" w:fill="ffffff"/>
            <w:tcBorders>
              <w:top w:val="single" w:color="000000" w:sz="4" w:space="0"/>
              <w:left w:val="single" w:color="000000" w:sz="4" w:space="0"/>
              <w:bottom w:val="single" w:color="000000" w:sz="4" w:space="0"/>
              <w:right w:val="single" w:color="000000" w:sz="4" w:space="0"/>
            </w:tcBorders>
            <w:tcW w:w="2469" w:type="dxa"/>
            <w:vAlign w:val="center"/>
          </w:tcPr>
          <w:p>
            <w:pPr>
              <w:pStyle w:val="12385"/>
              <w:pBdr/>
              <w:spacing/>
              <w:ind/>
              <w:rPr>
                <w:rFonts w:cs="Times New Roman"/>
                <w:lang w:bidi="ru-RU"/>
              </w:rPr>
            </w:pPr>
            <w:r>
              <w:rPr>
                <w:rFonts w:cs="Times New Roman"/>
                <w:lang w:bidi="ru-RU"/>
              </w:rPr>
              <w:t xml:space="preserve">твердое</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lang w:bidi="ru-RU"/>
              </w:rPr>
            </w:pPr>
            <w:r>
              <w:rPr>
                <w:rFonts w:cs="Times New Roman"/>
                <w:lang w:bidi="ru-RU"/>
              </w:rPr>
              <w:t xml:space="preserve">железнодорожный транспорт </w:t>
            </w:r>
            <w:r>
              <w:rPr>
                <w:rFonts w:cs="Times New Roman"/>
                <w:lang w:bidi="ru-RU"/>
              </w:rPr>
            </w:r>
          </w:p>
          <w:p>
            <w:pPr>
              <w:pStyle w:val="12385"/>
              <w:pBdr/>
              <w:spacing/>
              <w:ind/>
              <w:rPr>
                <w:rFonts w:cs="Times New Roman"/>
                <w:lang w:bidi="ru-RU"/>
              </w:rPr>
            </w:pPr>
            <w:r>
              <w:rPr>
                <w:rFonts w:cs="Times New Roman"/>
                <w:lang w:bidi="ru-RU"/>
              </w:rPr>
              <w:t xml:space="preserve">автотранспорт</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14 </w:t>
            </w:r>
            <w:r>
              <w:rPr>
                <w:rFonts w:cs="Times New Roman"/>
                <w:lang w:bidi="ru-RU"/>
              </w:rPr>
            </w:r>
          </w:p>
          <w:p>
            <w:pPr>
              <w:pStyle w:val="12385"/>
              <w:pBdr/>
              <w:spacing/>
              <w:ind/>
              <w:rPr>
                <w:rFonts w:cs="Times New Roman"/>
                <w:lang w:bidi="ru-RU"/>
              </w:rPr>
            </w:pPr>
            <w:r>
              <w:rPr>
                <w:rFonts w:cs="Times New Roman"/>
                <w:lang w:bidi="ru-RU"/>
              </w:rPr>
              <w:t xml:space="preserve">7</w:t>
            </w:r>
            <w:r>
              <w:rPr>
                <w:rFonts w:cs="Times New Roman"/>
                <w:lang w:bidi="ru-RU"/>
              </w:rPr>
            </w:r>
          </w:p>
        </w:tc>
      </w:tr>
      <w:tr>
        <w:trPr>
          <w:trHeight w:val="20"/>
        </w:trPr>
        <w:tc>
          <w:tcPr>
            <w:shd w:val="clear" w:color="auto" w:fill="ffffff"/>
            <w:tcBorders>
              <w:top w:val="single" w:color="000000" w:sz="4" w:space="0"/>
              <w:left w:val="single" w:color="000000" w:sz="4" w:space="0"/>
              <w:bottom w:val="single" w:color="000000" w:sz="4" w:space="0"/>
              <w:right w:val="single" w:color="000000" w:sz="4" w:space="0"/>
            </w:tcBorders>
            <w:tcW w:w="2469" w:type="dxa"/>
            <w:vAlign w:val="center"/>
          </w:tcPr>
          <w:p>
            <w:pPr>
              <w:pStyle w:val="12385"/>
              <w:pBdr/>
              <w:spacing/>
              <w:ind/>
              <w:rPr>
                <w:rFonts w:cs="Times New Roman"/>
                <w:lang w:bidi="ru-RU"/>
              </w:rPr>
            </w:pPr>
            <w:r>
              <w:rPr>
                <w:rFonts w:cs="Times New Roman"/>
                <w:lang w:bidi="ru-RU"/>
              </w:rPr>
              <w:t xml:space="preserve">жидкое</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lang w:bidi="ru-RU"/>
              </w:rPr>
            </w:pPr>
            <w:r>
              <w:rPr>
                <w:rFonts w:cs="Times New Roman"/>
                <w:lang w:bidi="ru-RU"/>
              </w:rPr>
              <w:t xml:space="preserve">железнодорожный транспорт </w:t>
            </w:r>
            <w:r>
              <w:rPr>
                <w:rFonts w:cs="Times New Roman"/>
                <w:lang w:bidi="ru-RU"/>
              </w:rPr>
            </w:r>
          </w:p>
          <w:p>
            <w:pPr>
              <w:pStyle w:val="12385"/>
              <w:pBdr/>
              <w:spacing/>
              <w:ind/>
              <w:rPr>
                <w:rFonts w:cs="Times New Roman"/>
                <w:lang w:bidi="ru-RU"/>
              </w:rPr>
            </w:pPr>
            <w:r>
              <w:rPr>
                <w:rFonts w:cs="Times New Roman"/>
                <w:lang w:bidi="ru-RU"/>
              </w:rPr>
              <w:t xml:space="preserve">автотранспорт</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10 </w:t>
            </w:r>
            <w:r>
              <w:rPr>
                <w:rFonts w:cs="Times New Roman"/>
                <w:lang w:bidi="ru-RU"/>
              </w:rPr>
            </w:r>
          </w:p>
          <w:p>
            <w:pPr>
              <w:pStyle w:val="12385"/>
              <w:pBdr/>
              <w:spacing/>
              <w:ind/>
              <w:rPr>
                <w:rFonts w:cs="Times New Roman"/>
                <w:lang w:bidi="ru-RU"/>
              </w:rPr>
            </w:pPr>
            <w:r>
              <w:rPr>
                <w:rFonts w:cs="Times New Roman"/>
                <w:lang w:bidi="ru-RU"/>
              </w:rPr>
              <w:t xml:space="preserve">5</w:t>
            </w:r>
            <w:r>
              <w:rPr>
                <w:rFonts w:cs="Times New Roman"/>
                <w:lang w:bidi="ru-RU"/>
              </w:rPr>
            </w:r>
          </w:p>
        </w:tc>
      </w:tr>
    </w:tbl>
    <w:p>
      <w:pPr>
        <w:pStyle w:val="12960"/>
        <w:pBdr/>
        <w:spacing/>
        <w:ind/>
        <w:rPr/>
      </w:pPr>
      <w:r/>
      <w:r/>
    </w:p>
    <w:p>
      <w:pPr>
        <w:pStyle w:val="12960"/>
        <w:pBdr/>
        <w:spacing/>
        <w:ind/>
        <w:rPr/>
      </w:pPr>
      <w:r>
        <w:t xml:space="preserve">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r/>
    </w:p>
    <w:p>
      <w:pPr>
        <w:pStyle w:val="13832"/>
        <w:numPr>
          <w:ilvl w:val="0"/>
          <w:numId w:val="61"/>
        </w:numPr>
        <w:pBdr/>
        <w:spacing/>
        <w:ind w:hanging="284" w:left="1135"/>
        <w:rPr/>
      </w:pPr>
      <w:r>
        <w:t xml:space="preserve">по твердому топливу - 45 суток;</w:t>
      </w:r>
      <w:r/>
    </w:p>
    <w:p>
      <w:pPr>
        <w:pStyle w:val="13832"/>
        <w:numPr>
          <w:ilvl w:val="0"/>
          <w:numId w:val="61"/>
        </w:numPr>
        <w:pBdr/>
        <w:spacing/>
        <w:ind w:hanging="284" w:left="1135"/>
        <w:rPr/>
      </w:pPr>
      <w:r>
        <w:t xml:space="preserve">по жидкому топливу - 30 суток.</w:t>
      </w: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
      <w:r>
        <w:rPr>
          <w:lang w:eastAsia="en-US"/>
        </w:rPr>
      </w:r>
    </w:p>
    <w:p>
      <w:pPr>
        <w:pStyle w:val="12960"/>
        <w:pBdr/>
        <w:spacing/>
        <w:ind/>
        <w:rPr>
          <w:b/>
          <w:bCs w:val="0"/>
        </w:rPr>
      </w:pPr>
      <w:r/>
      <w:bookmarkStart w:id="425" w:name="_Hlk213984054"/>
      <w:r>
        <w:rPr>
          <w:b/>
          <w:bCs w:val="0"/>
        </w:rPr>
        <w:t xml:space="preserve">Таблица 1.8.2.3 – Результаты расчёта создания нормативного неснижаемого запаса топлива (ННЗТ), нормативного эксплуатационного запаса топлива (НЭЗТ) и общего нормативного запаса топлива (ОНЗТ)</w:t>
      </w:r>
      <w:bookmarkEnd w:id="425"/>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702"/>
        <w:gridCol w:w="2367"/>
        <w:gridCol w:w="1832"/>
        <w:gridCol w:w="1453"/>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3702" w:type="dxa"/>
            <w:vAlign w:val="center"/>
            <w:vMerge w:val="restart"/>
          </w:tcPr>
          <w:p>
            <w:pPr>
              <w:pStyle w:val="12385"/>
              <w:pBdr/>
              <w:spacing/>
              <w:ind/>
              <w:rPr>
                <w:rFonts w:cs="Times New Roman"/>
              </w:rPr>
            </w:pPr>
            <w:r>
              <w:rPr>
                <w:rFonts w:cs="Times New Roman"/>
              </w:rPr>
              <w:t xml:space="preserve">Организация</w:t>
            </w:r>
            <w:r>
              <w:rPr>
                <w:rFonts w:cs="Times New Roman"/>
              </w:rPr>
            </w:r>
          </w:p>
        </w:tc>
        <w:tc>
          <w:tcPr>
            <w:gridSpan w:val="3"/>
            <w:shd w:val="clear" w:color="000000" w:fill="d9d9d9"/>
            <w:tcBorders>
              <w:top w:val="single" w:color="000000" w:sz="4" w:space="0"/>
              <w:bottom w:val="single" w:color="000000" w:sz="4" w:space="0"/>
              <w:right w:val="single" w:color="000000" w:sz="4" w:space="0"/>
            </w:tcBorders>
            <w:tcW w:w="5652" w:type="dxa"/>
            <w:vAlign w:val="center"/>
          </w:tcPr>
          <w:p>
            <w:pPr>
              <w:pStyle w:val="12385"/>
              <w:pBdr/>
              <w:spacing/>
              <w:ind/>
              <w:rPr>
                <w:rFonts w:cs="Times New Roman"/>
              </w:rPr>
            </w:pPr>
            <w:r>
              <w:rPr>
                <w:rFonts w:cs="Times New Roman"/>
              </w:rPr>
              <w:t xml:space="preserve">Нормативы</w:t>
            </w:r>
            <w:r>
              <w:rPr>
                <w:rFonts w:cs="Times New Roman"/>
              </w:rPr>
            </w:r>
          </w:p>
        </w:tc>
      </w:tr>
      <w:tr>
        <w:trPr>
          <w:trHeight w:val="20"/>
          <w:tblHeader/>
        </w:trPr>
        <w:tc>
          <w:tcPr>
            <w:tcBorders>
              <w:top w:val="single" w:color="000000" w:sz="4" w:space="0"/>
              <w:left w:val="single" w:color="000000" w:sz="4" w:space="0"/>
              <w:bottom w:val="single" w:color="000000" w:sz="4" w:space="0"/>
              <w:right w:val="single" w:color="000000" w:sz="4" w:space="0"/>
            </w:tcBorders>
            <w:tcW w:w="3702" w:type="dxa"/>
            <w:vAlign w:val="center"/>
            <w:vMerge w:val="continue"/>
          </w:tcPr>
          <w:p>
            <w:pPr>
              <w:pStyle w:val="12385"/>
              <w:pBdr/>
              <w:spacing/>
              <w:ind/>
              <w:rPr>
                <w:rFonts w:cs="Times New Roman"/>
              </w:rPr>
            </w:pPr>
            <w:r>
              <w:rPr>
                <w:rFonts w:cs="Times New Roman"/>
              </w:rPr>
            </w:r>
            <w:r>
              <w:rPr>
                <w:rFonts w:cs="Times New Roman"/>
              </w:rPr>
            </w:r>
          </w:p>
        </w:tc>
        <w:tc>
          <w:tcPr>
            <w:gridSpan w:val="3"/>
            <w:shd w:val="clear" w:color="000000" w:fill="d9d9d9"/>
            <w:tcBorders>
              <w:top w:val="single" w:color="000000" w:sz="4" w:space="0"/>
              <w:bottom w:val="single" w:color="000000" w:sz="4" w:space="0"/>
              <w:right w:val="single" w:color="000000" w:sz="4" w:space="0"/>
            </w:tcBorders>
            <w:tcW w:w="5652" w:type="dxa"/>
            <w:vAlign w:val="center"/>
          </w:tcPr>
          <w:p>
            <w:pPr>
              <w:pStyle w:val="12385"/>
              <w:pBdr/>
              <w:spacing/>
              <w:ind/>
              <w:rPr>
                <w:rFonts w:cs="Times New Roman"/>
              </w:rPr>
            </w:pPr>
            <w:r>
              <w:rPr>
                <w:rFonts w:cs="Times New Roman"/>
              </w:rPr>
              <w:t xml:space="preserve">Запасы топлива</w:t>
            </w:r>
            <w:r>
              <w:rPr>
                <w:rFonts w:cs="Times New Roman"/>
              </w:rPr>
            </w:r>
          </w:p>
        </w:tc>
      </w:tr>
      <w:tr>
        <w:trPr>
          <w:trHeight w:val="20"/>
          <w:tblHeader/>
        </w:trPr>
        <w:tc>
          <w:tcPr>
            <w:tcBorders>
              <w:top w:val="single" w:color="000000" w:sz="4" w:space="0"/>
              <w:left w:val="single" w:color="000000" w:sz="4" w:space="0"/>
              <w:bottom w:val="single" w:color="000000" w:sz="4" w:space="0"/>
              <w:right w:val="single" w:color="000000" w:sz="4" w:space="0"/>
            </w:tcBorders>
            <w:tcW w:w="3702" w:type="dxa"/>
            <w:vAlign w:val="center"/>
            <w:vMerge w:val="continue"/>
          </w:tcPr>
          <w:p>
            <w:pPr>
              <w:pStyle w:val="12385"/>
              <w:pBdr/>
              <w:spacing/>
              <w:ind/>
              <w:rPr>
                <w:rFonts w:cs="Times New Roman"/>
              </w:rPr>
            </w:pPr>
            <w:r>
              <w:rPr>
                <w:rFonts w:cs="Times New Roman"/>
              </w:rPr>
            </w:r>
            <w:r>
              <w:rPr>
                <w:rFonts w:cs="Times New Roman"/>
              </w:rPr>
            </w:r>
          </w:p>
        </w:tc>
        <w:tc>
          <w:tcPr>
            <w:shd w:val="clear" w:color="000000" w:fill="d9d9d9"/>
            <w:tcBorders>
              <w:bottom w:val="single" w:color="000000" w:sz="4" w:space="0"/>
              <w:right w:val="single" w:color="000000" w:sz="4" w:space="0"/>
            </w:tcBorders>
            <w:tcW w:w="2367" w:type="dxa"/>
            <w:vAlign w:val="center"/>
          </w:tcPr>
          <w:p>
            <w:pPr>
              <w:pStyle w:val="12385"/>
              <w:pBdr/>
              <w:spacing/>
              <w:ind/>
              <w:rPr>
                <w:rFonts w:cs="Times New Roman"/>
              </w:rPr>
            </w:pPr>
            <w:r>
              <w:rPr>
                <w:rFonts w:cs="Times New Roman"/>
              </w:rPr>
              <w:t xml:space="preserve">Нормативный эксплуатационный запас топлива, тыс. тонн</w:t>
            </w:r>
            <w:r>
              <w:rPr>
                <w:rFonts w:cs="Times New Roman"/>
              </w:rPr>
            </w:r>
          </w:p>
        </w:tc>
        <w:tc>
          <w:tcPr>
            <w:shd w:val="clear" w:color="000000" w:fill="d9d9d9"/>
            <w:tcBorders>
              <w:bottom w:val="single" w:color="000000" w:sz="4" w:space="0"/>
              <w:right w:val="single" w:color="000000" w:sz="4" w:space="0"/>
            </w:tcBorders>
            <w:tcW w:w="1832" w:type="dxa"/>
            <w:vAlign w:val="center"/>
          </w:tcPr>
          <w:p>
            <w:pPr>
              <w:pStyle w:val="12385"/>
              <w:pBdr/>
              <w:spacing/>
              <w:ind/>
              <w:rPr>
                <w:rFonts w:cs="Times New Roman"/>
              </w:rPr>
            </w:pPr>
            <w:r>
              <w:rPr>
                <w:rFonts w:cs="Times New Roman"/>
              </w:rPr>
              <w:t xml:space="preserve">Неснижаемый нормативный запас топлива, тыс. тонн</w:t>
            </w:r>
            <w:r>
              <w:rPr>
                <w:rFonts w:cs="Times New Roman"/>
              </w:rPr>
            </w:r>
          </w:p>
        </w:tc>
        <w:tc>
          <w:tcPr>
            <w:shd w:val="clear" w:color="000000" w:fill="d9d9d9"/>
            <w:tcBorders>
              <w:bottom w:val="single" w:color="000000" w:sz="4" w:space="0"/>
              <w:right w:val="single" w:color="000000" w:sz="4" w:space="0"/>
            </w:tcBorders>
            <w:tcW w:w="1453" w:type="dxa"/>
            <w:vAlign w:val="center"/>
          </w:tcPr>
          <w:p>
            <w:pPr>
              <w:pStyle w:val="12385"/>
              <w:pBdr/>
              <w:spacing/>
              <w:ind/>
              <w:rPr>
                <w:rFonts w:cs="Times New Roman"/>
              </w:rPr>
            </w:pPr>
            <w:r>
              <w:rPr>
                <w:rFonts w:cs="Times New Roman"/>
              </w:rPr>
              <w:t xml:space="preserve">Основного и резервного топлива, тыс. тонн</w:t>
            </w:r>
            <w:r>
              <w:rPr>
                <w:rFonts w:cs="Times New Roman"/>
              </w:rPr>
            </w:r>
          </w:p>
        </w:tc>
      </w:tr>
      <w:tr>
        <w:trPr>
          <w:trHeight w:val="20"/>
        </w:trPr>
        <w:tc>
          <w:tcPr>
            <w:gridSpan w:val="4"/>
            <w:tcBorders>
              <w:top w:val="single" w:color="000000" w:sz="4" w:space="0"/>
              <w:left w:val="single" w:color="000000" w:sz="4" w:space="0"/>
              <w:bottom w:val="single" w:color="000000" w:sz="4" w:space="0"/>
              <w:right w:val="single" w:color="000000" w:sz="4" w:space="0"/>
            </w:tcBorders>
            <w:tcW w:w="9354" w:type="dxa"/>
            <w:vAlign w:val="center"/>
          </w:tcPr>
          <w:p>
            <w:pPr>
              <w:pStyle w:val="12385"/>
              <w:pBdr/>
              <w:spacing/>
              <w:ind/>
              <w:rPr>
                <w:rFonts w:cs="Times New Roman"/>
              </w:rPr>
            </w:pPr>
            <w:r>
              <w:rPr>
                <w:rFonts w:cs="Times New Roman"/>
              </w:rPr>
              <w:t xml:space="preserve">Природный газ</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rFonts w:cs="Times New Roman"/>
              </w:rPr>
            </w:pPr>
            <w:r>
              <w:t xml:space="preserve">Котельная №5 д. Ясенки</w:t>
            </w:r>
            <w:r>
              <w:rPr>
                <w:rFonts w:cs="Times New Roman"/>
              </w:rPr>
            </w:r>
          </w:p>
        </w:tc>
        <w:tc>
          <w:tcPr>
            <w:tcBorders>
              <w:bottom w:val="single" w:color="000000" w:sz="4" w:space="0"/>
              <w:right w:val="single" w:color="000000" w:sz="4" w:space="0"/>
            </w:tcBorders>
            <w:tcW w:w="2367" w:type="dxa"/>
            <w:vAlign w:val="center"/>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832" w:type="dxa"/>
            <w:vAlign w:val="center"/>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453" w:type="dxa"/>
            <w:vAlign w:val="center"/>
          </w:tcPr>
          <w:p>
            <w:pPr>
              <w:pStyle w:val="12385"/>
              <w:pBdr/>
              <w:spacing/>
              <w:ind/>
              <w:rPr>
                <w:rFonts w:cs="Times New Roman"/>
              </w:rPr>
            </w:pPr>
            <w:r>
              <w:t xml:space="preserve">-</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rFonts w:cs="Times New Roman"/>
              </w:rPr>
            </w:pPr>
            <w:r>
              <w:t xml:space="preserve">Котельная №6 п. Первомайский </w:t>
            </w:r>
            <w:r>
              <w:rPr>
                <w:rFonts w:cs="Times New Roman"/>
              </w:rPr>
            </w:r>
          </w:p>
        </w:tc>
        <w:tc>
          <w:tcPr>
            <w:tcBorders>
              <w:bottom w:val="single" w:color="000000" w:sz="4" w:space="0"/>
              <w:right w:val="single" w:color="000000" w:sz="4" w:space="0"/>
            </w:tcBorders>
            <w:tcW w:w="2367" w:type="dxa"/>
            <w:vAlign w:val="center"/>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832" w:type="dxa"/>
            <w:vAlign w:val="center"/>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453" w:type="dxa"/>
            <w:vAlign w:val="center"/>
          </w:tcPr>
          <w:p>
            <w:pPr>
              <w:pStyle w:val="12385"/>
              <w:pBdr/>
              <w:spacing/>
              <w:ind/>
              <w:rPr>
                <w:rFonts w:cs="Times New Roman"/>
              </w:rPr>
            </w:pPr>
            <w:r>
              <w:t xml:space="preserve">-</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rFonts w:cs="Times New Roman"/>
              </w:rPr>
            </w:pPr>
            <w:r>
              <w:t xml:space="preserve">Котельная №7 с. Белый Колодезь</w:t>
            </w:r>
            <w:r>
              <w:rPr>
                <w:rFonts w:cs="Times New Roman"/>
              </w:rPr>
            </w:r>
          </w:p>
        </w:tc>
        <w:tc>
          <w:tcPr>
            <w:tcBorders>
              <w:bottom w:val="single" w:color="000000" w:sz="4" w:space="0"/>
              <w:right w:val="single" w:color="000000" w:sz="4" w:space="0"/>
            </w:tcBorders>
            <w:tcW w:w="2367" w:type="dxa"/>
            <w:vAlign w:val="center"/>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832" w:type="dxa"/>
            <w:vAlign w:val="center"/>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453" w:type="dxa"/>
            <w:vAlign w:val="center"/>
          </w:tcPr>
          <w:p>
            <w:pPr>
              <w:pStyle w:val="12385"/>
              <w:pBdr/>
              <w:spacing/>
              <w:ind/>
              <w:rPr>
                <w:rFonts w:cs="Times New Roman"/>
              </w:rPr>
            </w:pPr>
            <w:r>
              <w:t xml:space="preserve">-</w:t>
            </w:r>
            <w:r>
              <w:rPr>
                <w:rFonts w:cs="Times New Roman"/>
              </w:rPr>
            </w:r>
          </w:p>
        </w:tc>
      </w:tr>
    </w:tbl>
    <w:p>
      <w:pPr>
        <w:pStyle w:val="12960"/>
        <w:pBdr/>
        <w:spacing/>
        <w:ind w:firstLine="0"/>
        <w:rPr>
          <w:b/>
          <w:bCs w:val="0"/>
        </w:rPr>
      </w:pPr>
      <w:r>
        <w:rPr>
          <w:b/>
          <w:bCs w:val="0"/>
        </w:rPr>
      </w:r>
      <w:r>
        <w:rPr>
          <w:b/>
          <w:bCs w:val="0"/>
        </w:rPr>
      </w:r>
    </w:p>
    <w:p>
      <w:pPr>
        <w:pStyle w:val="10535"/>
        <w:widowControl w:val="false"/>
        <w:numPr>
          <w:ilvl w:val="1"/>
          <w:numId w:val="107"/>
        </w:numPr>
        <w:pBdr/>
        <w:spacing w:after="240" w:before="240" w:line="240" w:lineRule="auto"/>
        <w:ind w:firstLine="0" w:left="0"/>
        <w:rPr>
          <w:rFonts w:cs="Times New Roman"/>
        </w:rPr>
      </w:pPr>
      <w:r/>
      <w:bookmarkStart w:id="426" w:name="_Toc334515836"/>
      <w:r/>
      <w:bookmarkStart w:id="427" w:name="_Toc78674744"/>
      <w:r/>
      <w:bookmarkStart w:id="428" w:name="_Toc198483537"/>
      <w:r/>
      <w:bookmarkStart w:id="429" w:name="_Toc390784448"/>
      <w:r/>
      <w:bookmarkStart w:id="430" w:name="_Toc515271639"/>
      <w:r/>
      <w:bookmarkStart w:id="431" w:name="_Toc84970981"/>
      <w:r/>
      <w:bookmarkStart w:id="432" w:name="_Toc166767197"/>
      <w:r>
        <w:rPr>
          <w:rFonts w:cs="Times New Roman"/>
        </w:rPr>
        <w:t xml:space="preserve">Описание особенностей характеристик </w:t>
      </w:r>
      <w:r>
        <w:rPr>
          <w:rFonts w:cs="Times New Roman"/>
        </w:rPr>
        <w:t xml:space="preserve">видов </w:t>
      </w:r>
      <w:r>
        <w:rPr>
          <w:rFonts w:cs="Times New Roman"/>
        </w:rPr>
        <w:t xml:space="preserve">топлив</w:t>
      </w:r>
      <w:r>
        <w:rPr>
          <w:rFonts w:cs="Times New Roman"/>
        </w:rPr>
        <w:t xml:space="preserve">а</w:t>
      </w:r>
      <w:r>
        <w:rPr>
          <w:rFonts w:cs="Times New Roman"/>
        </w:rPr>
        <w:t xml:space="preserve"> в зависимости от мест поставки</w:t>
      </w:r>
      <w:bookmarkEnd w:id="426"/>
      <w:r/>
      <w:bookmarkEnd w:id="427"/>
      <w:r/>
      <w:bookmarkEnd w:id="428"/>
      <w:r/>
      <w:bookmarkEnd w:id="429"/>
      <w:r/>
      <w:bookmarkEnd w:id="430"/>
      <w:r/>
      <w:bookmarkEnd w:id="431"/>
      <w:r/>
      <w:bookmarkEnd w:id="432"/>
      <w:r/>
      <w:r>
        <w:rPr>
          <w:rFonts w:cs="Times New Roman"/>
        </w:rPr>
      </w:r>
    </w:p>
    <w:p>
      <w:pPr>
        <w:pStyle w:val="12960"/>
        <w:pBdr/>
        <w:spacing/>
        <w:ind/>
        <w:rPr/>
      </w:pPr>
      <w:r/>
      <w:r>
        <w:t xml:space="preserve">На территории муниципального образования Астаповское функционируют 3 котельных. На котельных основным топливом является природный газ со средней теплотворной способностью 8312 Ккал/кг.</w:t>
      </w:r>
      <w:r/>
    </w:p>
    <w:p>
      <w:pPr>
        <w:pStyle w:val="12960"/>
        <w:pBdr/>
        <w:spacing/>
        <w:ind/>
        <w:rPr/>
      </w:pPr>
      <w:r>
        <w:t xml:space="preserve">Основные характеристики различных видов топлива приведены в таблице.</w:t>
      </w:r>
      <w:r/>
    </w:p>
    <w:p>
      <w:pPr>
        <w:pStyle w:val="12960"/>
        <w:pBdr/>
        <w:spacing/>
        <w:ind/>
        <w:rPr>
          <w:b/>
        </w:rPr>
      </w:pPr>
      <w:r>
        <w:rPr>
          <w:b/>
        </w:rPr>
        <w:t xml:space="preserve">Таблица 1.8.3.1 – Характеристики </w:t>
      </w:r>
      <w:r>
        <w:rPr>
          <w:b/>
        </w:rPr>
        <w:t xml:space="preserve">видов </w:t>
      </w:r>
      <w:r>
        <w:rPr>
          <w:b/>
        </w:rPr>
        <w:t xml:space="preserve">топлив</w:t>
      </w:r>
      <w:r>
        <w:rPr>
          <w:b/>
        </w:rPr>
        <w:t xml:space="preserve">а</w:t>
      </w:r>
      <w:r>
        <w:rPr>
          <w:b/>
        </w:rPr>
      </w:r>
    </w:p>
    <w:tbl>
      <w:tblPr>
        <w:jc w:val="center"/>
        <w:tblInd w:w="0" w:type="dxa"/>
        <w:tblW w:w="5000" w:type="pct"/>
        <w:tblCellMar>
          <w:left w:w="15" w:type="dxa"/>
          <w:top w:w="15" w:type="dxa"/>
          <w:right w:w="15" w:type="dxa"/>
          <w:bottom w:w="15" w:type="dxa"/>
        </w:tblCellMar>
        <w:tblBorders/>
        <w:tblLayout w:type="fixed"/>
        <w:tblLook w:val="00A0" w:firstRow="1" w:lastRow="0" w:firstColumn="1" w:lastColumn="0" w:noHBand="0" w:noVBand="0"/>
      </w:tblPr>
      <w:tblGrid>
        <w:gridCol w:w="4483"/>
        <w:gridCol w:w="1110"/>
        <w:gridCol w:w="1337"/>
        <w:gridCol w:w="958"/>
        <w:gridCol w:w="1467"/>
      </w:tblGrid>
      <w:tr>
        <w:trPr>
          <w:tblHeader/>
        </w:trPr>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W w:w="4483" w:type="dxa"/>
            <w:vAlign w:val="center"/>
            <w:vMerge w:val="restart"/>
          </w:tcPr>
          <w:p>
            <w:pPr>
              <w:pStyle w:val="12385"/>
              <w:pBdr/>
              <w:spacing/>
              <w:ind/>
              <w:rPr>
                <w:rFonts w:cs="Times New Roman"/>
              </w:rPr>
            </w:pPr>
            <w:r>
              <w:rPr>
                <w:rFonts w:cs="Times New Roman"/>
              </w:rPr>
              <w:t xml:space="preserve">Вид топлива</w:t>
            </w:r>
            <w:r>
              <w:rPr>
                <w:rFonts w:cs="Times New Roman"/>
              </w:rPr>
            </w:r>
          </w:p>
        </w:tc>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W w:w="1110" w:type="dxa"/>
            <w:vAlign w:val="center"/>
            <w:vMerge w:val="restart"/>
          </w:tcPr>
          <w:p>
            <w:pPr>
              <w:pStyle w:val="12385"/>
              <w:pBdr/>
              <w:spacing/>
              <w:ind/>
              <w:rPr>
                <w:rFonts w:cs="Times New Roman"/>
              </w:rPr>
            </w:pPr>
            <w:r>
              <w:rPr>
                <w:rFonts w:cs="Times New Roman"/>
              </w:rPr>
              <w:t xml:space="preserve">Ед. изм.</w:t>
            </w:r>
            <w:r>
              <w:rPr>
                <w:rFonts w:cs="Times New Roman"/>
              </w:rPr>
            </w:r>
          </w:p>
        </w:tc>
        <w:tc>
          <w:tcPr>
            <w:gridSpan w:val="3"/>
            <w:shd w:val="clear" w:color="auto" w:fill="d9d9d9" w:themeFill="background1" w:themeFillShade="D9"/>
            <w:tcBorders>
              <w:top w:val="single" w:color="000000" w:sz="6" w:space="0"/>
              <w:left w:val="single" w:color="000000" w:sz="6" w:space="0"/>
              <w:bottom w:val="single" w:color="000000" w:sz="6" w:space="0"/>
              <w:right w:val="single" w:color="000000" w:sz="6" w:space="0"/>
            </w:tcBorders>
            <w:tcW w:w="3762" w:type="dxa"/>
            <w:vAlign w:val="center"/>
          </w:tcPr>
          <w:p>
            <w:pPr>
              <w:pStyle w:val="12385"/>
              <w:pBdr/>
              <w:spacing/>
              <w:ind/>
              <w:rPr>
                <w:rFonts w:cs="Times New Roman"/>
              </w:rPr>
            </w:pPr>
            <w:r>
              <w:rPr>
                <w:rFonts w:cs="Times New Roman"/>
              </w:rPr>
              <w:t xml:space="preserve">Удельная теплота сгорания</w:t>
            </w:r>
            <w:r>
              <w:rPr>
                <w:rFonts w:cs="Times New Roman"/>
              </w:rPr>
            </w:r>
          </w:p>
        </w:tc>
      </w:tr>
      <w:tr>
        <w:trPr>
          <w:tblHeader/>
        </w:trPr>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Mar>
              <w:left w:w="108" w:type="dxa"/>
              <w:top w:w="0" w:type="dxa"/>
              <w:right w:w="108" w:type="dxa"/>
              <w:bottom w:w="0" w:type="dxa"/>
            </w:tcMar>
            <w:tcW w:w="4483" w:type="dxa"/>
            <w:vAlign w:val="center"/>
            <w:vMerge w:val="continue"/>
          </w:tcPr>
          <w:p>
            <w:pPr>
              <w:pStyle w:val="12385"/>
              <w:pBdr/>
              <w:spacing/>
              <w:ind/>
              <w:rPr>
                <w:rFonts w:cs="Times New Roman"/>
              </w:rPr>
            </w:pPr>
            <w:r>
              <w:rPr>
                <w:rFonts w:cs="Times New Roman"/>
              </w:rPr>
            </w:r>
            <w:r>
              <w:rPr>
                <w:rFonts w:cs="Times New Roman"/>
              </w:rPr>
            </w:r>
          </w:p>
        </w:tc>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Mar>
              <w:left w:w="108" w:type="dxa"/>
              <w:top w:w="0" w:type="dxa"/>
              <w:right w:w="108" w:type="dxa"/>
              <w:bottom w:w="0" w:type="dxa"/>
            </w:tcMar>
            <w:tcW w:w="1110" w:type="dxa"/>
            <w:vAlign w:val="center"/>
            <w:vMerge w:val="continue"/>
          </w:tcPr>
          <w:p>
            <w:pPr>
              <w:pStyle w:val="12385"/>
              <w:pBdr/>
              <w:spacing/>
              <w:ind/>
              <w:rPr>
                <w:rFonts w:cs="Times New Roman"/>
              </w:rPr>
            </w:pPr>
            <w:r>
              <w:rPr>
                <w:rFonts w:cs="Times New Roman"/>
              </w:rPr>
            </w:r>
            <w:r>
              <w:rPr>
                <w:rFonts w:cs="Times New Roman"/>
              </w:rPr>
            </w:r>
          </w:p>
        </w:tc>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ккал</w:t>
            </w:r>
            <w:r>
              <w:rPr>
                <w:rFonts w:cs="Times New Roman"/>
              </w:rPr>
            </w:r>
          </w:p>
        </w:tc>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кВт</w:t>
            </w:r>
            <w:r>
              <w:rPr>
                <w:rFonts w:cs="Times New Roman"/>
              </w:rPr>
            </w:r>
          </w:p>
        </w:tc>
        <w:tc>
          <w:tcPr>
            <w:shd w:val="clear" w:color="auto" w:fill="d9d9d9" w:themeFill="background1" w:themeFillShade="D9"/>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МДж</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Эл</w:t>
            </w:r>
            <w:r>
              <w:rPr>
                <w:rFonts w:cs="Times New Roman"/>
                <w:lang w:val="en-US"/>
              </w:rPr>
              <w:t xml:space="preserve">e</w:t>
            </w:r>
            <w:r>
              <w:rPr>
                <w:rFonts w:cs="Times New Roman"/>
              </w:rPr>
              <w:t xml:space="preserve">ктроэнергия</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кВт/ч</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864</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3,62</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Диз</w:t>
            </w:r>
            <w:r>
              <w:rPr>
                <w:rFonts w:cs="Times New Roman"/>
                <w:lang w:val="en-US"/>
              </w:rPr>
              <w:t xml:space="preserve">e</w:t>
            </w:r>
            <w:r>
              <w:rPr>
                <w:rFonts w:cs="Times New Roman"/>
              </w:rPr>
              <w:t xml:space="preserve">льное топливо</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л</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10300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11,9</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43,12</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Керосин</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л</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10400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12,0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43,50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Бензин</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л</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10150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12,2</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44,00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Газ природный</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м </w:t>
            </w:r>
            <w:r>
              <w:rPr>
                <w:rFonts w:cs="Times New Roman"/>
                <w:vertAlign w:val="superscript"/>
              </w:rPr>
              <w:t xml:space="preserve">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8000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9,3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33,50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Газ сжиженный</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10800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12,5</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45,20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Метан</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м </w:t>
            </w:r>
            <w:r>
              <w:rPr>
                <w:rFonts w:cs="Times New Roman"/>
                <w:vertAlign w:val="superscript"/>
              </w:rPr>
              <w:t xml:space="preserve">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11950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13,8</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50,03</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Пропан</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м </w:t>
            </w:r>
            <w:r>
              <w:rPr>
                <w:rFonts w:cs="Times New Roman"/>
                <w:vertAlign w:val="superscript"/>
              </w:rPr>
              <w:t xml:space="preserve">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10885</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12,6</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45,57</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Этилен</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м </w:t>
            </w:r>
            <w:r>
              <w:rPr>
                <w:rFonts w:cs="Times New Roman"/>
                <w:vertAlign w:val="superscript"/>
              </w:rPr>
              <w:t xml:space="preserve">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11470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13,3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48,02</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Водород</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м </w:t>
            </w:r>
            <w:r>
              <w:rPr>
                <w:rFonts w:cs="Times New Roman"/>
                <w:vertAlign w:val="superscript"/>
              </w:rPr>
              <w:t xml:space="preserve">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28700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33,2</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120,00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Угoль каменный (W=10%)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6450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7,5</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27,00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Угoль бурый (W=30…40%)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3100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3,6</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12,98</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Угoль-антрацит</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6700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7,8</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28,05</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Угoль древесный</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6510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7,5</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27,26</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Торф (W=40%)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2900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3,6</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12,10</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Торф брикеты (W=15%)</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4200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4,9</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17,58</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Торф крошка</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2590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3,0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10,84</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Пеллета древесная</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4100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1,4</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17,17</w:t>
            </w:r>
            <w:r>
              <w:rPr>
                <w:rFonts w:cs="Times New Roman"/>
              </w:rPr>
            </w:r>
          </w:p>
        </w:tc>
      </w:tr>
      <w:tr>
        <w:trPr/>
        <w:tc>
          <w:tcPr>
            <w:shd w:val="clear" w:color="auto" w:fill="ffffff"/>
            <w:tcBorders>
              <w:top w:val="single" w:color="000000" w:sz="6" w:space="0"/>
              <w:left w:val="single" w:color="000000" w:sz="6" w:space="0"/>
              <w:bottom w:val="single" w:color="000000" w:sz="6" w:space="0"/>
              <w:right w:val="single" w:color="000000" w:sz="6" w:space="0"/>
            </w:tcBorders>
            <w:tcW w:w="4483" w:type="dxa"/>
            <w:vAlign w:val="center"/>
          </w:tcPr>
          <w:p>
            <w:pPr>
              <w:pStyle w:val="12385"/>
              <w:pBdr/>
              <w:spacing/>
              <w:ind/>
              <w:rPr>
                <w:rFonts w:cs="Times New Roman"/>
              </w:rPr>
            </w:pPr>
            <w:r>
              <w:rPr>
                <w:rFonts w:cs="Times New Roman"/>
              </w:rPr>
              <w:t xml:space="preserve">Опилки</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110" w:type="dxa"/>
            <w:vAlign w:val="center"/>
          </w:tcPr>
          <w:p>
            <w:pPr>
              <w:pStyle w:val="12385"/>
              <w:pBdr/>
              <w:spacing/>
              <w:ind/>
              <w:rPr>
                <w:rFonts w:cs="Times New Roman"/>
              </w:rPr>
            </w:pPr>
            <w:r>
              <w:rPr>
                <w:rFonts w:cs="Times New Roman"/>
              </w:rPr>
              <w:t xml:space="preserve">1 кг</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337" w:type="dxa"/>
            <w:vAlign w:val="center"/>
          </w:tcPr>
          <w:p>
            <w:pPr>
              <w:pStyle w:val="12385"/>
              <w:pBdr/>
              <w:spacing/>
              <w:ind/>
              <w:rPr>
                <w:rFonts w:cs="Times New Roman"/>
              </w:rPr>
            </w:pPr>
            <w:r>
              <w:rPr>
                <w:rFonts w:cs="Times New Roman"/>
              </w:rPr>
              <w:t xml:space="preserve">2000</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958" w:type="dxa"/>
            <w:vAlign w:val="center"/>
          </w:tcPr>
          <w:p>
            <w:pPr>
              <w:pStyle w:val="12385"/>
              <w:pBdr/>
              <w:spacing/>
              <w:ind/>
              <w:rPr>
                <w:rFonts w:cs="Times New Roman"/>
              </w:rPr>
            </w:pPr>
            <w:r>
              <w:rPr>
                <w:rFonts w:cs="Times New Roman"/>
              </w:rPr>
              <w:t xml:space="preserve">2,3</w:t>
            </w:r>
            <w:r>
              <w:rPr>
                <w:rFonts w:cs="Times New Roman"/>
              </w:rPr>
            </w:r>
          </w:p>
        </w:tc>
        <w:tc>
          <w:tcPr>
            <w:shd w:val="clear" w:color="auto" w:fill="ffffff"/>
            <w:tcBorders>
              <w:top w:val="single" w:color="000000" w:sz="6" w:space="0"/>
              <w:left w:val="single" w:color="000000" w:sz="6" w:space="0"/>
              <w:bottom w:val="single" w:color="000000" w:sz="6" w:space="0"/>
              <w:right w:val="single" w:color="000000" w:sz="6" w:space="0"/>
            </w:tcBorders>
            <w:tcW w:w="1467" w:type="dxa"/>
            <w:vAlign w:val="center"/>
          </w:tcPr>
          <w:p>
            <w:pPr>
              <w:pStyle w:val="12385"/>
              <w:pBdr/>
              <w:spacing/>
              <w:ind/>
              <w:rPr>
                <w:rFonts w:cs="Times New Roman"/>
              </w:rPr>
            </w:pPr>
            <w:r>
              <w:rPr>
                <w:rFonts w:cs="Times New Roman"/>
              </w:rPr>
              <w:t xml:space="preserve">8,37</w:t>
            </w:r>
            <w:r>
              <w:rPr>
                <w:rFonts w:cs="Times New Roman"/>
              </w:rPr>
            </w:r>
          </w:p>
        </w:tc>
      </w:tr>
    </w:tbl>
    <w:p>
      <w:pPr>
        <w:pStyle w:val="12960"/>
        <w:pBdr/>
        <w:spacing/>
        <w:ind/>
        <w:rPr/>
      </w:pPr>
      <w:r/>
      <w:r/>
    </w:p>
    <w:p>
      <w:pPr>
        <w:pStyle w:val="10535"/>
        <w:keepNext w:val="true"/>
        <w:widowControl w:val="true"/>
        <w:numPr>
          <w:ilvl w:val="1"/>
          <w:numId w:val="108"/>
        </w:numPr>
        <w:pBdr/>
        <w:bidi w:val="false"/>
        <w:spacing w:after="0" w:before="0" w:line="360" w:lineRule="auto"/>
        <w:ind w:right="0" w:hanging="737" w:left="737"/>
        <w:jc w:val="center"/>
        <w:rPr>
          <w:rFonts w:cs="Times New Roman"/>
        </w:rPr>
      </w:pPr>
      <w:r/>
      <w:bookmarkStart w:id="434" w:name="_Toc515271640"/>
      <w:r/>
      <w:bookmarkStart w:id="435" w:name="_Toc166767198"/>
      <w:r/>
      <w:bookmarkStart w:id="436" w:name="_Toc198483538"/>
      <w:r/>
      <w:bookmarkStart w:id="437" w:name="_Toc84970982"/>
      <w:r/>
      <w:bookmarkStart w:id="438" w:name="_Toc78674745"/>
      <w:r>
        <w:rPr>
          <w:rFonts w:cs="Times New Roman"/>
        </w:rPr>
        <w:t xml:space="preserve">Описание использования местных видов топлива, анализ поставки топлива в периоды расчетных температур наружного воздуха</w:t>
      </w:r>
      <w:bookmarkEnd w:id="434"/>
      <w:r/>
      <w:bookmarkEnd w:id="435"/>
      <w:r/>
      <w:bookmarkEnd w:id="436"/>
      <w:r/>
      <w:bookmarkEnd w:id="437"/>
      <w:r/>
      <w:bookmarkEnd w:id="438"/>
      <w:r/>
      <w:r>
        <w:rPr>
          <w:rFonts w:cs="Times New Roman"/>
        </w:rPr>
      </w:r>
    </w:p>
    <w:p>
      <w:pPr>
        <w:pStyle w:val="12960"/>
        <w:pBdr/>
        <w:spacing/>
        <w:ind/>
        <w:rPr/>
      </w:pPr>
      <w:r/>
      <w:bookmarkStart w:id="439" w:name="_Hlk214000927"/>
      <w:r>
        <w:t xml:space="preserve">Возобновляемые источники энергии и местные виды топлива не используются.</w:t>
      </w:r>
      <w:r/>
    </w:p>
    <w:p>
      <w:pPr>
        <w:pStyle w:val="12960"/>
        <w:pBdr/>
        <w:spacing/>
        <w:ind/>
        <w:rPr/>
      </w:pPr>
      <w:r>
        <w:t xml:space="preserve">Срыва поставок основного и резервного топлива в 2025 г. – не зафиксировано. Условиями Договоров поставки, заключаемыми между теплогенерирующими компаниями и поставщик</w:t>
      </w:r>
      <w:r>
        <w:t xml:space="preserve">ом топлива,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r/>
    </w:p>
    <w:p>
      <w:pPr>
        <w:pStyle w:val="12960"/>
        <w:pBdr/>
        <w:spacing/>
        <w:ind/>
        <w:rPr>
          <w:lang w:eastAsia="ru-RU"/>
        </w:rPr>
      </w:pPr>
      <w:r>
        <w:t xml:space="preserve">На период экстремальных погодных условий на предприятиях теплоэнергогенерирующих</w:t>
      </w:r>
      <w:r>
        <w:rPr>
          <w:lang w:eastAsia="ru-RU"/>
        </w:rPr>
        <w:t xml:space="preserve"> компаний вводится усиленный контроль над работой систем и оборудования. </w:t>
      </w:r>
      <w:bookmarkEnd w:id="439"/>
      <w:r/>
      <w:r>
        <w:rPr>
          <w:lang w:eastAsia="ru-RU"/>
        </w:rPr>
      </w:r>
    </w:p>
    <w:p>
      <w:pPr>
        <w:pStyle w:val="10535"/>
        <w:numPr>
          <w:ilvl w:val="1"/>
          <w:numId w:val="109"/>
        </w:numPr>
        <w:pBdr/>
        <w:spacing/>
        <w:ind w:firstLine="0" w:left="0"/>
        <w:rPr>
          <w:rFonts w:cs="Times New Roman"/>
          <w:szCs w:val="24"/>
          <w:lang w:eastAsia="ru-RU"/>
        </w:rPr>
      </w:pPr>
      <w:r/>
      <w:bookmarkStart w:id="440" w:name="_Toc78674746"/>
      <w:r/>
      <w:bookmarkStart w:id="441" w:name="_Toc198483539"/>
      <w:r/>
      <w:bookmarkStart w:id="442" w:name="_Toc166767199"/>
      <w:r/>
      <w:bookmarkStart w:id="443" w:name="_Toc84970983"/>
      <w:r>
        <w:rPr>
          <w:rFonts w:cs="Times New Roman"/>
          <w:szCs w:val="24"/>
          <w:lang w:eastAsia="ru-RU"/>
        </w:rPr>
        <w:t xml:space="preserve">Описание видов топлива (в случае, если топливом является уг</w:t>
      </w:r>
      <w:r>
        <w:rPr>
          <w:rFonts w:cs="Times New Roman"/>
          <w:szCs w:val="24"/>
          <w:lang w:val="en-US" w:eastAsia="ru-RU"/>
        </w:rPr>
        <w:t xml:space="preserve">o</w:t>
      </w:r>
      <w:r>
        <w:rPr>
          <w:rFonts w:cs="Times New Roman"/>
          <w:szCs w:val="24"/>
          <w:lang w:eastAsia="ru-RU"/>
        </w:rPr>
        <w:t xml:space="preserve">ль, - вид ископаемого </w:t>
      </w:r>
      <w:r>
        <w:rPr>
          <w:rFonts w:cs="Times New Roman"/>
          <w:szCs w:val="24"/>
          <w:lang w:val="en-US" w:eastAsia="ru-RU"/>
        </w:rPr>
        <w:t xml:space="preserve">y</w:t>
      </w:r>
      <w:r>
        <w:rPr>
          <w:rFonts w:cs="Times New Roman"/>
          <w:szCs w:val="24"/>
          <w:lang w:eastAsia="ru-RU"/>
        </w:rPr>
        <w:t xml:space="preserve">гля в соответствии с Межгосударственным</w:t>
      </w:r>
      <w:r>
        <w:rPr>
          <w:rFonts w:cs="Times New Roman"/>
          <w:szCs w:val="24"/>
          <w:lang w:eastAsia="ru-RU"/>
        </w:rPr>
        <w:t xml:space="preserve">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440"/>
      <w:r/>
      <w:bookmarkEnd w:id="441"/>
      <w:r/>
      <w:bookmarkEnd w:id="442"/>
      <w:r/>
      <w:bookmarkEnd w:id="443"/>
      <w:r/>
      <w:r>
        <w:rPr>
          <w:rFonts w:cs="Times New Roman"/>
          <w:szCs w:val="24"/>
          <w:lang w:eastAsia="ru-RU"/>
        </w:rPr>
      </w:r>
    </w:p>
    <w:p>
      <w:pPr>
        <w:pStyle w:val="12960"/>
        <w:pBdr/>
        <w:spacing/>
        <w:ind/>
        <w:rPr/>
      </w:pPr>
      <w:r>
        <w:t xml:space="preserve">На территории муниципального образования Астаповское функционируют 3 котельных. На котельных основным топливом является природный газ со средней теплотворной способностью 8312 Ккал/кг. </w:t>
      </w:r>
      <w:r/>
    </w:p>
    <w:p>
      <w:pPr>
        <w:pStyle w:val="12960"/>
        <w:pBdr/>
        <w:spacing/>
        <w:ind/>
        <w:rPr/>
      </w:pPr>
      <w:r/>
      <w:r/>
    </w:p>
    <w:p>
      <w:pPr>
        <w:pStyle w:val="10535"/>
        <w:numPr>
          <w:ilvl w:val="1"/>
          <w:numId w:val="110"/>
        </w:numPr>
        <w:pBdr/>
        <w:spacing/>
        <w:ind w:firstLine="0" w:left="0"/>
        <w:rPr>
          <w:rFonts w:cs="Times New Roman"/>
          <w:szCs w:val="24"/>
          <w:lang w:eastAsia="ru-RU"/>
        </w:rPr>
      </w:pPr>
      <w:r/>
      <w:bookmarkStart w:id="444" w:name="_Toc198483540"/>
      <w:r/>
      <w:bookmarkStart w:id="445" w:name="_Toc166767200"/>
      <w:r/>
      <w:bookmarkStart w:id="446" w:name="_Toc84970984"/>
      <w:r/>
      <w:bookmarkStart w:id="447" w:name="_Toc78674747"/>
      <w:r>
        <w:rPr>
          <w:rFonts w:cs="Times New Roman"/>
          <w:szCs w:val="24"/>
          <w:lang w:eastAsia="ru-RU"/>
        </w:rPr>
        <w:t xml:space="preserve">Описание преобладающего в поселении, муниципальном образовании вида топлива, определяемого по совокупности всех систем теплоснабжения, находящихся в соответствующем поселении, муниципальном образовании</w:t>
      </w:r>
      <w:bookmarkEnd w:id="444"/>
      <w:r/>
      <w:bookmarkEnd w:id="445"/>
      <w:r/>
      <w:bookmarkEnd w:id="446"/>
      <w:r/>
      <w:bookmarkEnd w:id="447"/>
      <w:r/>
      <w:r>
        <w:rPr>
          <w:rFonts w:cs="Times New Roman"/>
          <w:szCs w:val="24"/>
          <w:lang w:eastAsia="ru-RU"/>
        </w:rPr>
      </w:r>
    </w:p>
    <w:p>
      <w:pPr>
        <w:pStyle w:val="12960"/>
        <w:pBdr/>
        <w:spacing/>
        <w:ind/>
        <w:rPr/>
      </w:pPr>
      <w:r>
        <w:t xml:space="preserve">Преобладающим видом топлива на котельных муниципального образования Астаповское является природный газ. Доля установленной мощности котельных, работающих на природном газе, составляет 100%.</w:t>
      </w:r>
      <w:r/>
    </w:p>
    <w:p>
      <w:pPr>
        <w:pStyle w:val="12960"/>
        <w:pBdr/>
        <w:spacing/>
        <w:ind/>
        <w:rPr/>
      </w:pPr>
      <w:r>
        <w:t xml:space="preserve">Срыва поставок основного топлива для котельных муниципального образования Астаповское в период с 2019 по 2025 гг. – не зафиксировано.</w:t>
      </w:r>
      <w:r/>
    </w:p>
    <w:p>
      <w:pPr>
        <w:pStyle w:val="12960"/>
        <w:pBdr/>
        <w:spacing/>
        <w:ind/>
        <w:rPr/>
      </w:pPr>
      <w:r>
        <w:t xml:space="preserve">На данный момент оборудование готово к работе в сложных условиях, связанных со значительным понижением температуры воздуха. </w:t>
      </w:r>
      <w:r/>
    </w:p>
    <w:p>
      <w:pPr>
        <w:pStyle w:val="12960"/>
        <w:pBdr/>
        <w:spacing/>
        <w:ind/>
        <w:rPr>
          <w:lang w:eastAsia="ru-RU"/>
        </w:rPr>
      </w:pPr>
      <w:r>
        <w:t xml:space="preserve">Никаких ограничений в энергоснабжении потребителей не планируется. На период экстремальных погодных</w:t>
      </w:r>
      <w:r>
        <w:rPr>
          <w:lang w:eastAsia="ru-RU"/>
        </w:rPr>
        <w:t xml:space="preserve"> условий на предприятиях компании введен усиленный контроль над работой систем и оборудования.</w:t>
      </w:r>
      <w:r>
        <w:rPr>
          <w:lang w:eastAsia="ru-RU"/>
        </w:rPr>
      </w:r>
    </w:p>
    <w:p>
      <w:pPr>
        <w:pStyle w:val="10535"/>
        <w:numPr>
          <w:ilvl w:val="1"/>
          <w:numId w:val="111"/>
        </w:numPr>
        <w:pBdr/>
        <w:spacing/>
        <w:ind w:firstLine="0" w:left="0"/>
        <w:rPr>
          <w:rFonts w:cs="Times New Roman"/>
          <w:szCs w:val="24"/>
          <w:lang w:eastAsia="ru-RU"/>
        </w:rPr>
      </w:pPr>
      <w:r/>
      <w:bookmarkStart w:id="448" w:name="_Toc166767201"/>
      <w:r/>
      <w:bookmarkStart w:id="449" w:name="_Toc78674748"/>
      <w:r/>
      <w:bookmarkStart w:id="450" w:name="_Toc84970985"/>
      <w:r/>
      <w:bookmarkStart w:id="451" w:name="_Toc198483541"/>
      <w:r>
        <w:rPr>
          <w:rFonts w:cs="Times New Roman"/>
          <w:szCs w:val="24"/>
          <w:lang w:eastAsia="ru-RU"/>
        </w:rPr>
        <w:t xml:space="preserve">Описание приоритетного направления развития топливного баланса поселения, муниципального образования</w:t>
      </w:r>
      <w:bookmarkEnd w:id="448"/>
      <w:r/>
      <w:bookmarkEnd w:id="449"/>
      <w:r/>
      <w:bookmarkEnd w:id="450"/>
      <w:r/>
      <w:bookmarkEnd w:id="451"/>
      <w:r/>
      <w:r>
        <w:rPr>
          <w:rFonts w:cs="Times New Roman"/>
          <w:szCs w:val="24"/>
          <w:lang w:eastAsia="ru-RU"/>
        </w:rPr>
      </w:r>
    </w:p>
    <w:p>
      <w:pPr>
        <w:pStyle w:val="12960"/>
        <w:pBdr/>
        <w:spacing/>
        <w:ind/>
        <w:rPr>
          <w:lang w:eastAsia="ru-RU"/>
        </w:rPr>
      </w:pPr>
      <w:r>
        <w:t xml:space="preserve">Приоритетным направлением развития топливного баланса поселения является полный охват системой теплоснабжения территории поселения с использованием существующими</w:t>
      </w:r>
      <w:r>
        <w:rPr>
          <w:lang w:eastAsia="ru-RU"/>
        </w:rPr>
        <w:t xml:space="preserve"> и перспективными источниками тепловой энергии в качестве основного топлива природный газ.</w:t>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pPr>
      <w:r>
        <w:rPr>
          <w:lang w:eastAsia="ru-RU"/>
        </w:rPr>
      </w:r>
      <w:r>
        <w:rPr>
          <w:lang w:eastAsia="ru-RU"/>
        </w:rPr>
      </w:r>
    </w:p>
    <w:p>
      <w:pPr>
        <w:pStyle w:val="12960"/>
        <w:pBdr/>
        <w:spacing/>
        <w:ind/>
        <w:rPr>
          <w:lang w:eastAsia="ru-RU"/>
        </w:rPr>
        <w:sectPr>
          <w:headerReference w:type="default" r:id="rId68"/>
          <w:headerReference w:type="first" r:id="rId69"/>
          <w:footerReference w:type="default" r:id="rId335"/>
          <w:footerReference w:type="even" r:id="rId336"/>
          <w:footerReference w:type="first" r:id="rId337"/>
          <w:footnotePr/>
          <w:endnotePr/>
          <w:type w:val="nextPage"/>
          <w:pgSz w:h="16838" w:orient="portrait" w:w="11906"/>
          <w:pgMar w:top="1134" w:right="850" w:bottom="1134" w:left="1701" w:header="567" w:footer="454" w:gutter="0"/>
          <w:cols w:num="1" w:sep="0" w:space="1701" w:equalWidth="1"/>
        </w:sectPr>
      </w:pPr>
      <w:r>
        <w:rPr>
          <w:lang w:eastAsia="ru-RU"/>
        </w:rPr>
      </w:r>
      <w:r>
        <w:rPr>
          <w:lang w:eastAsia="ru-RU"/>
        </w:rPr>
      </w:r>
    </w:p>
    <w:p>
      <w:pPr>
        <w:pStyle w:val="10534"/>
        <w:numPr>
          <w:ilvl w:val="0"/>
          <w:numId w:val="13"/>
        </w:numPr>
        <w:pBdr/>
        <w:spacing/>
        <w:ind/>
        <w:rPr>
          <w:spacing w:val="0"/>
        </w:rPr>
      </w:pPr>
      <w:r/>
      <w:bookmarkStart w:id="452" w:name="_Toc198483542"/>
      <w:r/>
      <w:bookmarkStart w:id="453" w:name="_Toc166767202"/>
      <w:r/>
      <w:bookmarkStart w:id="454" w:name="_Toc84970986"/>
      <w:r/>
      <w:bookmarkStart w:id="455" w:name="_Toc78674749"/>
      <w:r>
        <w:rPr>
          <w:spacing w:val="0"/>
          <w:lang w:val="en-US"/>
        </w:rPr>
        <w:t xml:space="preserve">Надежность теплоснабжения</w:t>
      </w:r>
      <w:bookmarkEnd w:id="452"/>
      <w:r/>
      <w:bookmarkEnd w:id="453"/>
      <w:r/>
      <w:bookmarkEnd w:id="454"/>
      <w:r/>
      <w:bookmarkEnd w:id="455"/>
      <w:r/>
      <w:r>
        <w:rPr>
          <w:spacing w:val="0"/>
        </w:rPr>
      </w:r>
    </w:p>
    <w:p>
      <w:pPr>
        <w:pStyle w:val="12960"/>
        <w:pBdr/>
        <w:spacing/>
        <w:ind/>
        <w:rPr/>
      </w:pPr>
      <w:r>
        <w:t xml:space="preserve">Применительно к системам теплоснабжения надёжность можно рассматривать как свойство системы: </w:t>
      </w:r>
      <w:r/>
    </w:p>
    <w:p>
      <w:pPr>
        <w:pStyle w:val="12960"/>
        <w:pBdr/>
        <w:spacing/>
        <w:ind/>
        <w:rPr/>
      </w:pPr>
      <w:r>
        <w:t xml:space="preserve">1. Бесперебойно снабжать потребителей в необходимом количестве тепловой энергией требуемого качества. </w:t>
      </w:r>
      <w:r/>
    </w:p>
    <w:p>
      <w:pPr>
        <w:pStyle w:val="12960"/>
        <w:pBdr/>
        <w:spacing/>
        <w:ind/>
        <w:rPr/>
      </w:pPr>
      <w:r>
        <w:t xml:space="preserve">2. Не допускать ситуаций, опасных для людей и окружающей среды. </w:t>
      </w:r>
      <w:r/>
    </w:p>
    <w:p>
      <w:pPr>
        <w:pStyle w:val="12960"/>
        <w:pBdr/>
        <w:spacing/>
        <w:ind/>
        <w:rPr/>
      </w:pPr>
      <w: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w:t>
      </w:r>
      <w:r>
        <w:t xml:space="preserve">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r/>
    </w:p>
    <w:p>
      <w:pPr>
        <w:pStyle w:val="12960"/>
        <w:pBdr/>
        <w:spacing/>
        <w:ind/>
        <w:rPr/>
      </w:pPr>
      <w:r>
        <w:rPr>
          <w:b/>
        </w:rPr>
        <w:t xml:space="preserve">Резервирование</w:t>
      </w:r>
      <w:r>
        <w:t xml:space="preserve"> – один из основных методов повышения надёжност</w:t>
      </w:r>
      <w:r>
        <w:t xml:space="preserve">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w:t>
      </w:r>
      <w:r>
        <w:t xml:space="preserve">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r/>
    </w:p>
    <w:p>
      <w:pPr>
        <w:pStyle w:val="12960"/>
        <w:pBdr/>
        <w:spacing/>
        <w:ind/>
        <w:rPr/>
      </w:pPr>
      <w:r>
        <w:t xml:space="preserve">Надёжность системы теплоснабжения можно оценить исходя из показателей износа тепломеханического оборудования. </w:t>
      </w:r>
      <w:r/>
    </w:p>
    <w:p>
      <w:pPr>
        <w:pStyle w:val="12960"/>
        <w:pBdr/>
        <w:spacing/>
        <w:ind/>
        <w:rPr/>
      </w:pPr>
      <w:r/>
      <w:bookmarkStart w:id="456" w:name="_Toc392758154"/>
      <w:r>
        <w:t xml:space="preserve">Показатели (критерии) надежности.</w:t>
      </w:r>
      <w:bookmarkEnd w:id="456"/>
      <w:r/>
      <w:r/>
    </w:p>
    <w:p>
      <w:pPr>
        <w:pStyle w:val="12960"/>
        <w:pBdr/>
        <w:spacing/>
        <w:ind/>
        <w:rPr/>
      </w:pPr>
      <w: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r/>
    </w:p>
    <w:p>
      <w:pPr>
        <w:pStyle w:val="12960"/>
        <w:pBdr/>
        <w:spacing/>
        <w:ind/>
        <w:rPr/>
      </w:pPr>
      <w:r>
        <w:rPr>
          <w:b/>
        </w:rPr>
        <w:t xml:space="preserve">Вероятность безотказной работы системы [Р] </w:t>
      </w:r>
      <w: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r/>
    </w:p>
    <w:p>
      <w:pPr>
        <w:pStyle w:val="12960"/>
        <w:pBdr/>
        <w:spacing/>
        <w:ind/>
        <w:rPr/>
      </w:pPr>
      <w:r>
        <w:rPr>
          <w:b/>
        </w:rPr>
        <w:t xml:space="preserve">Коэффициент готовности системы [Кг] </w:t>
      </w:r>
      <w: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r/>
    </w:p>
    <w:p>
      <w:pPr>
        <w:pStyle w:val="12960"/>
        <w:pBdr/>
        <w:spacing/>
        <w:ind/>
        <w:rPr/>
      </w:pPr>
      <w:r>
        <w:rPr>
          <w:b/>
        </w:rPr>
        <w:t xml:space="preserve">Живучесть системы [Ж] </w:t>
      </w:r>
      <w: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r/>
    </w:p>
    <w:p>
      <w:pPr>
        <w:pStyle w:val="12960"/>
        <w:pBdr/>
        <w:spacing/>
        <w:ind/>
        <w:rPr/>
      </w:pPr>
      <w:r/>
      <w:bookmarkStart w:id="457" w:name="_Toc392758155"/>
      <w:r>
        <w:t xml:space="preserve">Вероятность безотказной работы [P].</w:t>
      </w:r>
      <w:bookmarkEnd w:id="457"/>
      <w:r/>
      <w:r/>
    </w:p>
    <w:p>
      <w:pPr>
        <w:pStyle w:val="12960"/>
        <w:pBdr/>
        <w:spacing/>
        <w:ind/>
        <w:rPr/>
      </w:pPr>
      <w:r>
        <w:t xml:space="preserve">Вероятность безотказной работы [Р] для каждого </w:t>
      </w:r>
      <w:r>
        <w:rPr>
          <w:i/>
        </w:rPr>
        <w:t xml:space="preserve">j</w:t>
      </w:r>
      <w:r>
        <w:t xml:space="preserve">-го участка трубопровода в течение одного года вычисляется с помощью плотности потока отказов </w:t>
      </w:r>
      <w:r>
        <w:rPr>
          <w:i/>
        </w:rPr>
        <w:t xml:space="preserve">ωjР </w:t>
      </w:r>
      <w:r/>
    </w:p>
    <w:p>
      <w:pPr>
        <w:pStyle w:val="12960"/>
        <w:pBdr/>
        <w:spacing/>
        <w:ind/>
        <w:jc w:val="center"/>
        <w:rPr/>
      </w:pPr>
      <w:r>
        <w:t xml:space="preserve">Р =е</w:t>
      </w:r>
      <w:r>
        <w:rPr>
          <w:vertAlign w:val="superscript"/>
        </w:rPr>
        <w:t xml:space="preserve">(-ωjР)</w:t>
      </w:r>
      <w:r>
        <w:t xml:space="preserve">;</w:t>
      </w:r>
      <w:r/>
    </w:p>
    <w:p>
      <w:pPr>
        <w:pStyle w:val="12960"/>
        <w:pBdr/>
        <w:spacing/>
        <w:ind/>
        <w:rPr/>
      </w:pPr>
      <w:r>
        <w:t xml:space="preserve">Вычисленные на предварительном этапе плотности потока отказов </w:t>
      </w:r>
      <w:r>
        <w:rPr>
          <w:i/>
        </w:rPr>
        <w:t xml:space="preserve">ωjЕ </w:t>
      </w:r>
      <w:r>
        <w:t xml:space="preserve">и </w:t>
      </w:r>
      <w:r>
        <w:rPr>
          <w:i/>
        </w:rPr>
        <w:t xml:space="preserve">ωjР</w:t>
      </w:r>
      <w: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r/>
    </w:p>
    <w:p>
      <w:pPr>
        <w:pStyle w:val="12960"/>
        <w:pBdr/>
        <w:spacing/>
        <w:ind/>
        <w:rPr/>
      </w:pPr>
      <w:r>
        <w:t xml:space="preserve">Вероятность безотказной работы [Р] определяется по формуле: </w:t>
      </w:r>
      <w:r/>
    </w:p>
    <w:p>
      <w:pPr>
        <w:pStyle w:val="12960"/>
        <w:pBdr/>
        <w:spacing/>
        <w:ind/>
        <w:jc w:val="center"/>
        <w:rPr/>
      </w:pPr>
      <w:r>
        <w:t xml:space="preserve">Р = е</w:t>
      </w:r>
      <w:r>
        <w:rPr>
          <w:vertAlign w:val="superscript"/>
        </w:rPr>
        <w:t xml:space="preserve">-ω</w:t>
      </w:r>
      <w:r>
        <w:t xml:space="preserve">;</w:t>
      </w:r>
      <w:r/>
    </w:p>
    <w:p>
      <w:pPr>
        <w:pStyle w:val="12960"/>
        <w:pBdr/>
        <w:spacing/>
        <w:ind/>
        <w:rPr/>
      </w:pPr>
      <w: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r/>
    </w:p>
    <w:p>
      <w:pPr>
        <w:pStyle w:val="12960"/>
        <w:pBdr/>
        <w:spacing/>
        <w:ind/>
        <w:jc w:val="center"/>
        <w:rPr/>
      </w:pPr>
      <w:r>
        <w:t xml:space="preserve">ω = а·m·К</w:t>
      </w:r>
      <w:r>
        <w:rPr>
          <w:vertAlign w:val="subscript"/>
        </w:rPr>
        <w:t xml:space="preserve">с</w:t>
      </w:r>
      <w:r>
        <w:t xml:space="preserve">·d</w:t>
      </w:r>
      <w:r>
        <w:rPr>
          <w:vertAlign w:val="superscript"/>
        </w:rPr>
        <w:t xml:space="preserve">0,208</w:t>
      </w:r>
      <w:r>
        <w:t xml:space="preserve">;</w:t>
      </w:r>
      <w:r/>
    </w:p>
    <w:p>
      <w:pPr>
        <w:pStyle w:val="12960"/>
        <w:pBdr/>
        <w:spacing/>
        <w:ind/>
        <w:rPr/>
      </w:pPr>
      <w:r>
        <w:t xml:space="preserve">где:</w:t>
      </w:r>
      <w:r/>
    </w:p>
    <w:p>
      <w:pPr>
        <w:pStyle w:val="12960"/>
        <w:pBdr/>
        <w:spacing/>
        <w:ind/>
        <w:rPr/>
      </w:pPr>
      <w:r>
        <w:t xml:space="preserve">а – эмпирический коэффициент. </w:t>
      </w:r>
      <w:r/>
    </w:p>
    <w:p>
      <w:pPr>
        <w:pStyle w:val="12960"/>
        <w:pBdr/>
        <w:spacing/>
        <w:ind/>
        <w:rPr/>
      </w:pPr>
      <w:r>
        <w:t xml:space="preserve">При нормативном уровне безотказности, а = 0,00003; </w:t>
      </w:r>
      <w:r/>
    </w:p>
    <w:p>
      <w:pPr>
        <w:pStyle w:val="12960"/>
        <w:pBdr/>
        <w:spacing/>
        <w:ind/>
        <w:rPr/>
      </w:pPr>
      <w: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r/>
    </w:p>
    <w:p>
      <w:pPr>
        <w:pStyle w:val="12960"/>
        <w:pBdr/>
        <w:spacing/>
        <w:ind/>
        <w:rPr/>
      </w:pPr>
      <w:r>
        <w:t xml:space="preserve">Кс – коэффициент, уч</w:t>
      </w:r>
      <w:r>
        <w:t xml:space="preserve">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r/>
    </w:p>
    <w:p>
      <w:pPr>
        <w:pStyle w:val="12960"/>
        <w:pBdr/>
        <w:spacing/>
        <w:ind/>
        <w:jc w:val="center"/>
        <w:rPr/>
      </w:pPr>
      <w:r>
        <w:t xml:space="preserve">К</w:t>
      </w:r>
      <w:r>
        <w:rPr>
          <w:vertAlign w:val="subscript"/>
        </w:rPr>
        <w:t xml:space="preserve">с </w:t>
      </w:r>
      <w:r>
        <w:t xml:space="preserve">= 3·И</w:t>
      </w:r>
      <w:r>
        <w:rPr>
          <w:vertAlign w:val="superscript"/>
        </w:rPr>
        <w:t xml:space="preserve">2,6</w:t>
      </w:r>
      <w:r/>
    </w:p>
    <w:p>
      <w:pPr>
        <w:pStyle w:val="12960"/>
        <w:pBdr/>
        <w:spacing/>
        <w:ind/>
        <w:jc w:val="center"/>
        <w:rPr/>
      </w:pPr>
      <w:r>
        <w:t xml:space="preserve">И = n/no</w:t>
      </w:r>
      <w:r/>
    </w:p>
    <w:p>
      <w:pPr>
        <w:pStyle w:val="12960"/>
        <w:pBdr/>
        <w:spacing/>
        <w:ind/>
        <w:rPr/>
      </w:pPr>
      <w:r>
        <w:t xml:space="preserve">где:</w:t>
      </w:r>
      <w:r/>
    </w:p>
    <w:p>
      <w:pPr>
        <w:pStyle w:val="12960"/>
        <w:pBdr/>
        <w:spacing/>
        <w:ind/>
        <w:rPr/>
      </w:pPr>
      <w:r>
        <w:t xml:space="preserve">И – индекс утраты ресурса; </w:t>
      </w:r>
      <w:r/>
    </w:p>
    <w:p>
      <w:pPr>
        <w:pStyle w:val="12960"/>
        <w:pBdr/>
        <w:spacing/>
        <w:ind/>
        <w:rPr/>
      </w:pPr>
      <w:r>
        <w:t xml:space="preserve">№ – </w:t>
      </w:r>
      <w:r>
        <w:t xml:space="preserve">срок службы теплопровода с момента ввода в эксплуатацию (в годах); </w:t>
      </w:r>
      <w:r/>
    </w:p>
    <w:p>
      <w:pPr>
        <w:pStyle w:val="12960"/>
        <w:pBdr/>
        <w:spacing/>
        <w:ind/>
        <w:rPr/>
      </w:pPr>
      <w:r>
        <w:t xml:space="preserve">no – расчетный срок службы теплопровода (в годах). </w:t>
      </w:r>
      <w:r/>
    </w:p>
    <w:p>
      <w:pPr>
        <w:pStyle w:val="12960"/>
        <w:pBdr/>
        <w:spacing/>
        <w:ind/>
        <w:rPr/>
      </w:pPr>
      <w:r>
        <w:t xml:space="preserve">Нормативные (минимально допустимые) показатели вероятности безотказной работы согласно СП 74.13330.2023 принимаются для: </w:t>
      </w:r>
      <w:r/>
    </w:p>
    <w:p>
      <w:pPr>
        <w:pStyle w:val="12960"/>
        <w:pBdr/>
        <w:spacing/>
        <w:ind/>
        <w:rPr/>
      </w:pPr>
      <w:r>
        <w:t xml:space="preserve">- источника тепловой энергии – Рит = 0,97; </w:t>
      </w:r>
      <w:r/>
    </w:p>
    <w:p>
      <w:pPr>
        <w:pStyle w:val="12960"/>
        <w:pBdr/>
        <w:spacing/>
        <w:ind/>
        <w:rPr/>
      </w:pPr>
      <w:r>
        <w:t xml:space="preserve">- тепловых сетей – Ртс = 0,90; </w:t>
      </w:r>
      <w:r/>
    </w:p>
    <w:p>
      <w:pPr>
        <w:pStyle w:val="12960"/>
        <w:pBdr/>
        <w:spacing/>
        <w:ind/>
        <w:rPr/>
      </w:pPr>
      <w:r>
        <w:t xml:space="preserve">- потребителя теплоты – Рпт = 0,99; </w:t>
      </w:r>
      <w:r/>
    </w:p>
    <w:p>
      <w:pPr>
        <w:pStyle w:val="12960"/>
        <w:pBdr/>
        <w:spacing/>
        <w:ind/>
        <w:jc w:val="center"/>
        <w:rPr/>
      </w:pPr>
      <w:r>
        <w:t xml:space="preserve">СЦТ – Рсцт = 0,9*0,97*0,99 = 0,86.</w:t>
      </w:r>
      <w:r/>
    </w:p>
    <w:p>
      <w:pPr>
        <w:pStyle w:val="12960"/>
        <w:pBdr/>
        <w:spacing/>
        <w:ind/>
        <w:rPr/>
      </w:pPr>
      <w: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r/>
    </w:p>
    <w:p>
      <w:pPr>
        <w:pStyle w:val="12960"/>
        <w:pBdr/>
        <w:spacing/>
        <w:ind/>
        <w:rPr/>
      </w:pPr>
      <w:r>
        <w:t xml:space="preserve">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r/>
    </w:p>
    <w:p>
      <w:pPr>
        <w:pStyle w:val="12960"/>
        <w:pBdr/>
        <w:spacing/>
        <w:ind/>
        <w:rPr/>
      </w:pPr>
      <w:r>
        <w:t xml:space="preserve">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r/>
    </w:p>
    <w:p>
      <w:pPr>
        <w:pStyle w:val="13832"/>
        <w:numPr>
          <w:ilvl w:val="0"/>
          <w:numId w:val="61"/>
        </w:numPr>
        <w:pBdr/>
        <w:spacing/>
        <w:ind w:hanging="284" w:left="1135"/>
        <w:rPr>
          <w:lang w:eastAsia="ru-RU"/>
        </w:rPr>
      </w:pPr>
      <w:r>
        <w:rPr>
          <w:lang w:eastAsia="ru-RU"/>
        </w:rPr>
        <w:t xml:space="preserve">источника теплоты Рит = 0,97;</w:t>
      </w:r>
      <w:r>
        <w:rPr>
          <w:lang w:eastAsia="ru-RU"/>
        </w:rPr>
      </w:r>
    </w:p>
    <w:p>
      <w:pPr>
        <w:pStyle w:val="13832"/>
        <w:numPr>
          <w:ilvl w:val="0"/>
          <w:numId w:val="61"/>
        </w:numPr>
        <w:pBdr/>
        <w:spacing/>
        <w:ind w:hanging="284" w:left="1135"/>
        <w:rPr>
          <w:lang w:eastAsia="ru-RU"/>
        </w:rPr>
      </w:pPr>
      <w:r>
        <w:rPr>
          <w:lang w:eastAsia="ru-RU"/>
        </w:rPr>
        <w:t xml:space="preserve">тепловых сетей Ртс = 0,9;</w:t>
      </w:r>
      <w:r>
        <w:rPr>
          <w:lang w:eastAsia="ru-RU"/>
        </w:rPr>
      </w:r>
    </w:p>
    <w:p>
      <w:pPr>
        <w:pStyle w:val="13832"/>
        <w:numPr>
          <w:ilvl w:val="0"/>
          <w:numId w:val="61"/>
        </w:numPr>
        <w:pBdr/>
        <w:spacing/>
        <w:ind w:hanging="284" w:left="1135"/>
        <w:rPr>
          <w:lang w:eastAsia="ru-RU"/>
        </w:rPr>
      </w:pPr>
      <w:r>
        <w:rPr>
          <w:lang w:eastAsia="ru-RU"/>
        </w:rPr>
        <w:t xml:space="preserve">потребителя теплоты Рпт = 0,99;</w:t>
      </w:r>
      <w:r>
        <w:rPr>
          <w:lang w:eastAsia="ru-RU"/>
        </w:rPr>
      </w:r>
    </w:p>
    <w:p>
      <w:pPr>
        <w:pStyle w:val="13832"/>
        <w:numPr>
          <w:ilvl w:val="0"/>
          <w:numId w:val="61"/>
        </w:numPr>
        <w:pBdr/>
        <w:spacing/>
        <w:ind w:hanging="284" w:left="1135"/>
        <w:rPr>
          <w:lang w:eastAsia="ru-RU"/>
        </w:rPr>
      </w:pPr>
      <w:r>
        <w:rPr>
          <w:lang w:eastAsia="ru-RU"/>
        </w:rPr>
        <w:t xml:space="preserve">СЦТ в целом Рсцт = 0,9</w:t>
      </w:r>
      <w:r/>
      <m:oMath>
        <m:r>
          <w:rPr>
            <w:rFonts w:ascii="Cambria Math" w:hAnsi="Cambria Math"/>
          </w:rPr>
          <m:rPr/>
          <m:t>∙</m:t>
        </m:r>
      </m:oMath>
      <w:r>
        <w:rPr>
          <w:lang w:eastAsia="ru-RU"/>
        </w:rPr>
        <w:t xml:space="preserve">0,97</w:t>
      </w:r>
      <w:r/>
      <m:oMath>
        <m:r>
          <w:rPr>
            <w:rFonts w:ascii="Cambria Math" w:hAnsi="Cambria Math"/>
          </w:rPr>
          <m:rPr/>
          <m:t>∙</m:t>
        </m:r>
      </m:oMath>
      <w:r>
        <w:rPr>
          <w:lang w:eastAsia="ru-RU"/>
        </w:rPr>
        <w:t xml:space="preserve">0,99 = 0,86.</w:t>
      </w:r>
      <w:r>
        <w:rPr>
          <w:lang w:eastAsia="ru-RU"/>
        </w:rPr>
      </w:r>
    </w:p>
    <w:p>
      <w:pPr>
        <w:pStyle w:val="12960"/>
        <w:pBdr/>
        <w:spacing/>
        <w:ind/>
        <w:rPr/>
      </w:pPr>
      <w:r>
        <w:t xml:space="preserve">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r/>
    </w:p>
    <w:p>
      <w:pPr>
        <w:pStyle w:val="12960"/>
        <w:pBdr/>
        <w:spacing/>
        <w:ind/>
        <w:rPr/>
      </w:pPr>
      <w:r>
        <w:t xml:space="preserve">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r/>
    </w:p>
    <w:p>
      <w:pPr>
        <w:pStyle w:val="12960"/>
        <w:pBdr/>
        <w:spacing/>
        <w:ind/>
        <w:rPr/>
      </w:pPr>
      <w:r>
        <w:t xml:space="preserve">2. На первом этапе расчета устанавливается перечень участков теплопроводов, составляющих этот путь.</w:t>
      </w:r>
      <w:r/>
    </w:p>
    <w:p>
      <w:pPr>
        <w:pStyle w:val="12960"/>
        <w:pBdr/>
        <w:spacing/>
        <w:ind/>
        <w:rPr/>
      </w:pPr>
      <w:r>
        <w:t xml:space="preserve">3. Для каждого участка тепловой сети устанавливаются: год его ввода в эксплуатацию, диаметр и протяженность.</w:t>
      </w:r>
      <w:r/>
    </w:p>
    <w:p>
      <w:pPr>
        <w:pStyle w:val="12960"/>
        <w:pBdr/>
        <w:spacing/>
        <w:ind/>
        <w:rPr/>
      </w:pPr>
      <w: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r/>
    </w:p>
    <w:p>
      <w:pPr>
        <w:pStyle w:val="13832"/>
        <w:numPr>
          <w:ilvl w:val="0"/>
          <w:numId w:val="61"/>
        </w:numPr>
        <w:pBdr/>
        <w:spacing/>
        <w:ind w:hanging="284" w:left="1135"/>
        <w:rPr>
          <w:lang w:eastAsia="ru-RU"/>
        </w:rPr>
      </w:pPr>
      <w:r/>
      <m:oMath>
        <m:sSub>
          <m:sSubPr>
            <m:ctrlPr/>
          </m:sSubPr>
          <m:e>
            <m:r>
              <w:rPr>
                <w:rFonts w:ascii="Cambria Math" w:hAnsi="Cambria Math"/>
              </w:rPr>
              <m:rPr/>
              <m:t>λ</m:t>
            </m:r>
          </m:e>
          <m:sub>
            <m:r>
              <w:rPr>
                <w:rFonts w:ascii="Cambria Math" w:hAnsi="Cambria Math"/>
              </w:rPr>
              <m:rPr/>
              <m:t>0</m:t>
            </m:r>
          </m:sub>
        </m:sSub>
      </m:oMath>
      <w:r>
        <w:rPr>
          <w:lang w:eastAsia="ru-RU"/>
        </w:rPr>
        <w:t xml:space="preserve">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r>
        <w:rPr>
          <w:lang w:eastAsia="ru-RU"/>
        </w:rPr>
      </w:r>
    </w:p>
    <w:p>
      <w:pPr>
        <w:pStyle w:val="13832"/>
        <w:numPr>
          <w:ilvl w:val="0"/>
          <w:numId w:val="61"/>
        </w:numPr>
        <w:pBdr/>
        <w:spacing/>
        <w:ind w:hanging="284" w:left="1135"/>
        <w:rPr>
          <w:lang w:eastAsia="ru-RU"/>
        </w:rPr>
      </w:pPr>
      <w:r>
        <w:rPr>
          <w:lang w:eastAsia="ru-RU"/>
        </w:rPr>
        <w:t xml:space="preserve">средневзвешенная частота (интенсивность) отказов для участков тепловой сети с продолжительностью эксплуатации от 1 до 3 лет;</w:t>
      </w:r>
      <w:r>
        <w:rPr>
          <w:lang w:eastAsia="ru-RU"/>
        </w:rPr>
      </w:r>
    </w:p>
    <w:p>
      <w:pPr>
        <w:pStyle w:val="13832"/>
        <w:numPr>
          <w:ilvl w:val="0"/>
          <w:numId w:val="61"/>
        </w:numPr>
        <w:pBdr/>
        <w:spacing/>
        <w:ind w:hanging="284" w:left="1135"/>
        <w:rPr>
          <w:lang w:eastAsia="ru-RU"/>
        </w:rPr>
      </w:pPr>
      <w:r>
        <w:rPr>
          <w:lang w:eastAsia="ru-RU"/>
        </w:rPr>
        <w:t xml:space="preserve">средневзвешенная частота (интенсивность) отказов для участков тепловой сети с продолжительностью эксплуатации от 17 и более лет;</w:t>
      </w:r>
      <w:r>
        <w:rPr>
          <w:lang w:eastAsia="ru-RU"/>
        </w:rPr>
      </w:r>
    </w:p>
    <w:p>
      <w:pPr>
        <w:pStyle w:val="13832"/>
        <w:numPr>
          <w:ilvl w:val="0"/>
          <w:numId w:val="61"/>
        </w:numPr>
        <w:pBdr/>
        <w:spacing/>
        <w:ind w:hanging="284" w:left="1135"/>
        <w:rPr>
          <w:lang w:eastAsia="ru-RU"/>
        </w:rPr>
      </w:pPr>
      <w:r>
        <w:rPr>
          <w:lang w:eastAsia="ru-RU"/>
        </w:rPr>
        <w:t xml:space="preserve">средневзвешенная продолжительность ремонта (восстановления) участков тепловой сети;</w:t>
      </w:r>
      <w:r>
        <w:rPr>
          <w:lang w:eastAsia="ru-RU"/>
        </w:rPr>
      </w:r>
    </w:p>
    <w:p>
      <w:pPr>
        <w:pStyle w:val="13832"/>
        <w:numPr>
          <w:ilvl w:val="0"/>
          <w:numId w:val="61"/>
        </w:numPr>
        <w:pBdr/>
        <w:spacing/>
        <w:ind w:hanging="284" w:left="1135"/>
        <w:rPr>
          <w:lang w:eastAsia="ru-RU"/>
        </w:rPr>
      </w:pPr>
      <w:r>
        <w:rPr>
          <w:lang w:eastAsia="ru-RU"/>
        </w:rPr>
        <w:t xml:space="preserve">средневзвешенная продолжительность ремонта (восстановления) участков тепловой сети в зависимости от диаметра участка.</w:t>
      </w:r>
      <w:r>
        <w:rPr>
          <w:lang w:eastAsia="ru-RU"/>
        </w:rPr>
      </w:r>
    </w:p>
    <w:p>
      <w:pPr>
        <w:pStyle w:val="12960"/>
        <w:pBdr/>
        <w:spacing/>
        <w:ind/>
        <w:rPr/>
      </w:pPr>
      <w:r>
        <w:t xml:space="preserve">Частота (интенсивность) отказов каждого участка тепловой сети измеряется с помощью показателя </w:t>
      </w:r>
      <w:r/>
      <m:oMath>
        <m:sSub>
          <m:sSubPr>
            <m:ctrlPr/>
          </m:sSubPr>
          <m:e>
            <m:r>
              <w:rPr>
                <w:rFonts w:ascii="Cambria Math" w:hAnsi="Cambria Math"/>
              </w:rPr>
              <m:rPr/>
              <m:t>λ</m:t>
            </m:r>
          </m:e>
          <m:sub>
            <m:r>
              <w:rPr>
                <w:rFonts w:ascii="Cambria Math" w:hAnsi="Cambria Math"/>
              </w:rPr>
              <m:rPr/>
              <m:t>i</m:t>
            </m:r>
          </m:sub>
        </m:sSub>
      </m:oMath>
      <w:r>
        <w:t xml:space="preserve">, который имеет размерность [1/км/год] или [1/км/час].</w:t>
      </w:r>
      <w:r/>
    </w:p>
    <w:p>
      <w:pPr>
        <w:pStyle w:val="12960"/>
        <w:pBdr/>
        <w:spacing/>
        <w:ind/>
        <w:rPr/>
      </w:pPr>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w:t>
      </w:r>
      <w:r>
        <w:t xml:space="preserve">,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r/>
    </w:p>
    <w:p>
      <w:pPr>
        <w:pStyle w:val="10533"/>
        <w:pBdr/>
        <w:spacing/>
        <w:ind/>
        <w:jc w:val="center"/>
        <w:rPr/>
      </w:pPr>
      <w:r/>
      <m:oMathPara>
        <m:oMathParaPr>
          <m:jc m:val="center"/>
        </m:oMathParaPr>
        <m:oMath>
          <m:sSub>
            <m:sSubPr>
              <m:ctrlPr/>
            </m:sSubPr>
            <m:e>
              <m:r>
                <w:rPr>
                  <w:rFonts w:ascii="Cambria Math" w:hAnsi="Cambria Math"/>
                </w:rPr>
                <m:rPr/>
                <m:t>P</m:t>
              </m:r>
            </m:e>
            <m:sub>
              <m:r>
                <w:rPr>
                  <w:rFonts w:ascii="Cambria Math" w:hAnsi="Cambria Math"/>
                </w:rPr>
                <m:rPr/>
                <m:t>c</m:t>
              </m:r>
            </m:sub>
          </m:sSub>
          <m:r>
            <w:rPr>
              <w:rFonts w:ascii="Cambria Math" w:hAnsi="Cambria Math"/>
            </w:rPr>
            <m:rPr/>
            <m:t>=</m:t>
          </m:r>
          <m:nary>
            <m:naryPr>
              <m:chr m:val="∏"/>
              <m:grow m:val="off"/>
              <m:ctrlPr/>
            </m:naryPr>
            <m:sub>
              <m:r>
                <w:rPr>
                  <w:rFonts w:ascii="Cambria Math" w:hAnsi="Cambria Math"/>
                </w:rPr>
                <m:rPr/>
                <m:t>i</m:t>
              </m:r>
              <m:r>
                <w:rPr>
                  <w:rFonts w:ascii="Cambria Math" w:hAnsi="Cambria Math"/>
                </w:rPr>
                <m:rPr/>
                <m:t>=</m:t>
              </m:r>
              <m:r>
                <w:rPr>
                  <w:rFonts w:ascii="Cambria Math" w:hAnsi="Cambria Math"/>
                </w:rPr>
                <m:rPr/>
                <m:t>1</m:t>
              </m:r>
            </m:sub>
            <m:sup>
              <m:r>
                <w:rPr>
                  <w:rFonts w:ascii="Cambria Math" w:hAnsi="Cambria Math"/>
                </w:rPr>
                <m:rPr/>
                <m:t>i</m:t>
              </m:r>
              <m:r>
                <w:rPr>
                  <w:rFonts w:ascii="Cambria Math" w:hAnsi="Cambria Math"/>
                </w:rPr>
                <m:rPr/>
                <m:t>=</m:t>
              </m:r>
              <m:r>
                <w:rPr>
                  <w:rFonts w:ascii="Cambria Math" w:hAnsi="Cambria Math"/>
                </w:rPr>
                <m:rPr/>
                <m:t>N</m:t>
              </m:r>
            </m:sup>
            <m:e>
              <m:sSub>
                <m:sSubPr>
                  <m:ctrlPr/>
                </m:sSubPr>
                <m:e>
                  <m:r>
                    <w:rPr>
                      <w:rFonts w:ascii="Cambria Math" w:hAnsi="Cambria Math"/>
                    </w:rPr>
                    <m:rPr/>
                    <m:t>P</m:t>
                  </m:r>
                </m:e>
                <m:sub>
                  <m:r>
                    <w:rPr>
                      <w:rFonts w:ascii="Cambria Math" w:hAnsi="Cambria Math"/>
                    </w:rPr>
                    <m:rPr/>
                    <m:t>i</m:t>
                  </m:r>
                </m:sub>
              </m:sSub>
              <m:r>
                <w:rPr>
                  <w:rFonts w:ascii="Cambria Math" w:hAnsi="Cambria Math"/>
                </w:rPr>
                <m:rPr/>
                <m:t>=</m:t>
              </m:r>
              <m:sSup>
                <m:sSupPr>
                  <m:ctrlPr/>
                </m:sSupPr>
                <m:e>
                  <m:r>
                    <w:rPr>
                      <w:rFonts w:ascii="Cambria Math" w:hAnsi="Cambria Math"/>
                    </w:rPr>
                    <m:rPr/>
                    <m:t>e</m:t>
                  </m:r>
                </m:e>
                <m:sup>
                  <m:r>
                    <w:rPr>
                      <w:rFonts w:ascii="Cambria Math" w:hAnsi="Cambria Math"/>
                    </w:rPr>
                    <m:rPr/>
                    <m:t>−</m:t>
                  </m:r>
                  <m:sSub>
                    <m:sSubPr>
                      <m:ctrlPr/>
                    </m:sSubPr>
                    <m:e>
                      <m:r>
                        <w:rPr>
                          <w:rFonts w:ascii="Cambria Math" w:hAnsi="Cambria Math"/>
                        </w:rPr>
                        <m:rPr/>
                        <m:t>λ</m:t>
                      </m:r>
                    </m:e>
                    <m:sub>
                      <m:r>
                        <w:rPr>
                          <w:rFonts w:ascii="Cambria Math" w:hAnsi="Cambria Math"/>
                        </w:rPr>
                        <m:rPr/>
                        <m:t>1</m:t>
                      </m:r>
                    </m:sub>
                  </m:sSub>
                  <m:sSub>
                    <m:sSubPr>
                      <m:ctrlPr/>
                    </m:sSubPr>
                    <m:e>
                      <m:r>
                        <w:rPr>
                          <w:rFonts w:ascii="Cambria Math" w:hAnsi="Cambria Math"/>
                        </w:rPr>
                        <m:rPr/>
                        <m:t>L</m:t>
                      </m:r>
                    </m:e>
                    <m:sub>
                      <m:r>
                        <w:rPr>
                          <w:rFonts w:ascii="Cambria Math" w:hAnsi="Cambria Math"/>
                        </w:rPr>
                        <m:rPr/>
                        <m:t>1</m:t>
                      </m:r>
                    </m:sub>
                  </m:sSub>
                  <m:r>
                    <w:rPr>
                      <w:rFonts w:ascii="Cambria Math" w:hAnsi="Cambria Math"/>
                    </w:rPr>
                    <m:rPr/>
                    <m:t>t</m:t>
                  </m:r>
                </m:sup>
              </m:sSup>
              <m:r>
                <w:rPr>
                  <w:rFonts w:ascii="Cambria Math" w:hAnsi="Cambria Math"/>
                </w:rPr>
                <m:rPr/>
                <m:t>×</m:t>
              </m:r>
              <m:sSup>
                <m:sSupPr>
                  <m:ctrlPr/>
                </m:sSupPr>
                <m:e>
                  <m:r>
                    <w:rPr>
                      <w:rFonts w:ascii="Cambria Math" w:hAnsi="Cambria Math"/>
                    </w:rPr>
                    <m:rPr/>
                    <m:t>e</m:t>
                  </m:r>
                </m:e>
                <m:sup>
                  <m:r>
                    <w:rPr>
                      <w:rFonts w:ascii="Cambria Math" w:hAnsi="Cambria Math"/>
                    </w:rPr>
                    <m:rPr/>
                    <m:t>−</m:t>
                  </m:r>
                  <m:sSub>
                    <m:sSubPr>
                      <m:ctrlPr/>
                    </m:sSubPr>
                    <m:e>
                      <m:r>
                        <w:rPr>
                          <w:rFonts w:ascii="Cambria Math" w:hAnsi="Cambria Math"/>
                        </w:rPr>
                        <m:rPr/>
                        <m:t>λ</m:t>
                      </m:r>
                    </m:e>
                    <m:sub>
                      <m:r>
                        <w:rPr>
                          <w:rFonts w:ascii="Cambria Math" w:hAnsi="Cambria Math"/>
                        </w:rPr>
                        <m:rPr/>
                        <m:t>2</m:t>
                      </m:r>
                    </m:sub>
                  </m:sSub>
                  <m:sSub>
                    <m:sSubPr>
                      <m:ctrlPr/>
                    </m:sSubPr>
                    <m:e>
                      <m:r>
                        <w:rPr>
                          <w:rFonts w:ascii="Cambria Math" w:hAnsi="Cambria Math"/>
                        </w:rPr>
                        <m:rPr/>
                        <m:t>L</m:t>
                      </m:r>
                    </m:e>
                    <m:sub>
                      <m:r>
                        <w:rPr>
                          <w:rFonts w:ascii="Cambria Math" w:hAnsi="Cambria Math"/>
                        </w:rPr>
                        <m:rPr/>
                        <m:t>2</m:t>
                      </m:r>
                    </m:sub>
                  </m:sSub>
                  <m:r>
                    <w:rPr>
                      <w:rFonts w:ascii="Cambria Math" w:hAnsi="Cambria Math"/>
                    </w:rPr>
                    <m:rPr/>
                    <m:t>t</m:t>
                  </m:r>
                </m:sup>
              </m:sSup>
              <m:r>
                <w:rPr>
                  <w:rFonts w:ascii="Cambria Math" w:hAnsi="Cambria Math"/>
                </w:rPr>
                <m:rPr/>
                <m:t>×</m:t>
              </m:r>
              <m:r>
                <w:rPr>
                  <w:rFonts w:ascii="Cambria Math" w:hAnsi="Cambria Math"/>
                </w:rPr>
                <m:rPr/>
                <m:t>⋯</m:t>
              </m:r>
              <m:r>
                <w:rPr>
                  <w:rFonts w:ascii="Cambria Math" w:hAnsi="Cambria Math"/>
                </w:rPr>
                <m:rPr/>
                <m:t>×</m:t>
              </m:r>
              <m:sSup>
                <m:sSupPr>
                  <m:ctrlPr/>
                </m:sSupPr>
                <m:e>
                  <m:r>
                    <w:rPr>
                      <w:rFonts w:ascii="Cambria Math" w:hAnsi="Cambria Math"/>
                    </w:rPr>
                    <m:rPr/>
                    <m:t>e</m:t>
                  </m:r>
                </m:e>
                <m:sup>
                  <m:r>
                    <w:rPr>
                      <w:rFonts w:ascii="Cambria Math" w:hAnsi="Cambria Math"/>
                    </w:rPr>
                    <m:rPr/>
                    <m:t>−</m:t>
                  </m:r>
                  <m:sSub>
                    <m:sSubPr>
                      <m:ctrlPr/>
                    </m:sSubPr>
                    <m:e>
                      <m:r>
                        <w:rPr>
                          <w:rFonts w:ascii="Cambria Math" w:hAnsi="Cambria Math"/>
                        </w:rPr>
                        <m:rPr/>
                        <m:t>λ</m:t>
                      </m:r>
                    </m:e>
                    <m:sub>
                      <m:r>
                        <w:rPr>
                          <w:rFonts w:ascii="Cambria Math" w:hAnsi="Cambria Math"/>
                        </w:rPr>
                        <m:rPr/>
                        <m:t>n</m:t>
                      </m:r>
                    </m:sub>
                  </m:sSub>
                  <m:sSub>
                    <m:sSubPr>
                      <m:ctrlPr/>
                    </m:sSubPr>
                    <m:e>
                      <m:r>
                        <w:rPr>
                          <w:rFonts w:ascii="Cambria Math" w:hAnsi="Cambria Math"/>
                        </w:rPr>
                        <m:rPr/>
                        <m:t>L</m:t>
                      </m:r>
                    </m:e>
                    <m:sub>
                      <m:r>
                        <w:rPr>
                          <w:rFonts w:ascii="Cambria Math" w:hAnsi="Cambria Math"/>
                        </w:rPr>
                        <m:rPr/>
                        <m:t>n</m:t>
                      </m:r>
                    </m:sub>
                  </m:sSub>
                  <m:r>
                    <w:rPr>
                      <w:rFonts w:ascii="Cambria Math" w:hAnsi="Cambria Math"/>
                    </w:rPr>
                    <m:rPr/>
                    <m:t>t</m:t>
                  </m:r>
                </m:sup>
              </m:sSup>
              <m:r>
                <w:rPr>
                  <w:rFonts w:ascii="Cambria Math" w:hAnsi="Cambria Math"/>
                </w:rPr>
                <m:rPr/>
                <m:t>=</m:t>
              </m:r>
              <m:sSup>
                <m:sSupPr>
                  <m:ctrlPr/>
                </m:sSupPr>
                <m:e>
                  <m:r>
                    <w:rPr>
                      <w:rFonts w:ascii="Cambria Math" w:hAnsi="Cambria Math"/>
                    </w:rPr>
                    <m:rPr/>
                    <m:t>e</m:t>
                  </m:r>
                </m:e>
                <m:sup>
                  <m:r>
                    <w:rPr>
                      <w:rFonts w:ascii="Cambria Math" w:hAnsi="Cambria Math"/>
                    </w:rPr>
                    <m:rPr/>
                    <m:t>−</m:t>
                  </m:r>
                  <m:r>
                    <w:rPr>
                      <w:rFonts w:ascii="Cambria Math" w:hAnsi="Cambria Math"/>
                    </w:rPr>
                    <m:rPr/>
                    <m:t>t</m:t>
                  </m:r>
                  <m:r>
                    <w:rPr>
                      <w:rFonts w:ascii="Cambria Math" w:hAnsi="Cambria Math"/>
                    </w:rPr>
                    <m:rPr/>
                    <m:t>×</m:t>
                  </m:r>
                  <m:nary>
                    <m:naryPr>
                      <m:chr m:val="∑"/>
                      <m:grow m:val="off"/>
                      <m:ctrlPr/>
                    </m:naryPr>
                    <m:sub>
                      <m:r>
                        <w:rPr>
                          <w:rFonts w:ascii="Cambria Math" w:hAnsi="Cambria Math"/>
                        </w:rPr>
                        <m:rPr/>
                        <m:t>i</m:t>
                      </m:r>
                      <m:r>
                        <w:rPr>
                          <w:rFonts w:ascii="Cambria Math" w:hAnsi="Cambria Math"/>
                        </w:rPr>
                        <m:rPr/>
                        <m:t>=</m:t>
                      </m:r>
                      <m:r>
                        <w:rPr>
                          <w:rFonts w:ascii="Cambria Math" w:hAnsi="Cambria Math"/>
                        </w:rPr>
                        <m:rPr/>
                        <m:t>1</m:t>
                      </m:r>
                    </m:sub>
                    <m:sup>
                      <m:r>
                        <w:rPr>
                          <w:rFonts w:ascii="Cambria Math" w:hAnsi="Cambria Math"/>
                        </w:rPr>
                        <m:rPr/>
                        <m:t>i</m:t>
                      </m:r>
                      <m:r>
                        <w:rPr>
                          <w:rFonts w:ascii="Cambria Math" w:hAnsi="Cambria Math"/>
                        </w:rPr>
                        <m:rPr/>
                        <m:t>=</m:t>
                      </m:r>
                      <m:r>
                        <w:rPr>
                          <w:rFonts w:ascii="Cambria Math" w:hAnsi="Cambria Math"/>
                        </w:rPr>
                        <m:rPr/>
                        <m:t>N</m:t>
                      </m:r>
                    </m:sup>
                    <m:e>
                      <m:sSub>
                        <m:sSubPr>
                          <m:ctrlPr/>
                        </m:sSubPr>
                        <m:e>
                          <m:r>
                            <w:rPr>
                              <w:rFonts w:ascii="Cambria Math" w:hAnsi="Cambria Math"/>
                            </w:rPr>
                            <m:rPr/>
                            <m:t>λ</m:t>
                          </m:r>
                        </m:e>
                        <m:sub>
                          <m:r>
                            <w:rPr>
                              <w:rFonts w:ascii="Cambria Math" w:hAnsi="Cambria Math"/>
                            </w:rPr>
                            <m:rPr/>
                            <m:t>i</m:t>
                          </m:r>
                        </m:sub>
                      </m:sSub>
                      <m:sSub>
                        <m:sSubPr>
                          <m:ctrlPr/>
                        </m:sSubPr>
                        <m:e>
                          <m:r>
                            <w:rPr>
                              <w:rFonts w:ascii="Cambria Math" w:hAnsi="Cambria Math"/>
                            </w:rPr>
                            <m:rPr/>
                            <m:t>L</m:t>
                          </m:r>
                        </m:e>
                        <m:sub>
                          <m:r>
                            <w:rPr>
                              <w:rFonts w:ascii="Cambria Math" w:hAnsi="Cambria Math"/>
                            </w:rPr>
                            <m:rPr/>
                            <m:t>i</m:t>
                          </m:r>
                        </m:sub>
                      </m:sSub>
                    </m:e>
                  </m:nary>
                </m:sup>
              </m:sSup>
              <m:r>
                <w:rPr>
                  <w:rFonts w:ascii="Cambria Math" w:hAnsi="Cambria Math"/>
                </w:rPr>
                <m:rPr/>
                <m:t>=</m:t>
              </m:r>
              <m:sSup>
                <m:sSupPr>
                  <m:ctrlPr/>
                </m:sSupPr>
                <m:e>
                  <m:r>
                    <w:rPr>
                      <w:rFonts w:ascii="Cambria Math" w:hAnsi="Cambria Math"/>
                    </w:rPr>
                    <m:rPr/>
                    <m:t>e</m:t>
                  </m:r>
                </m:e>
                <m:sup>
                  <m:sSub>
                    <m:sSubPr>
                      <m:ctrlPr/>
                    </m:sSubPr>
                    <m:e>
                      <m:r>
                        <w:rPr>
                          <w:rFonts w:ascii="Cambria Math" w:hAnsi="Cambria Math"/>
                        </w:rPr>
                        <m:rPr/>
                        <m:t>λ</m:t>
                      </m:r>
                    </m:e>
                    <m:sub>
                      <m:r>
                        <w:rPr>
                          <w:rFonts w:ascii="Cambria Math" w:hAnsi="Cambria Math"/>
                        </w:rPr>
                        <m:rPr/>
                        <m:t>c</m:t>
                      </m:r>
                    </m:sub>
                  </m:sSub>
                  <m:r>
                    <w:rPr>
                      <w:rFonts w:ascii="Cambria Math" w:hAnsi="Cambria Math"/>
                    </w:rPr>
                    <m:rPr/>
                    <m:t>t</m:t>
                  </m:r>
                </m:sup>
              </m:sSup>
            </m:e>
          </m:nary>
        </m:oMath>
      </m:oMathPara>
      <w:r/>
      <w:r/>
    </w:p>
    <w:p>
      <w:pPr>
        <w:pStyle w:val="12960"/>
        <w:pBdr/>
        <w:spacing/>
        <w:ind/>
        <w:rPr/>
      </w:pPr>
      <w:r>
        <w:t xml:space="preserve">Интенсивность отказов всего последовательного соединения равна сумме интенсивностей отказов на каждом участке,</w:t>
      </w:r>
      <w:r/>
    </w:p>
    <w:p>
      <w:pPr>
        <w:pStyle w:val="10533"/>
        <w:pBdr/>
        <w:spacing/>
        <w:ind/>
        <w:jc w:val="center"/>
        <w:rPr/>
      </w:pPr>
      <w:r/>
      <m:oMath>
        <m:sSub>
          <m:sSubPr>
            <m:ctrlPr/>
          </m:sSubPr>
          <m:e>
            <m:r>
              <w:rPr>
                <w:rFonts w:ascii="Cambria Math" w:hAnsi="Cambria Math"/>
              </w:rPr>
              <m:rPr/>
              <m:t>λ</m:t>
            </m:r>
          </m:e>
          <m:sub>
            <m:r>
              <w:rPr>
                <w:rFonts w:ascii="Cambria Math" w:hAnsi="Cambria Math"/>
              </w:rPr>
              <m:rPr/>
              <m:t>c</m:t>
            </m:r>
          </m:sub>
        </m:sSub>
        <m:r>
          <w:rPr>
            <w:rFonts w:ascii="Cambria Math" w:hAnsi="Cambria Math"/>
          </w:rPr>
          <m:rPr/>
          <m:t>=</m:t>
        </m:r>
        <m:sSub>
          <m:sSubPr>
            <m:ctrlPr/>
          </m:sSubPr>
          <m:e>
            <m:r>
              <w:rPr>
                <w:rFonts w:ascii="Cambria Math" w:hAnsi="Cambria Math"/>
              </w:rPr>
              <m:rPr/>
              <m:t>L</m:t>
            </m:r>
          </m:e>
          <m:sub>
            <m:r>
              <w:rPr>
                <w:rFonts w:ascii="Cambria Math" w:hAnsi="Cambria Math"/>
              </w:rPr>
              <m:rPr/>
              <m:t>1</m:t>
            </m:r>
          </m:sub>
        </m:sSub>
        <m:sSub>
          <m:sSubPr>
            <m:ctrlPr/>
          </m:sSubPr>
          <m:e>
            <m:r>
              <w:rPr>
                <w:rFonts w:ascii="Cambria Math" w:hAnsi="Cambria Math"/>
              </w:rPr>
              <m:rPr/>
              <m:t>λ</m:t>
            </m:r>
          </m:e>
          <m:sub>
            <m:r>
              <w:rPr>
                <w:rFonts w:ascii="Cambria Math" w:hAnsi="Cambria Math"/>
              </w:rPr>
              <m:rPr/>
              <m:t>1</m:t>
            </m:r>
          </m:sub>
        </m:sSub>
        <m:r>
          <w:rPr>
            <w:rFonts w:ascii="Cambria Math" w:hAnsi="Cambria Math"/>
          </w:rPr>
          <m:rPr/>
          <m:t>+</m:t>
        </m:r>
        <m:sSub>
          <m:sSubPr>
            <m:ctrlPr/>
          </m:sSubPr>
          <m:e>
            <m:r>
              <w:rPr>
                <w:rFonts w:ascii="Cambria Math" w:hAnsi="Cambria Math"/>
              </w:rPr>
              <m:rPr/>
              <m:t>L</m:t>
            </m:r>
          </m:e>
          <m:sub>
            <m:r>
              <w:rPr>
                <w:rFonts w:ascii="Cambria Math" w:hAnsi="Cambria Math"/>
              </w:rPr>
              <m:rPr/>
              <m:t>2</m:t>
            </m:r>
          </m:sub>
        </m:sSub>
        <m:sSub>
          <m:sSubPr>
            <m:ctrlPr/>
          </m:sSubPr>
          <m:e>
            <m:r>
              <w:rPr>
                <w:rFonts w:ascii="Cambria Math" w:hAnsi="Cambria Math"/>
              </w:rPr>
              <m:rPr/>
              <m:t>λ</m:t>
            </m:r>
          </m:e>
          <m:sub>
            <m:r>
              <w:rPr>
                <w:rFonts w:ascii="Cambria Math" w:hAnsi="Cambria Math"/>
              </w:rPr>
              <m:rPr/>
              <m:t>2</m:t>
            </m:r>
          </m:sub>
        </m:sSub>
        <m:r>
          <w:rPr>
            <w:rFonts w:ascii="Cambria Math" w:hAnsi="Cambria Math"/>
          </w:rPr>
          <m:rPr/>
          <m:t>+</m:t>
        </m:r>
        <m:r>
          <w:rPr>
            <w:rFonts w:ascii="Cambria Math" w:hAnsi="Cambria Math"/>
          </w:rPr>
          <m:rPr/>
          <m:t>⋯</m:t>
        </m:r>
        <m:r>
          <w:rPr>
            <w:rFonts w:ascii="Cambria Math" w:hAnsi="Cambria Math"/>
          </w:rPr>
          <m:rPr/>
          <m:t>+</m:t>
        </m:r>
        <m:sSub>
          <m:sSubPr>
            <m:ctrlPr/>
          </m:sSubPr>
          <m:e>
            <m:r>
              <w:rPr>
                <w:rFonts w:ascii="Cambria Math" w:hAnsi="Cambria Math"/>
              </w:rPr>
              <m:rPr/>
              <m:t>L</m:t>
            </m:r>
          </m:e>
          <m:sub>
            <m:r>
              <w:rPr>
                <w:rFonts w:ascii="Cambria Math" w:hAnsi="Cambria Math"/>
              </w:rPr>
              <m:rPr/>
              <m:t>n</m:t>
            </m:r>
          </m:sub>
        </m:sSub>
        <m:sSub>
          <m:sSubPr>
            <m:ctrlPr/>
          </m:sSubPr>
          <m:e>
            <m:r>
              <w:rPr>
                <w:rFonts w:ascii="Cambria Math" w:hAnsi="Cambria Math"/>
              </w:rPr>
              <m:rPr/>
              <m:t>λ</m:t>
            </m:r>
          </m:e>
          <m:sub>
            <m:r>
              <w:rPr>
                <w:rFonts w:ascii="Cambria Math" w:hAnsi="Cambria Math"/>
              </w:rPr>
              <m:rPr/>
              <m:t>n</m:t>
            </m:r>
          </m:sub>
        </m:sSub>
      </m:oMath>
      <w:r>
        <w:t xml:space="preserve"> </w:t>
      </w:r>
      <w:r>
        <w:t xml:space="preserve">[1/час],</w:t>
      </w:r>
      <w:r/>
    </w:p>
    <w:p>
      <w:pPr>
        <w:pStyle w:val="12960"/>
        <w:pBdr/>
        <w:spacing/>
        <w:ind/>
        <w:rPr/>
      </w:pPr>
      <w:r>
        <w:t xml:space="preserve">где </w:t>
      </w:r>
      <w:r/>
      <m:oMath>
        <m:sSub>
          <m:sSubPr>
            <m:ctrlPr/>
          </m:sSubPr>
          <m:e>
            <m:r>
              <w:rPr>
                <w:rFonts w:ascii="Cambria Math" w:hAnsi="Cambria Math"/>
              </w:rPr>
              <m:rPr/>
              <m:t>L</m:t>
            </m:r>
          </m:e>
          <m:sub>
            <m:r>
              <w:rPr>
                <w:rFonts w:ascii="Cambria Math" w:hAnsi="Cambria Math"/>
              </w:rPr>
              <m:rPr/>
              <m:t>i</m:t>
            </m:r>
          </m:sub>
        </m:sSub>
      </m:oMath>
      <w:r>
        <w:t xml:space="preserve">– протяженность каждого участка, [км]. </w:t>
      </w:r>
      <w:r/>
    </w:p>
    <w:p>
      <w:pPr>
        <w:pStyle w:val="12960"/>
        <w:pBdr/>
        <w:spacing/>
        <w:ind/>
        <w:rPr/>
      </w:pPr>
      <w: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r/>
    </w:p>
    <w:p>
      <w:pPr>
        <w:pStyle w:val="10533"/>
        <w:keepNext w:val="true"/>
        <w:pBdr/>
        <w:spacing/>
        <w:ind/>
        <w:jc w:val="center"/>
        <w:rPr>
          <w:i/>
        </w:rPr>
      </w:pPr>
      <w:r/>
      <m:oMathPara>
        <m:oMathParaPr>
          <m:jc m:val="center"/>
        </m:oMathParaPr>
        <m:oMath>
          <m:r>
            <w:rPr>
              <w:rFonts w:ascii="Cambria Math" w:hAnsi="Cambria Math"/>
            </w:rPr>
            <m:rPr/>
            <m:t>λ</m:t>
          </m:r>
          <m:d>
            <m:dPr>
              <m:begChr m:val="("/>
              <m:endChr m:val=")"/>
              <m:ctrlPr/>
            </m:dPr>
            <m:e>
              <m:r>
                <w:rPr>
                  <w:rFonts w:ascii="Cambria Math" w:hAnsi="Cambria Math"/>
                </w:rPr>
                <m:rPr/>
                <m:t>t</m:t>
              </m:r>
            </m:e>
          </m:d>
          <m:r>
            <w:rPr>
              <w:rFonts w:ascii="Cambria Math" w:hAnsi="Cambria Math"/>
            </w:rPr>
            <m:rPr/>
            <m:t>=</m:t>
          </m:r>
          <m:sSub>
            <m:sSubPr>
              <m:ctrlPr/>
            </m:sSubPr>
            <m:e>
              <m:r>
                <w:rPr>
                  <w:rFonts w:ascii="Cambria Math" w:hAnsi="Cambria Math"/>
                </w:rPr>
                <m:rPr/>
                <m:t>λ</m:t>
              </m:r>
            </m:e>
            <m:sub>
              <m:r>
                <w:rPr>
                  <w:rFonts w:ascii="Cambria Math" w:hAnsi="Cambria Math"/>
                </w:rPr>
                <m:rPr/>
                <m:t>0</m:t>
              </m:r>
            </m:sub>
          </m:sSub>
          <m:sSup>
            <m:sSupPr>
              <m:ctrlPr/>
            </m:sSupPr>
            <m:e>
              <m:r>
                <w:rPr>
                  <w:rFonts w:ascii="Cambria Math" w:hAnsi="Cambria Math"/>
                </w:rPr>
                <m:rPr/>
                <m:t>(</m:t>
              </m:r>
              <m:r>
                <w:rPr>
                  <w:rFonts w:ascii="Cambria Math" w:hAnsi="Cambria Math"/>
                </w:rPr>
                <m:rPr/>
                <m:t>0,1</m:t>
              </m:r>
              <m:r>
                <w:rPr>
                  <w:rFonts w:ascii="Cambria Math" w:hAnsi="Cambria Math"/>
                </w:rPr>
                <m:rPr/>
                <m:t>τ</m:t>
              </m:r>
              <m:r>
                <w:rPr>
                  <w:rFonts w:ascii="Cambria Math" w:hAnsi="Cambria Math"/>
                </w:rPr>
                <m:rPr/>
                <m:t>)</m:t>
              </m:r>
            </m:e>
            <m:sup>
              <m:r>
                <w:rPr>
                  <w:rFonts w:ascii="Cambria Math" w:hAnsi="Cambria Math"/>
                </w:rPr>
                <m:rPr/>
                <m:t>α</m:t>
              </m:r>
              <m:r>
                <w:rPr>
                  <w:rFonts w:ascii="Cambria Math" w:hAnsi="Cambria Math"/>
                </w:rPr>
                <m:rPr/>
                <m:t>−</m:t>
              </m:r>
              <m:r>
                <w:rPr>
                  <w:rFonts w:ascii="Cambria Math" w:hAnsi="Cambria Math"/>
                </w:rPr>
                <m:rPr/>
                <m:t>1</m:t>
              </m:r>
            </m:sup>
          </m:sSup>
          <m:r>
            <w:rPr>
              <w:rFonts w:ascii="Cambria Math" w:hAnsi="Cambria Math"/>
            </w:rPr>
            <m:rPr/>
            <m:t>,</m:t>
          </m:r>
        </m:oMath>
      </m:oMathPara>
      <w:r/>
      <w:r>
        <w:rPr>
          <w:i/>
        </w:rPr>
      </w:r>
    </w:p>
    <w:p>
      <w:pPr>
        <w:pStyle w:val="12960"/>
        <w:pBdr/>
        <w:spacing/>
        <w:ind/>
        <w:rPr/>
      </w:pPr>
      <w:r>
        <w:t xml:space="preserve">где </w:t>
      </w:r>
      <w:r/>
      <m:oMath>
        <m:r>
          <w:rPr>
            <w:rFonts w:ascii="Cambria Math" w:hAnsi="Cambria Math"/>
          </w:rPr>
          <m:rPr/>
          <m:t>τ</m:t>
        </m:r>
      </m:oMath>
      <w:r>
        <w:t xml:space="preserve">– срок эксплуатации участка [лет]. </w:t>
      </w:r>
      <w:r/>
    </w:p>
    <w:p>
      <w:pPr>
        <w:pStyle w:val="12960"/>
        <w:pBdr/>
        <w:spacing/>
        <w:ind/>
        <w:rPr/>
      </w:pPr>
      <w:r>
        <w:t xml:space="preserve">Характер изменения интенсивности отказов зависит от параметра </w:t>
      </w:r>
      <w:r/>
      <m:oMath>
        <m:r>
          <w:rPr>
            <w:rFonts w:ascii="Cambria Math" w:hAnsi="Cambria Math"/>
          </w:rPr>
          <m:rPr/>
          <m:t>α</m:t>
        </m:r>
      </m:oMath>
      <w:r>
        <w:t xml:space="preserve">: при </w:t>
      </w:r>
      <w:r/>
      <m:oMath>
        <m:r>
          <w:rPr>
            <w:rFonts w:ascii="Cambria Math" w:hAnsi="Cambria Math"/>
          </w:rPr>
          <m:rPr/>
          <m:t>α</m:t>
        </m:r>
        <m:r>
          <w:rPr>
            <w:rFonts w:ascii="Cambria Math" w:hAnsi="Cambria Math"/>
          </w:rPr>
          <m:rPr/>
          <m:t>&lt;</m:t>
        </m:r>
        <m:r>
          <w:rPr>
            <w:rFonts w:ascii="Cambria Math" w:hAnsi="Cambria Math"/>
          </w:rPr>
          <m:rPr/>
          <m:t>1</m:t>
        </m:r>
        <m:r>
          <w:rPr>
            <w:rFonts w:ascii="Cambria Math" w:hAnsi="Cambria Math"/>
          </w:rPr>
          <m:rPr/>
          <m:t>,</m:t>
        </m:r>
      </m:oMath>
      <w:r>
        <w:t xml:space="preserve">она монотонно убывает, при </w:t>
      </w:r>
      <w:r/>
      <m:oMath>
        <m:r>
          <w:rPr>
            <w:rFonts w:ascii="Cambria Math" w:hAnsi="Cambria Math"/>
          </w:rPr>
          <m:rPr/>
          <m:t>α</m:t>
        </m:r>
        <m:r>
          <w:rPr>
            <w:rFonts w:ascii="Cambria Math" w:hAnsi="Cambria Math"/>
          </w:rPr>
          <m:rPr/>
          <m:t>&gt;</m:t>
        </m:r>
        <m:r>
          <w:rPr>
            <w:rFonts w:ascii="Cambria Math" w:hAnsi="Cambria Math"/>
          </w:rPr>
          <m:rPr/>
          <m:t>1</m:t>
        </m:r>
      </m:oMath>
      <w:r>
        <w:t xml:space="preserve">– возрастает; при </w:t>
      </w:r>
      <w:r/>
      <m:oMath>
        <m:r>
          <w:rPr>
            <w:rFonts w:ascii="Cambria Math" w:hAnsi="Cambria Math"/>
          </w:rPr>
          <m:rPr/>
          <m:t>α</m:t>
        </m:r>
        <m:r>
          <w:rPr>
            <w:rFonts w:ascii="Cambria Math" w:hAnsi="Cambria Math"/>
          </w:rPr>
          <m:rPr/>
          <m:t>=</m:t>
        </m:r>
        <m:r>
          <w:rPr>
            <w:rFonts w:ascii="Cambria Math" w:hAnsi="Cambria Math"/>
          </w:rPr>
          <m:rPr/>
          <m:t>1</m:t>
        </m:r>
      </m:oMath>
      <w:r>
        <w:t xml:space="preserve">функция принимает вид </w:t>
      </w:r>
      <w:r/>
      <m:oMath>
        <m:r>
          <w:rPr>
            <w:rFonts w:ascii="Cambria Math" w:hAnsi="Cambria Math"/>
          </w:rPr>
          <m:rPr/>
          <m:t>λ</m:t>
        </m:r>
        <m:d>
          <m:dPr>
            <m:begChr m:val="("/>
            <m:endChr m:val=")"/>
            <m:ctrlPr/>
          </m:dPr>
          <m:e>
            <m:r>
              <w:rPr>
                <w:rFonts w:ascii="Cambria Math" w:hAnsi="Cambria Math"/>
              </w:rPr>
              <m:rPr/>
              <m:t>t</m:t>
            </m:r>
          </m:e>
        </m:d>
        <m:r>
          <w:rPr>
            <w:rFonts w:ascii="Cambria Math" w:hAnsi="Cambria Math"/>
          </w:rPr>
          <m:rPr/>
          <m:t>=</m:t>
        </m:r>
        <m:sSub>
          <m:sSubPr>
            <m:ctrlPr/>
          </m:sSubPr>
          <m:e>
            <m:r>
              <w:rPr>
                <w:rFonts w:ascii="Cambria Math" w:hAnsi="Cambria Math"/>
              </w:rPr>
              <m:rPr/>
              <m:t>λ</m:t>
            </m:r>
          </m:e>
          <m:sub>
            <m:r>
              <w:rPr>
                <w:rFonts w:ascii="Cambria Math" w:hAnsi="Cambria Math"/>
              </w:rPr>
              <m:rPr/>
              <m:t>0</m:t>
            </m:r>
          </m:sub>
        </m:sSub>
        <m:r>
          <w:rPr>
            <w:rFonts w:ascii="Cambria Math" w:hAnsi="Cambria Math"/>
          </w:rPr>
          <m:rPr/>
          <m:t>=</m:t>
        </m:r>
        <m:r>
          <w:rPr>
            <w:rFonts w:ascii="Cambria Math" w:hAnsi="Cambria Math"/>
          </w:rPr>
          <m:rPr/>
          <m:t>Const</m:t>
        </m:r>
      </m:oMath>
      <w:r>
        <w:t xml:space="preserve">. А </w:t>
      </w:r>
      <w:r/>
      <m:oMath>
        <m:sSub>
          <m:sSubPr>
            <m:ctrlPr/>
          </m:sSubPr>
          <m:e>
            <m:r>
              <w:rPr>
                <w:rFonts w:ascii="Cambria Math" w:hAnsi="Cambria Math"/>
              </w:rPr>
              <m:rPr/>
              <m:t>λ</m:t>
            </m:r>
          </m:e>
          <m:sub>
            <m:r>
              <w:rPr>
                <w:rFonts w:ascii="Cambria Math" w:hAnsi="Cambria Math"/>
              </w:rPr>
              <m:rPr/>
              <m:t>0</m:t>
            </m:r>
          </m:sub>
        </m:sSub>
      </m:oMath>
      <w:r>
        <w:t xml:space="preserve">– это средневзвешенная частота (интенсивность) устойчивых отказов в конкретной системе теплоснабжения.</w:t>
      </w:r>
      <w:r/>
    </w:p>
    <w:p>
      <w:pPr>
        <w:pStyle w:val="12960"/>
        <w:pBdr/>
        <w:spacing/>
        <w:ind/>
        <w:rPr/>
      </w:pPr>
      <w:r>
        <w:t xml:space="preserve">Для распределения Вейбулла рекомендуется использовать следующие эмпирические коэффициенты:</w:t>
      </w:r>
      <w:r/>
    </w:p>
    <w:p>
      <w:pPr>
        <w:pStyle w:val="10533"/>
        <w:pBdr/>
        <w:spacing/>
        <w:ind/>
        <w:jc w:val="center"/>
        <w:rPr/>
      </w:pPr>
      <w:r/>
      <m:oMathPara>
        <m:oMathParaPr>
          <m:jc m:val="center"/>
        </m:oMathParaPr>
        <m:oMath>
          <m:r>
            <w:rPr>
              <w:rFonts w:ascii="Cambria Math" w:hAnsi="Cambria Math"/>
            </w:rPr>
            <m:rPr/>
            <m:t>α</m:t>
          </m:r>
          <m:r>
            <w:rPr>
              <w:rFonts w:ascii="Cambria Math" w:hAnsi="Cambria Math"/>
            </w:rPr>
            <m:rPr/>
            <m:t>=</m:t>
          </m:r>
          <m:d>
            <m:dPr>
              <m:begChr m:val="{"/>
              <m:endChr m:val=""/>
              <m:ctrlPr/>
            </m:dPr>
            <m:e>
              <m:eqArr>
                <m:eqArrPr>
                  <m:baseJc m:val="center"/>
                  <m:maxDist m:val="off"/>
                  <m:objDist m:val="off"/>
                  <m:rSp/>
                  <m:rSpRule/>
                  <m:ctrlPr/>
                </m:eqArrPr>
                <m:e>
                  <m:r>
                    <w:rPr>
                      <w:rFonts w:ascii="Cambria Math" w:hAnsi="Cambria Math"/>
                    </w:rPr>
                    <m:rPr/>
                    <m:t>0,8</m:t>
                  </m:r>
                  <m:r>
                    <w:rPr>
                      <w:rFonts w:ascii="Cambria Math" w:hAnsi="Cambria Math"/>
                    </w:rPr>
                    <m:rPr/>
                    <m:t>при</m:t>
                  </m:r>
                  <m:r>
                    <w:rPr>
                      <w:rFonts w:ascii="Cambria Math" w:hAnsi="Cambria Math"/>
                    </w:rPr>
                    <m:rPr/>
                    <m:t>0</m:t>
                  </m:r>
                  <m:r>
                    <w:rPr>
                      <w:rFonts w:ascii="Cambria Math" w:hAnsi="Cambria Math"/>
                    </w:rPr>
                    <m:rPr/>
                    <m:t>&lt;</m:t>
                  </m:r>
                  <m:r>
                    <w:rPr>
                      <w:rFonts w:ascii="Cambria Math" w:hAnsi="Cambria Math"/>
                    </w:rPr>
                    <m:rPr/>
                    <m:t>τ</m:t>
                  </m:r>
                  <m:r>
                    <w:rPr>
                      <w:rFonts w:ascii="Cambria Math" w:hAnsi="Cambria Math"/>
                    </w:rPr>
                    <m:rPr/>
                    <m:t>≤</m:t>
                  </m:r>
                  <m:r>
                    <w:rPr>
                      <w:rFonts w:ascii="Cambria Math" w:hAnsi="Cambria Math"/>
                    </w:rPr>
                    <m:rPr/>
                    <m:t>3</m:t>
                  </m:r>
                </m:e>
                <m:e>
                  <m:r>
                    <w:rPr>
                      <w:rFonts w:ascii="Cambria Math" w:hAnsi="Cambria Math"/>
                    </w:rPr>
                    <m:rPr/>
                    <m:t>1</m:t>
                  </m:r>
                  <m:r>
                    <w:rPr>
                      <w:rFonts w:ascii="Cambria Math" w:hAnsi="Cambria Math"/>
                    </w:rPr>
                    <m:rPr/>
                    <m:t>при</m:t>
                  </m:r>
                  <m:r>
                    <w:rPr>
                      <w:rFonts w:ascii="Cambria Math" w:hAnsi="Cambria Math"/>
                    </w:rPr>
                    <m:rPr/>
                    <m:t>3</m:t>
                  </m:r>
                  <m:r>
                    <w:rPr>
                      <w:rFonts w:ascii="Cambria Math" w:hAnsi="Cambria Math"/>
                    </w:rPr>
                    <m:rPr/>
                    <m:t>&lt;</m:t>
                  </m:r>
                  <m:r>
                    <w:rPr>
                      <w:rFonts w:ascii="Cambria Math" w:hAnsi="Cambria Math"/>
                    </w:rPr>
                    <m:rPr/>
                    <m:t>τ</m:t>
                  </m:r>
                  <m:r>
                    <w:rPr>
                      <w:rFonts w:ascii="Cambria Math" w:hAnsi="Cambria Math"/>
                    </w:rPr>
                    <m:rPr/>
                    <m:t>≤</m:t>
                  </m:r>
                  <m:r>
                    <w:rPr>
                      <w:rFonts w:ascii="Cambria Math" w:hAnsi="Cambria Math"/>
                    </w:rPr>
                    <m:rPr/>
                    <m:t>17</m:t>
                  </m:r>
                </m:e>
                <m:e>
                  <m:r>
                    <w:rPr>
                      <w:rFonts w:ascii="Cambria Math" w:hAnsi="Cambria Math"/>
                    </w:rPr>
                    <m:rPr/>
                    <m:t>0,5</m:t>
                  </m:r>
                  <m:r>
                    <w:rPr>
                      <w:rFonts w:ascii="Cambria Math" w:hAnsi="Cambria Math"/>
                    </w:rPr>
                    <m:rPr/>
                    <m:t>×</m:t>
                  </m:r>
                  <m:sSup>
                    <m:sSupPr>
                      <m:ctrlPr/>
                    </m:sSupPr>
                    <m:e>
                      <m:r>
                        <w:rPr>
                          <w:rFonts w:ascii="Cambria Math" w:hAnsi="Cambria Math"/>
                        </w:rPr>
                        <m:rPr/>
                        <m:t>e</m:t>
                      </m:r>
                    </m:e>
                    <m:sup>
                      <m:d>
                        <m:dPr>
                          <m:begChr m:val="("/>
                          <m:endChr m:val=")"/>
                          <m:ctrlPr/>
                        </m:dPr>
                        <m:e>
                          <m:f>
                            <m:fPr>
                              <m:type m:val="lin"/>
                              <m:ctrlPr/>
                            </m:fPr>
                            <m:num>
                              <m:r>
                                <w:rPr>
                                  <w:rFonts w:ascii="Cambria Math" w:hAnsi="Cambria Math"/>
                                </w:rPr>
                                <m:rPr/>
                                <m:t>τ</m:t>
                              </m:r>
                            </m:num>
                            <m:den>
                              <m:r>
                                <w:rPr>
                                  <w:rFonts w:ascii="Cambria Math" w:hAnsi="Cambria Math"/>
                                </w:rPr>
                                <m:rPr/>
                                <m:t>20</m:t>
                              </m:r>
                            </m:den>
                          </m:f>
                        </m:e>
                      </m:d>
                    </m:sup>
                  </m:sSup>
                  <m:r>
                    <w:rPr>
                      <w:rFonts w:ascii="Cambria Math" w:hAnsi="Cambria Math"/>
                    </w:rPr>
                    <m:rPr/>
                    <m:t>при</m:t>
                  </m:r>
                  <m:r>
                    <w:rPr>
                      <w:rFonts w:ascii="Cambria Math" w:hAnsi="Cambria Math"/>
                    </w:rPr>
                    <m:rPr/>
                    <m:t>τ</m:t>
                  </m:r>
                  <m:r>
                    <w:rPr>
                      <w:rFonts w:ascii="Cambria Math" w:hAnsi="Cambria Math"/>
                    </w:rPr>
                    <m:rPr/>
                    <m:t>&gt;</m:t>
                  </m:r>
                  <m:r>
                    <w:rPr>
                      <w:rFonts w:ascii="Cambria Math" w:hAnsi="Cambria Math"/>
                    </w:rPr>
                    <m:rPr/>
                    <m:t>17</m:t>
                  </m:r>
                </m:e>
              </m:eqArr>
            </m:e>
          </m:d>
        </m:oMath>
      </m:oMathPara>
      <w:r/>
      <w:r/>
    </w:p>
    <w:p>
      <w:pPr>
        <w:pStyle w:val="12960"/>
        <w:pBdr/>
        <w:spacing/>
        <w:ind/>
        <w:rPr/>
      </w:pPr>
      <w:r>
        <w:t xml:space="preserve">На рисунке приведен вид зависимости интенсивности отказов от срока эксплуатации участка тепловой сети. </w:t>
      </w:r>
      <w:r/>
    </w:p>
    <w:p>
      <w:pPr>
        <w:pStyle w:val="10533"/>
        <w:pBdr/>
        <w:spacing/>
        <w:ind/>
        <w:jc w:val="center"/>
        <w:rPr/>
      </w:pPr>
      <w:r>
        <mc:AlternateContent>
          <mc:Choice Requires="wpg">
            <w:drawing>
              <wp:inline xmlns:wp="http://schemas.openxmlformats.org/drawingml/2006/wordprocessingDrawing" distT="0" distB="0" distL="0" distR="0">
                <wp:extent cx="5394960" cy="3017520"/>
                <wp:effectExtent l="0" t="0" r="0" b="0"/>
                <wp:docPr id="49" name="Рисунок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9" descr=""/>
                        <pic:cNvPicPr>
                          <a:picLocks noChangeAspect="1"/>
                        </pic:cNvPicPr>
                        <pic:nvPr/>
                      </pic:nvPicPr>
                      <pic:blipFill rotWithShape="1">
                        <a:blip r:embed="rId622"/>
                        <a:stretch/>
                      </pic:blipFill>
                      <pic:spPr bwMode="auto">
                        <a:xfrm>
                          <a:off x="0" y="0"/>
                          <a:ext cx="5394960" cy="301751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0" o:spid="_x0000_s50" type="#_x0000_t75" style="width:424.80pt;height:237.60pt;mso-wrap-distance-left:0.00pt;mso-wrap-distance-top:0.00pt;mso-wrap-distance-right:0.00pt;mso-wrap-distance-bottom:0.00pt;z-index:1;" stroked="false">
                <v:imagedata r:id="rId622" o:title=""/>
                <o:lock v:ext="edit" rotation="t"/>
              </v:shape>
            </w:pict>
          </mc:Fallback>
        </mc:AlternateContent>
      </w:r>
      <w:r/>
    </w:p>
    <w:p>
      <w:pPr>
        <w:pStyle w:val="12960"/>
        <w:pBdr/>
        <w:spacing/>
        <w:ind/>
        <w:jc w:val="center"/>
        <w:rPr/>
      </w:pPr>
      <w:r>
        <w:t xml:space="preserve">Рисунок 1.9.1 – Зависимость интенсивности отказов от срока эксплуатации участка ТС</w:t>
      </w:r>
      <w:r/>
    </w:p>
    <w:p>
      <w:pPr>
        <w:pStyle w:val="12960"/>
        <w:pBdr/>
        <w:spacing/>
        <w:ind/>
        <w:rPr/>
      </w:pPr>
      <w:r>
        <w:t xml:space="preserve">При ее использовании следует помнить о некоторых допущениях, которые были сделаны при отборе данных:</w:t>
      </w:r>
      <w:r/>
    </w:p>
    <w:p>
      <w:pPr>
        <w:pStyle w:val="13832"/>
        <w:numPr>
          <w:ilvl w:val="0"/>
          <w:numId w:val="61"/>
        </w:numPr>
        <w:pBdr/>
        <w:spacing/>
        <w:ind w:hanging="284" w:left="1135"/>
        <w:rPr/>
      </w:pPr>
      <w:r>
        <w:t xml:space="preserve">она применима только тогда, когда в тепловых сетях существует четкое разделение на эксплуатационный и ремонтный периоды;</w:t>
      </w:r>
      <w:r/>
    </w:p>
    <w:p>
      <w:pPr>
        <w:pStyle w:val="13832"/>
        <w:numPr>
          <w:ilvl w:val="0"/>
          <w:numId w:val="61"/>
        </w:numPr>
        <w:pBdr/>
        <w:spacing/>
        <w:ind w:hanging="284" w:left="1135"/>
        <w:rPr/>
      </w:pPr>
      <w:r>
        <w:t xml:space="preserve">в ремонтный период выполняются гидравлические испытания тепловой сети после каждого отказа.</w:t>
      </w:r>
      <w:r/>
    </w:p>
    <w:p>
      <w:pPr>
        <w:pStyle w:val="12960"/>
        <w:pBdr/>
        <w:spacing/>
        <w:ind/>
        <w:rPr/>
      </w:pPr>
      <w:r>
        <w:t xml:space="preserve">5. По данным региональных справочников по климату о среднесуточных температурах наружного воздуха за последние десять лет с</w:t>
      </w:r>
      <w:r>
        <w:t xml:space="preserve">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w:t>
      </w:r>
      <w:r>
        <w:rPr>
          <w:color w:val="000000"/>
        </w:rPr>
        <w:t xml:space="preserve">131.13330.2025</w:t>
      </w:r>
      <w:r>
        <w:t xml:space="preserve"> или Справочника «Наладка и эксплуатация водяных тепловых сетей».</w:t>
      </w:r>
      <w:r/>
    </w:p>
    <w:p>
      <w:pPr>
        <w:pStyle w:val="12960"/>
        <w:pBdr/>
        <w:spacing/>
        <w:ind/>
        <w:rPr/>
      </w:pPr>
      <w:r>
        <w:t xml:space="preserve">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w:t>
      </w:r>
      <w:r>
        <w:t xml:space="preserve">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Например, для расчета времени снижения температуры в жилом здании используют формулу:</w:t>
      </w:r>
      <w:r/>
    </w:p>
    <w:p>
      <w:pPr>
        <w:pStyle w:val="12960"/>
        <w:pBdr/>
        <w:spacing/>
        <w:ind/>
        <w:jc w:val="center"/>
        <w:rPr/>
      </w:pPr>
      <w:r/>
      <m:oMathPara>
        <m:oMathParaPr>
          <m:jc m:val="center"/>
        </m:oMathParaPr>
        <m:oMath>
          <m:sSub>
            <m:sSubPr>
              <m:ctrlPr/>
            </m:sSubPr>
            <m:e>
              <m:r>
                <w:rPr>
                  <w:rFonts w:ascii="Cambria Math" w:hAnsi="Cambria Math"/>
                </w:rPr>
                <m:rPr/>
                <m:t>t</m:t>
              </m:r>
            </m:e>
            <m:sub>
              <m:r>
                <w:rPr>
                  <w:rFonts w:ascii="Cambria Math" w:hAnsi="Cambria Math"/>
                </w:rPr>
                <m:rPr/>
                <m:t>в</m:t>
              </m:r>
            </m:sub>
          </m:sSub>
          <m:r>
            <w:rPr>
              <w:rFonts w:ascii="Cambria Math" w:hAnsi="Cambria Math"/>
            </w:rPr>
            <m:rPr/>
            <m:t>=</m:t>
          </m:r>
          <m:sSub>
            <m:sSubPr>
              <m:ctrlPr/>
            </m:sSubPr>
            <m:e>
              <m:r>
                <w:rPr>
                  <w:rFonts w:ascii="Cambria Math" w:hAnsi="Cambria Math"/>
                </w:rPr>
                <m:rPr/>
                <m:t>t</m:t>
              </m:r>
            </m:e>
            <m:sub>
              <m:r>
                <w:rPr>
                  <w:rFonts w:ascii="Cambria Math" w:hAnsi="Cambria Math"/>
                </w:rPr>
                <m:rPr/>
                <m:t>н</m:t>
              </m:r>
            </m:sub>
          </m:sSub>
          <m:r>
            <w:rPr>
              <w:rFonts w:ascii="Cambria Math" w:hAnsi="Cambria Math"/>
            </w:rPr>
            <m:rPr/>
            <m:t>+</m:t>
          </m:r>
          <m:f>
            <m:fPr>
              <m:ctrlPr/>
            </m:fPr>
            <m:num>
              <m:sSub>
                <m:sSubPr>
                  <m:ctrlPr/>
                </m:sSubPr>
                <m:e>
                  <m:r>
                    <w:rPr>
                      <w:rFonts w:ascii="Cambria Math" w:hAnsi="Cambria Math"/>
                    </w:rPr>
                    <m:rPr/>
                    <m:t>Q</m:t>
                  </m:r>
                </m:e>
                <m:sub>
                  <m:r>
                    <w:rPr>
                      <w:rFonts w:ascii="Cambria Math" w:hAnsi="Cambria Math"/>
                    </w:rPr>
                    <m:rPr/>
                    <m:t>0</m:t>
                  </m:r>
                </m:sub>
              </m:sSub>
            </m:num>
            <m:den>
              <m:sSub>
                <m:sSubPr>
                  <m:ctrlPr/>
                </m:sSubPr>
                <m:e>
                  <m:r>
                    <w:rPr>
                      <w:rFonts w:ascii="Cambria Math" w:hAnsi="Cambria Math"/>
                    </w:rPr>
                    <m:rPr/>
                    <m:t>q</m:t>
                  </m:r>
                </m:e>
                <m:sub>
                  <m:r>
                    <w:rPr>
                      <w:rFonts w:ascii="Cambria Math" w:hAnsi="Cambria Math"/>
                    </w:rPr>
                    <m:rPr/>
                    <m:t>0</m:t>
                  </m:r>
                </m:sub>
              </m:sSub>
              <m:r>
                <w:rPr>
                  <w:rFonts w:ascii="Cambria Math" w:hAnsi="Cambria Math"/>
                </w:rPr>
                <m:rPr/>
                <m:t>V</m:t>
              </m:r>
            </m:den>
          </m:f>
          <m:r>
            <w:rPr>
              <w:rFonts w:ascii="Cambria Math" w:hAnsi="Cambria Math"/>
            </w:rPr>
            <m:rPr/>
            <m:t>+</m:t>
          </m:r>
          <m:f>
            <m:fPr>
              <m:ctrlPr/>
            </m:fPr>
            <m:num>
              <m:sSubSup>
                <m:sSubSupPr>
                  <m:alnScr m:val="off"/>
                  <m:ctrlPr/>
                </m:sSubSupPr>
                <m:e>
                  <m:r>
                    <w:rPr>
                      <w:rFonts w:ascii="Cambria Math" w:hAnsi="Cambria Math"/>
                    </w:rPr>
                    <m:rPr/>
                    <m:t>t</m:t>
                  </m:r>
                </m:e>
                <m:sub>
                  <m:r>
                    <w:rPr>
                      <w:rFonts w:ascii="Cambria Math" w:hAnsi="Cambria Math"/>
                    </w:rPr>
                    <m:rPr/>
                    <m:t>в</m:t>
                  </m:r>
                </m:sub>
                <m:sup>
                  <m:r>
                    <w:rPr>
                      <w:rFonts w:ascii="Cambria Math" w:hAnsi="Cambria Math"/>
                    </w:rPr>
                    <m:rPr/>
                    <m:t>'</m:t>
                  </m:r>
                </m:sup>
              </m:sSubSup>
              <m:r>
                <w:rPr>
                  <w:rFonts w:ascii="Cambria Math" w:hAnsi="Cambria Math"/>
                </w:rPr>
                <m:rPr/>
                <m:t>−</m:t>
              </m:r>
              <m:sSubSup>
                <m:sSubSupPr>
                  <m:alnScr m:val="off"/>
                  <m:ctrlPr/>
                </m:sSubSupPr>
                <m:e>
                  <m:r>
                    <w:rPr>
                      <w:rFonts w:ascii="Cambria Math" w:hAnsi="Cambria Math"/>
                    </w:rPr>
                    <m:rPr/>
                    <m:t>t</m:t>
                  </m:r>
                </m:e>
                <m:sub>
                  <m:r>
                    <w:rPr>
                      <w:rFonts w:ascii="Cambria Math" w:hAnsi="Cambria Math"/>
                    </w:rPr>
                    <m:rPr/>
                    <m:t>н</m:t>
                  </m:r>
                </m:sub>
                <m:sup>
                  <m:r>
                    <w:rPr>
                      <w:rFonts w:ascii="Cambria Math" w:hAnsi="Cambria Math"/>
                    </w:rPr>
                    <m:rPr/>
                    <m:t>'</m:t>
                  </m:r>
                </m:sup>
              </m:sSubSup>
              <m:r>
                <w:rPr>
                  <w:rFonts w:ascii="Cambria Math" w:hAnsi="Cambria Math"/>
                </w:rPr>
                <m:rPr/>
                <m:t>−</m:t>
              </m:r>
              <m:f>
                <m:fPr>
                  <m:ctrlPr/>
                </m:fPr>
                <m:num>
                  <m:sSub>
                    <m:sSubPr>
                      <m:ctrlPr/>
                    </m:sSubPr>
                    <m:e>
                      <m:r>
                        <w:rPr>
                          <w:rFonts w:ascii="Cambria Math" w:hAnsi="Cambria Math"/>
                        </w:rPr>
                        <m:rPr/>
                        <m:t>Q</m:t>
                      </m:r>
                    </m:e>
                    <m:sub>
                      <m:r>
                        <w:rPr>
                          <w:rFonts w:ascii="Cambria Math" w:hAnsi="Cambria Math"/>
                        </w:rPr>
                        <m:rPr/>
                        <m:t>0</m:t>
                      </m:r>
                    </m:sub>
                  </m:sSub>
                </m:num>
                <m:den>
                  <m:sSub>
                    <m:sSubPr>
                      <m:ctrlPr/>
                    </m:sSubPr>
                    <m:e>
                      <m:r>
                        <w:rPr>
                          <w:rFonts w:ascii="Cambria Math" w:hAnsi="Cambria Math"/>
                        </w:rPr>
                        <m:rPr/>
                        <m:t>q</m:t>
                      </m:r>
                    </m:e>
                    <m:sub>
                      <m:r>
                        <w:rPr>
                          <w:rFonts w:ascii="Cambria Math" w:hAnsi="Cambria Math"/>
                        </w:rPr>
                        <m:rPr/>
                        <m:t>0</m:t>
                      </m:r>
                    </m:sub>
                  </m:sSub>
                  <m:r>
                    <w:rPr>
                      <w:rFonts w:ascii="Cambria Math" w:hAnsi="Cambria Math"/>
                    </w:rPr>
                    <m:rPr/>
                    <m:t>V</m:t>
                  </m:r>
                </m:den>
              </m:f>
            </m:num>
            <m:den>
              <m:r>
                <w:rPr>
                  <w:rFonts w:ascii="Cambria Math" w:hAnsi="Cambria Math"/>
                </w:rPr>
                <m:rPr/>
                <m:t>exp</m:t>
              </m:r>
              <m:d>
                <m:dPr>
                  <m:begChr m:val="("/>
                  <m:endChr m:val=")"/>
                  <m:ctrlPr/>
                </m:dPr>
                <m:e>
                  <m:f>
                    <m:fPr>
                      <m:type m:val="lin"/>
                      <m:ctrlPr/>
                    </m:fPr>
                    <m:num>
                      <m:r>
                        <w:rPr>
                          <w:rFonts w:ascii="Cambria Math" w:hAnsi="Cambria Math"/>
                        </w:rPr>
                        <m:rPr/>
                        <m:t>z</m:t>
                      </m:r>
                    </m:num>
                    <m:den>
                      <m:r>
                        <w:rPr>
                          <w:rFonts w:ascii="Cambria Math" w:hAnsi="Cambria Math"/>
                        </w:rPr>
                        <m:rPr/>
                        <m:t>β</m:t>
                      </m:r>
                    </m:den>
                  </m:f>
                </m:e>
              </m:d>
            </m:den>
          </m:f>
          <m:r>
            <w:rPr>
              <w:rFonts w:ascii="Cambria Math" w:hAnsi="Cambria Math"/>
            </w:rPr>
            <m:rPr/>
            <m:t>,</m:t>
          </m:r>
        </m:oMath>
      </m:oMathPara>
      <w:r/>
      <w:r/>
    </w:p>
    <w:p>
      <w:pPr>
        <w:pStyle w:val="12960"/>
        <w:pBdr/>
        <w:spacing/>
        <w:ind/>
        <w:rPr/>
      </w:pPr>
      <w:r>
        <w:t xml:space="preserve">где </w:t>
      </w:r>
      <w:r/>
      <m:oMath>
        <m:sSub>
          <m:sSubPr>
            <m:ctrlPr/>
          </m:sSubPr>
          <m:e>
            <m:r>
              <w:rPr>
                <w:rFonts w:ascii="Cambria Math" w:hAnsi="Cambria Math"/>
              </w:rPr>
              <m:rPr/>
              <m:t>t</m:t>
            </m:r>
          </m:e>
          <m:sub>
            <m:r>
              <w:rPr>
                <w:rFonts w:ascii="Cambria Math" w:hAnsi="Cambria Math"/>
              </w:rPr>
              <m:rPr/>
              <m:t>в</m:t>
            </m:r>
          </m:sub>
        </m:sSub>
      </m:oMath>
      <w:r>
        <w:t xml:space="preserve">– внутренняя температура, которая устанавливается в помещении через время </w:t>
      </w:r>
      <w:r/>
      <m:oMath>
        <m:r>
          <w:rPr>
            <w:rFonts w:ascii="Cambria Math" w:hAnsi="Cambria Math"/>
          </w:rPr>
          <m:rPr/>
          <m:t>z</m:t>
        </m:r>
      </m:oMath>
      <w:r>
        <w:t xml:space="preserve"> в часах, после наступления исходного события, °С;</w:t>
      </w:r>
      <w:r/>
    </w:p>
    <w:p>
      <w:pPr>
        <w:pStyle w:val="12960"/>
        <w:pBdr/>
        <w:spacing/>
        <w:ind/>
        <w:rPr/>
      </w:pPr>
      <w:r/>
      <m:oMath>
        <m:r>
          <w:rPr>
            <w:rFonts w:ascii="Cambria Math" w:hAnsi="Cambria Math"/>
          </w:rPr>
          <m:rPr/>
          <m:t>z</m:t>
        </m:r>
      </m:oMath>
      <w:r>
        <w:t xml:space="preserve"> – </w:t>
      </w:r>
      <w:r>
        <w:t xml:space="preserve">время, отсчитываемое после начала исходного события, ч;</w:t>
      </w:r>
      <w:r/>
    </w:p>
    <w:p>
      <w:pPr>
        <w:pStyle w:val="12960"/>
        <w:pBdr/>
        <w:spacing/>
        <w:ind/>
        <w:rPr/>
      </w:pPr>
      <w:r/>
      <m:oMath>
        <m:sSubSup>
          <m:sSubSupPr>
            <m:alnScr m:val="off"/>
            <m:ctrlPr/>
          </m:sSubSupPr>
          <m:e>
            <m:r>
              <w:rPr>
                <w:rFonts w:ascii="Cambria Math" w:hAnsi="Cambria Math"/>
              </w:rPr>
              <m:rPr/>
              <m:t>t</m:t>
            </m:r>
          </m:e>
          <m:sub>
            <m:r>
              <w:rPr>
                <w:rFonts w:ascii="Cambria Math" w:hAnsi="Cambria Math"/>
              </w:rPr>
              <m:rPr/>
              <m:t>в</m:t>
            </m:r>
          </m:sub>
          <m:sup>
            <m:r>
              <w:rPr>
                <w:rFonts w:ascii="Cambria Math" w:hAnsi="Cambria Math"/>
              </w:rPr>
              <m:rPr/>
              <m:t>'</m:t>
            </m:r>
          </m:sup>
        </m:sSubSup>
      </m:oMath>
      <w:r>
        <w:t xml:space="preserve"> </w:t>
      </w:r>
      <w:r>
        <w:t xml:space="preserve">- температура в отапливаемом помещении, которая была в момент начала исходного события, °С;</w:t>
      </w:r>
      <w:r/>
    </w:p>
    <w:p>
      <w:pPr>
        <w:pStyle w:val="12960"/>
        <w:pBdr/>
        <w:spacing/>
        <w:ind/>
        <w:rPr/>
      </w:pPr>
      <w:r/>
      <m:oMath>
        <m:sSub>
          <m:sSubPr>
            <m:ctrlPr/>
          </m:sSubPr>
          <m:e>
            <m:r>
              <w:rPr>
                <w:rFonts w:ascii="Cambria Math" w:hAnsi="Cambria Math"/>
              </w:rPr>
              <m:rPr/>
              <m:t>t</m:t>
            </m:r>
          </m:e>
          <m:sub>
            <m:r>
              <w:rPr>
                <w:rFonts w:ascii="Cambria Math" w:hAnsi="Cambria Math"/>
              </w:rPr>
              <m:rPr/>
              <m:t>н</m:t>
            </m:r>
          </m:sub>
        </m:sSub>
      </m:oMath>
      <w:r>
        <w:t xml:space="preserve">– </w:t>
      </w:r>
      <w:r>
        <w:t xml:space="preserve">температура наружного воздуха, усредненная на периоде времени </w:t>
      </w:r>
      <w:r/>
      <m:oMath>
        <m:r>
          <w:rPr>
            <w:rFonts w:ascii="Cambria Math" w:hAnsi="Cambria Math"/>
          </w:rPr>
          <m:rPr/>
          <m:t>z</m:t>
        </m:r>
      </m:oMath>
      <w:r>
        <w:t xml:space="preserve">,°С;</w:t>
      </w:r>
      <w:r/>
    </w:p>
    <w:p>
      <w:pPr>
        <w:pStyle w:val="12960"/>
        <w:pBdr/>
        <w:spacing/>
        <w:ind/>
        <w:rPr/>
      </w:pPr>
      <w:r/>
      <m:oMath>
        <m:sSub>
          <m:sSubPr>
            <m:ctrlPr/>
          </m:sSubPr>
          <m:e>
            <m:r>
              <w:rPr>
                <w:rFonts w:ascii="Cambria Math" w:hAnsi="Cambria Math"/>
              </w:rPr>
              <m:rPr/>
              <m:t>Q</m:t>
            </m:r>
          </m:e>
          <m:sub>
            <m:r>
              <w:rPr>
                <w:rFonts w:ascii="Cambria Math" w:hAnsi="Cambria Math"/>
              </w:rPr>
              <m:rPr/>
              <m:t>0</m:t>
            </m:r>
          </m:sub>
        </m:sSub>
      </m:oMath>
      <w:r>
        <w:t xml:space="preserve">– </w:t>
      </w:r>
      <w:r>
        <w:t xml:space="preserve">подача теплоты в помещение, Дж/ч;</w:t>
      </w:r>
      <w:r/>
    </w:p>
    <w:p>
      <w:pPr>
        <w:pStyle w:val="12960"/>
        <w:pBdr/>
        <w:spacing/>
        <w:ind/>
        <w:rPr/>
      </w:pPr>
      <w:r/>
      <m:oMath>
        <m:sSub>
          <m:sSubPr>
            <m:ctrlPr/>
          </m:sSubPr>
          <m:e>
            <m:r>
              <w:rPr>
                <w:rFonts w:ascii="Cambria Math" w:hAnsi="Cambria Math"/>
              </w:rPr>
              <m:rPr/>
              <m:t>q</m:t>
            </m:r>
          </m:e>
          <m:sub>
            <m:r>
              <w:rPr>
                <w:rFonts w:ascii="Cambria Math" w:hAnsi="Cambria Math"/>
              </w:rPr>
              <m:rPr/>
              <m:t>0</m:t>
            </m:r>
          </m:sub>
        </m:sSub>
        <m:r>
          <w:rPr>
            <w:rFonts w:ascii="Cambria Math" w:hAnsi="Cambria Math"/>
          </w:rPr>
          <m:rPr/>
          <m:t>V</m:t>
        </m:r>
      </m:oMath>
      <w:r>
        <w:t xml:space="preserve">– </w:t>
      </w:r>
      <w:r>
        <w:t xml:space="preserve">удельные расчетные тепловые потери здания, Дж/(ч×°С);</w:t>
      </w:r>
      <w:r/>
    </w:p>
    <w:p>
      <w:pPr>
        <w:pStyle w:val="12960"/>
        <w:pBdr/>
        <w:spacing/>
        <w:ind/>
        <w:rPr/>
      </w:pPr>
      <w:r/>
      <m:oMath>
        <m:r>
          <w:rPr>
            <w:rFonts w:ascii="Cambria Math" w:hAnsi="Cambria Math"/>
          </w:rPr>
          <m:rPr/>
          <m:t>β</m:t>
        </m:r>
      </m:oMath>
      <w:r>
        <w:t xml:space="preserve">– </w:t>
      </w:r>
      <w:r>
        <w:t xml:space="preserve">коэффициент аккумуляции помещения (здания), ч.</w:t>
      </w:r>
      <w:r/>
    </w:p>
    <w:p>
      <w:pPr>
        <w:pStyle w:val="12960"/>
        <w:pBdr/>
        <w:spacing/>
        <w:ind/>
        <w:rPr/>
      </w:pPr>
      <w: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w:r/>
      <m:oMath>
        <m:d>
          <m:dPr>
            <m:begChr m:val="("/>
            <m:endChr m:val=")"/>
            <m:ctrlPr/>
          </m:dPr>
          <m:e>
            <m:f>
              <m:fPr>
                <m:ctrlPr/>
              </m:fPr>
              <m:num>
                <m:sSub>
                  <m:sSubPr>
                    <m:ctrlPr/>
                  </m:sSubPr>
                  <m:e>
                    <m:r>
                      <w:rPr>
                        <w:rFonts w:ascii="Cambria Math" w:hAnsi="Cambria Math"/>
                      </w:rPr>
                      <m:rPr/>
                      <m:t>Q</m:t>
                    </m:r>
                  </m:e>
                  <m:sub>
                    <m:r>
                      <w:rPr>
                        <w:rFonts w:ascii="Cambria Math" w:hAnsi="Cambria Math"/>
                      </w:rPr>
                      <m:rPr/>
                      <m:t>0</m:t>
                    </m:r>
                  </m:sub>
                </m:sSub>
              </m:num>
              <m:den>
                <m:sSub>
                  <m:sSubPr>
                    <m:ctrlPr/>
                  </m:sSubPr>
                  <m:e>
                    <m:r>
                      <w:rPr>
                        <w:rFonts w:ascii="Cambria Math" w:hAnsi="Cambria Math"/>
                      </w:rPr>
                      <m:rPr/>
                      <m:t>q</m:t>
                    </m:r>
                  </m:e>
                  <m:sub>
                    <m:r>
                      <w:rPr>
                        <w:rFonts w:ascii="Cambria Math" w:hAnsi="Cambria Math"/>
                      </w:rPr>
                      <m:rPr/>
                      <m:t>0</m:t>
                    </m:r>
                  </m:sub>
                </m:sSub>
                <m:r>
                  <w:rPr>
                    <w:rFonts w:ascii="Cambria Math" w:hAnsi="Cambria Math"/>
                  </w:rPr>
                  <m:rPr/>
                  <m:t>V</m:t>
                </m:r>
              </m:den>
            </m:f>
            <m:r>
              <w:rPr>
                <w:rFonts w:ascii="Cambria Math" w:hAnsi="Cambria Math"/>
              </w:rPr>
              <m:rPr/>
              <m:t>=</m:t>
            </m:r>
            <m:r>
              <w:rPr>
                <w:rFonts w:ascii="Cambria Math" w:hAnsi="Cambria Math"/>
              </w:rPr>
              <m:rPr/>
              <m:t>0</m:t>
            </m:r>
          </m:e>
        </m:d>
      </m:oMath>
      <w:r>
        <w:t xml:space="preserve">имеет следующий вид:</w:t>
      </w:r>
      <w:r/>
    </w:p>
    <w:p>
      <w:pPr>
        <w:pStyle w:val="12960"/>
        <w:pBdr/>
        <w:spacing/>
        <w:ind/>
        <w:jc w:val="center"/>
        <w:rPr/>
      </w:pPr>
      <w:r/>
      <m:oMathPara>
        <m:oMathParaPr>
          <m:jc m:val="center"/>
        </m:oMathParaPr>
        <m:oMath>
          <m:r>
            <w:rPr>
              <w:rFonts w:ascii="Cambria Math" w:hAnsi="Cambria Math"/>
            </w:rPr>
            <m:rPr/>
            <m:t>z</m:t>
          </m:r>
          <m:r>
            <w:rPr>
              <w:rFonts w:ascii="Cambria Math" w:hAnsi="Cambria Math"/>
            </w:rPr>
            <m:rPr/>
            <m:t>=</m:t>
          </m:r>
          <m:r>
            <w:rPr>
              <w:rFonts w:ascii="Cambria Math" w:hAnsi="Cambria Math"/>
            </w:rPr>
            <m:rPr/>
            <m:t>β</m:t>
          </m:r>
          <m:r>
            <w:rPr>
              <w:rFonts w:ascii="Cambria Math" w:hAnsi="Cambria Math"/>
            </w:rPr>
            <m:rPr/>
            <m:t>×</m:t>
          </m:r>
          <m:r>
            <w:rPr>
              <w:rFonts w:ascii="Cambria Math" w:hAnsi="Cambria Math"/>
            </w:rPr>
            <m:rPr/>
            <m:t>ln</m:t>
          </m:r>
          <m:f>
            <m:fPr>
              <m:ctrlPr/>
            </m:fPr>
            <m:num>
              <m:d>
                <m:dPr>
                  <m:begChr m:val="("/>
                  <m:endChr m:val=")"/>
                  <m:ctrlPr/>
                </m:dPr>
                <m:e>
                  <m:sSub>
                    <m:sSubPr>
                      <m:ctrlPr/>
                    </m:sSubPr>
                    <m:e>
                      <m:r>
                        <w:rPr>
                          <w:rFonts w:ascii="Cambria Math" w:hAnsi="Cambria Math"/>
                        </w:rPr>
                        <m:rPr/>
                        <m:t>t</m:t>
                      </m:r>
                    </m:e>
                    <m:sub>
                      <m:r>
                        <w:rPr>
                          <w:rFonts w:ascii="Cambria Math" w:hAnsi="Cambria Math"/>
                        </w:rPr>
                        <m:rPr/>
                        <m:t>в</m:t>
                      </m:r>
                    </m:sub>
                  </m:sSub>
                  <m:r>
                    <w:rPr>
                      <w:rFonts w:ascii="Cambria Math" w:hAnsi="Cambria Math"/>
                    </w:rPr>
                    <m:rPr/>
                    <m:t>−</m:t>
                  </m:r>
                  <m:sSub>
                    <m:sSubPr>
                      <m:ctrlPr/>
                    </m:sSubPr>
                    <m:e>
                      <m:r>
                        <w:rPr>
                          <w:rFonts w:ascii="Cambria Math" w:hAnsi="Cambria Math"/>
                        </w:rPr>
                        <m:rPr/>
                        <m:t>t</m:t>
                      </m:r>
                    </m:e>
                    <m:sub>
                      <m:r>
                        <w:rPr>
                          <w:rFonts w:ascii="Cambria Math" w:hAnsi="Cambria Math"/>
                        </w:rPr>
                        <m:rPr/>
                        <m:t>н</m:t>
                      </m:r>
                    </m:sub>
                  </m:sSub>
                </m:e>
              </m:d>
            </m:num>
            <m:den>
              <m:d>
                <m:dPr>
                  <m:begChr m:val="("/>
                  <m:endChr m:val=")"/>
                  <m:ctrlPr/>
                </m:dPr>
                <m:e>
                  <m:sSub>
                    <m:sSubPr>
                      <m:ctrlPr/>
                    </m:sSubPr>
                    <m:e>
                      <m:r>
                        <w:rPr>
                          <w:rFonts w:ascii="Cambria Math" w:hAnsi="Cambria Math"/>
                        </w:rPr>
                        <m:rPr/>
                        <m:t>t</m:t>
                      </m:r>
                    </m:e>
                    <m:sub>
                      <m:r>
                        <w:rPr>
                          <w:rFonts w:ascii="Cambria Math" w:hAnsi="Cambria Math"/>
                        </w:rPr>
                        <m:rPr/>
                        <m:t>в</m:t>
                      </m:r>
                      <m:r>
                        <w:rPr>
                          <w:rFonts w:ascii="Cambria Math" w:hAnsi="Cambria Math"/>
                        </w:rPr>
                        <m:rPr/>
                        <m:t>,</m:t>
                      </m:r>
                      <m:r>
                        <w:rPr>
                          <w:rFonts w:ascii="Cambria Math" w:hAnsi="Cambria Math"/>
                        </w:rPr>
                        <m:rPr/>
                        <m:t>а</m:t>
                      </m:r>
                    </m:sub>
                  </m:sSub>
                  <m:r>
                    <w:rPr>
                      <w:rFonts w:ascii="Cambria Math" w:hAnsi="Cambria Math"/>
                    </w:rPr>
                    <m:rPr/>
                    <m:t>−</m:t>
                  </m:r>
                  <m:sSub>
                    <m:sSubPr>
                      <m:ctrlPr/>
                    </m:sSubPr>
                    <m:e>
                      <m:r>
                        <w:rPr>
                          <w:rFonts w:ascii="Cambria Math" w:hAnsi="Cambria Math"/>
                        </w:rPr>
                        <m:rPr/>
                        <m:t>t</m:t>
                      </m:r>
                    </m:e>
                    <m:sub>
                      <m:r>
                        <w:rPr>
                          <w:rFonts w:ascii="Cambria Math" w:hAnsi="Cambria Math"/>
                        </w:rPr>
                        <m:rPr/>
                        <m:t>н</m:t>
                      </m:r>
                    </m:sub>
                  </m:sSub>
                </m:e>
              </m:d>
            </m:den>
          </m:f>
          <m:r>
            <w:rPr>
              <w:rFonts w:ascii="Cambria Math" w:hAnsi="Cambria Math"/>
            </w:rPr>
            <m:rPr/>
            <m:t>,</m:t>
          </m:r>
        </m:oMath>
      </m:oMathPara>
      <w:r/>
      <w:r/>
    </w:p>
    <w:p>
      <w:pPr>
        <w:pStyle w:val="12960"/>
        <w:pBdr/>
        <w:spacing/>
        <w:ind/>
        <w:rPr/>
      </w:pPr>
      <w:r>
        <w:t xml:space="preserve">где </w:t>
      </w:r>
      <w:r/>
      <m:oMath>
        <m:sSub>
          <m:sSubPr>
            <m:ctrlPr/>
          </m:sSubPr>
          <m:e>
            <m:r>
              <w:rPr>
                <w:rFonts w:ascii="Cambria Math" w:hAnsi="Cambria Math"/>
              </w:rPr>
              <m:rPr/>
              <m:t>t</m:t>
            </m:r>
          </m:e>
          <m:sub>
            <m:r>
              <w:rPr>
                <w:rFonts w:ascii="Cambria Math" w:hAnsi="Cambria Math"/>
              </w:rPr>
              <m:rPr/>
              <m:t>в</m:t>
            </m:r>
            <m:r>
              <w:rPr>
                <w:rFonts w:ascii="Cambria Math" w:hAnsi="Cambria Math"/>
              </w:rPr>
              <m:rPr/>
              <m:t>,</m:t>
            </m:r>
            <m:r>
              <w:rPr>
                <w:rFonts w:ascii="Cambria Math" w:hAnsi="Cambria Math"/>
              </w:rPr>
              <m:rPr/>
              <m:t>а</m:t>
            </m:r>
          </m:sub>
        </m:sSub>
      </m:oMath>
      <w:r>
        <w:t xml:space="preserve">– внутренняя температура, которая устанавливается критерием отказа теплоснабжения (+12°С для жилых зданий). </w:t>
      </w:r>
      <w:r/>
    </w:p>
    <w:p>
      <w:pPr>
        <w:pStyle w:val="12960"/>
        <w:pBdr/>
        <w:spacing/>
        <w:ind/>
        <w:rPr/>
      </w:pPr>
      <w:r>
        <w:t xml:space="preserve">7. На основе данных</w:t>
      </w:r>
      <w:r>
        <w:t xml:space="preserve">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r/>
    </w:p>
    <w:p>
      <w:pPr>
        <w:pStyle w:val="12960"/>
        <w:pBdr/>
        <w:spacing/>
        <w:ind/>
        <w:rPr/>
      </w:pPr>
      <w: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r/>
    </w:p>
    <w:p>
      <w:pPr>
        <w:pStyle w:val="10533"/>
        <w:pBdr/>
        <w:spacing/>
        <w:ind/>
        <w:jc w:val="center"/>
        <w:rPr>
          <w:i/>
        </w:rPr>
      </w:pPr>
      <w:r/>
      <m:oMathPara>
        <m:oMathParaPr>
          <m:jc m:val="center"/>
        </m:oMathParaPr>
        <m:oMath>
          <m:sSub>
            <m:sSubPr>
              <m:ctrlPr/>
            </m:sSubPr>
            <m:e>
              <m:r>
                <w:rPr>
                  <w:rFonts w:ascii="Cambria Math" w:hAnsi="Cambria Math"/>
                </w:rPr>
                <m:rPr/>
                <m:t>z</m:t>
              </m:r>
            </m:e>
            <m:sub>
              <m:r>
                <w:rPr>
                  <w:rFonts w:ascii="Cambria Math" w:hAnsi="Cambria Math"/>
                </w:rPr>
                <m:rPr/>
                <m:t>p</m:t>
              </m:r>
            </m:sub>
          </m:sSub>
          <m:r>
            <w:rPr>
              <w:rFonts w:ascii="Cambria Math" w:hAnsi="Cambria Math"/>
            </w:rPr>
            <m:rPr/>
            <m:t>=</m:t>
          </m:r>
          <m:r>
            <w:rPr>
              <w:rFonts w:ascii="Cambria Math" w:hAnsi="Cambria Math"/>
            </w:rPr>
            <m:rPr/>
            <m:t>a</m:t>
          </m:r>
          <m:d>
            <m:dPr>
              <m:begChr m:val="["/>
              <m:endChr m:val="]"/>
              <m:ctrlPr/>
            </m:dPr>
            <m:e>
              <m:r>
                <w:rPr>
                  <w:rFonts w:ascii="Cambria Math" w:hAnsi="Cambria Math"/>
                </w:rPr>
                <m:rPr/>
                <m:t>1</m:t>
              </m:r>
              <m:r>
                <w:rPr>
                  <w:rFonts w:ascii="Cambria Math" w:hAnsi="Cambria Math"/>
                </w:rPr>
                <m:rPr/>
                <m:t>+</m:t>
              </m:r>
              <m:d>
                <m:dPr>
                  <m:begChr m:val="("/>
                  <m:endChr m:val=")"/>
                  <m:ctrlPr/>
                </m:dPr>
                <m:e>
                  <m:r>
                    <w:rPr>
                      <w:rFonts w:ascii="Cambria Math" w:hAnsi="Cambria Math"/>
                    </w:rPr>
                    <m:rPr/>
                    <m:t>b</m:t>
                  </m:r>
                  <m:r>
                    <w:rPr>
                      <w:rFonts w:ascii="Cambria Math" w:hAnsi="Cambria Math"/>
                    </w:rPr>
                    <m:rPr/>
                    <m:t>+</m:t>
                  </m:r>
                  <m:r>
                    <w:rPr>
                      <w:rFonts w:ascii="Cambria Math" w:hAnsi="Cambria Math"/>
                    </w:rPr>
                    <m:rPr/>
                    <m:t>c</m:t>
                  </m:r>
                  <m:sSub>
                    <m:sSubPr>
                      <m:ctrlPr/>
                    </m:sSubPr>
                    <m:e>
                      <m:r>
                        <w:rPr>
                          <w:rFonts w:ascii="Cambria Math" w:hAnsi="Cambria Math"/>
                        </w:rPr>
                        <m:rPr/>
                        <m:t>l</m:t>
                      </m:r>
                    </m:e>
                    <m:sub>
                      <m:r>
                        <w:rPr>
                          <w:rFonts w:ascii="Cambria Math" w:hAnsi="Cambria Math"/>
                        </w:rPr>
                        <m:rPr/>
                        <m:t>с</m:t>
                      </m:r>
                      <m:r>
                        <w:rPr>
                          <w:rFonts w:ascii="Cambria Math" w:hAnsi="Cambria Math"/>
                        </w:rPr>
                        <m:rPr/>
                        <m:t>.</m:t>
                      </m:r>
                      <m:r>
                        <w:rPr>
                          <w:rFonts w:ascii="Cambria Math" w:hAnsi="Cambria Math"/>
                        </w:rPr>
                        <m:rPr/>
                        <m:t>з</m:t>
                      </m:r>
                    </m:sub>
                  </m:sSub>
                </m:e>
              </m:d>
              <m:sSup>
                <m:sSupPr>
                  <m:ctrlPr/>
                </m:sSupPr>
                <m:e>
                  <m:r>
                    <w:rPr>
                      <w:rFonts w:ascii="Cambria Math" w:hAnsi="Cambria Math"/>
                    </w:rPr>
                    <m:rPr/>
                    <m:t>D</m:t>
                  </m:r>
                </m:e>
                <m:sup>
                  <m:r>
                    <w:rPr>
                      <w:rFonts w:ascii="Cambria Math" w:hAnsi="Cambria Math"/>
                    </w:rPr>
                    <m:rPr/>
                    <m:t>1,2</m:t>
                  </m:r>
                </m:sup>
              </m:sSup>
            </m:e>
          </m:d>
          <m:r>
            <w:rPr>
              <w:rFonts w:ascii="Cambria Math" w:hAnsi="Cambria Math"/>
            </w:rPr>
            <m:rPr/>
            <m:t>,</m:t>
          </m:r>
        </m:oMath>
      </m:oMathPara>
      <w:r/>
      <w:r>
        <w:rPr>
          <w:i/>
        </w:rPr>
      </w:r>
    </w:p>
    <w:p>
      <w:pPr>
        <w:pStyle w:val="12960"/>
        <w:pBdr/>
        <w:spacing/>
        <w:ind/>
        <w:rPr/>
      </w:pPr>
      <w:r>
        <w:t xml:space="preserve">где </w:t>
      </w:r>
      <w:r/>
      <m:oMath>
        <m:r>
          <w:rPr>
            <w:rFonts w:ascii="Cambria Math" w:hAnsi="Cambria Math"/>
          </w:rPr>
          <m:rPr/>
          <m:t>a</m:t>
        </m:r>
        <m:r>
          <w:rPr>
            <w:rFonts w:ascii="Cambria Math" w:hAnsi="Cambria Math"/>
          </w:rPr>
          <m:rPr/>
          <m:t>,</m:t>
        </m:r>
        <m:r>
          <w:rPr>
            <w:rFonts w:ascii="Cambria Math" w:hAnsi="Cambria Math"/>
          </w:rPr>
          <m:rPr/>
          <m:t>b</m:t>
        </m:r>
        <m:r>
          <w:rPr>
            <w:rFonts w:ascii="Cambria Math" w:hAnsi="Cambria Math"/>
          </w:rPr>
          <m:rPr/>
          <m:t>,</m:t>
        </m:r>
        <m:r>
          <w:rPr>
            <w:rFonts w:ascii="Cambria Math" w:hAnsi="Cambria Math"/>
          </w:rPr>
          <m:rPr/>
          <m:t>c</m:t>
        </m:r>
      </m:oMath>
      <w:r>
        <w:t xml:space="preserve">–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r/>
    </w:p>
    <w:p>
      <w:pPr>
        <w:pStyle w:val="12960"/>
        <w:pBdr/>
        <w:spacing/>
        <w:ind/>
        <w:rPr>
          <w:i/>
        </w:rPr>
      </w:pPr>
      <w:r/>
      <m:oMath>
        <m:sSub>
          <m:sSubPr>
            <m:ctrlPr/>
          </m:sSubPr>
          <m:e>
            <m:r>
              <w:rPr>
                <w:rFonts w:ascii="Cambria Math" w:hAnsi="Cambria Math"/>
              </w:rPr>
              <m:rPr/>
              <m:t>l</m:t>
            </m:r>
          </m:e>
          <m:sub>
            <m:r>
              <w:rPr>
                <w:rFonts w:ascii="Cambria Math" w:hAnsi="Cambria Math"/>
              </w:rPr>
              <m:rPr/>
              <m:t>с</m:t>
            </m:r>
            <m:r>
              <w:rPr>
                <w:rFonts w:ascii="Cambria Math" w:hAnsi="Cambria Math"/>
              </w:rPr>
              <m:rPr/>
              <m:t>.</m:t>
            </m:r>
            <m:r>
              <w:rPr>
                <w:rFonts w:ascii="Cambria Math" w:hAnsi="Cambria Math"/>
              </w:rPr>
              <m:rPr/>
              <m:t>з</m:t>
            </m:r>
          </m:sub>
        </m:sSub>
      </m:oMath>
      <w:r>
        <w:rPr>
          <w:i/>
        </w:rPr>
        <w:t xml:space="preserve">–</w:t>
      </w:r>
      <w:r>
        <w:t xml:space="preserve">расстояние между секционирующими задвижками, м;</w:t>
      </w:r>
      <w:r>
        <w:rPr>
          <w:i/>
        </w:rPr>
      </w:r>
    </w:p>
    <w:p>
      <w:pPr>
        <w:pStyle w:val="12960"/>
        <w:pBdr/>
        <w:spacing/>
        <w:ind/>
        <w:rPr/>
      </w:pPr>
      <w:r/>
      <m:oMath>
        <m:r>
          <w:rPr>
            <w:rFonts w:ascii="Cambria Math" w:hAnsi="Cambria Math"/>
          </w:rPr>
          <m:rPr/>
          <m:t>D</m:t>
        </m:r>
      </m:oMath>
      <w:r>
        <w:rPr>
          <w:i/>
        </w:rPr>
        <w:t xml:space="preserve">–</w:t>
      </w:r>
      <w:r>
        <w:t xml:space="preserve">условный диаметр трубопровода, м.</w:t>
      </w:r>
      <w:r/>
    </w:p>
    <w:p>
      <w:pPr>
        <w:pStyle w:val="12960"/>
        <w:pBdr/>
        <w:spacing/>
        <w:ind/>
        <w:rPr/>
      </w:pPr>
      <w:r>
        <w:t xml:space="preserve">Расчет рекомендуется выполнять для каждого участка и/или элемента, входящего в путь от источника до абонента: </w:t>
      </w:r>
      <w:r/>
    </w:p>
    <w:p>
      <w:pPr>
        <w:pStyle w:val="13832"/>
        <w:numPr>
          <w:ilvl w:val="0"/>
          <w:numId w:val="61"/>
        </w:numPr>
        <w:pBdr/>
        <w:spacing/>
        <w:ind w:hanging="284" w:left="1135"/>
        <w:rPr/>
      </w:pPr>
      <w:r>
        <w:t xml:space="preserve">вычисляется время ликвидации повреждения на i -том участке; </w:t>
      </w:r>
      <w:r/>
    </w:p>
    <w:p>
      <w:pPr>
        <w:pStyle w:val="13832"/>
        <w:keepNext w:val="false"/>
        <w:widowControl w:val="true"/>
        <w:numPr>
          <w:ilvl w:val="0"/>
          <w:numId w:val="61"/>
        </w:numPr>
        <w:pBdr/>
        <w:bidi w:val="false"/>
        <w:spacing w:after="0" w:before="0" w:line="360" w:lineRule="auto"/>
        <w:ind w:right="0" w:firstLine="567" w:left="0"/>
        <w:jc w:val="both"/>
        <w:rPr/>
      </w:pPr>
      <w:r>
        <w:t xml:space="preserve">по каждой градации повторяемости температур вычисляется допустимое время проведения ремонта; </w:t>
      </w:r>
      <w:r/>
    </w:p>
    <w:p>
      <w:pPr>
        <w:pStyle w:val="13832"/>
        <w:keepNext w:val="false"/>
        <w:widowControl w:val="true"/>
        <w:numPr>
          <w:ilvl w:val="0"/>
          <w:numId w:val="61"/>
        </w:numPr>
        <w:pBdr/>
        <w:bidi w:val="false"/>
        <w:spacing w:after="0" w:before="0" w:line="360" w:lineRule="auto"/>
        <w:ind w:right="0" w:firstLine="567" w:left="0"/>
        <w:jc w:val="both"/>
        <w:rPr/>
      </w:pPr>
      <w: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r/>
    </w:p>
    <w:p>
      <w:pPr>
        <w:pStyle w:val="13832"/>
        <w:keepNext w:val="false"/>
        <w:widowControl w:val="true"/>
        <w:numPr>
          <w:ilvl w:val="0"/>
          <w:numId w:val="61"/>
        </w:numPr>
        <w:pBdr/>
        <w:bidi w:val="false"/>
        <w:spacing w:after="0" w:before="0" w:line="360" w:lineRule="auto"/>
        <w:ind w:right="0" w:firstLine="567" w:left="0"/>
        <w:jc w:val="both"/>
        <w:rPr/>
      </w:pPr>
      <w: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r/>
    </w:p>
    <w:p>
      <w:pPr>
        <w:pStyle w:val="10533"/>
        <w:pBdr/>
        <w:spacing/>
        <w:ind/>
        <w:jc w:val="center"/>
        <w:rPr/>
      </w:pPr>
      <w:r/>
      <m:oMathPara>
        <m:oMathParaPr>
          <m:jc m:val="center"/>
        </m:oMathParaPr>
        <m:oMath>
          <m:bar>
            <m:barPr>
              <m:pos m:val="top"/>
              <m:ctrlPr/>
            </m:barPr>
            <m:e>
              <m:r>
                <w:rPr>
                  <w:rFonts w:ascii="Cambria Math" w:hAnsi="Cambria Math"/>
                </w:rPr>
                <m:rPr/>
                <m:t>z</m:t>
              </m:r>
            </m:e>
          </m:bar>
          <m:r>
            <w:rPr>
              <w:rFonts w:ascii="Cambria Math" w:hAnsi="Cambria Math"/>
            </w:rPr>
            <m:rPr/>
            <m:t>=</m:t>
          </m:r>
          <m:d>
            <m:dPr>
              <m:begChr m:val="("/>
              <m:endChr m:val=")"/>
              <m:ctrlPr/>
            </m:dPr>
            <m:e>
              <m:r>
                <w:rPr>
                  <w:rFonts w:ascii="Cambria Math" w:hAnsi="Cambria Math"/>
                </w:rPr>
                <m:rPr/>
                <m:t>1</m:t>
              </m:r>
              <m:r>
                <w:rPr>
                  <w:rFonts w:ascii="Cambria Math" w:hAnsi="Cambria Math"/>
                </w:rPr>
                <m:rPr/>
                <m:t>−</m:t>
              </m:r>
              <m:f>
                <m:fPr>
                  <m:ctrlPr/>
                </m:fPr>
                <m:num>
                  <m:sSub>
                    <m:sSubPr>
                      <m:ctrlPr/>
                    </m:sSubPr>
                    <m:e>
                      <m:r>
                        <w:rPr>
                          <w:rFonts w:ascii="Cambria Math" w:hAnsi="Cambria Math"/>
                        </w:rPr>
                        <m:rPr/>
                        <m:t>z</m:t>
                      </m:r>
                    </m:e>
                    <m:sub>
                      <m:r>
                        <w:rPr>
                          <w:rFonts w:ascii="Cambria Math" w:hAnsi="Cambria Math"/>
                        </w:rPr>
                        <m:rPr/>
                        <m:t>i</m:t>
                      </m:r>
                      <m:r>
                        <w:rPr>
                          <w:rFonts w:ascii="Cambria Math" w:hAnsi="Cambria Math"/>
                        </w:rPr>
                        <m:rPr/>
                        <m:t>,</m:t>
                      </m:r>
                      <m:r>
                        <w:rPr>
                          <w:rFonts w:ascii="Cambria Math" w:hAnsi="Cambria Math"/>
                        </w:rPr>
                        <m:rPr/>
                        <m:t>j</m:t>
                      </m:r>
                    </m:sub>
                  </m:sSub>
                </m:num>
                <m:den>
                  <m:sSub>
                    <m:sSubPr>
                      <m:ctrlPr/>
                    </m:sSubPr>
                    <m:e>
                      <m:r>
                        <w:rPr>
                          <w:rFonts w:ascii="Cambria Math" w:hAnsi="Cambria Math"/>
                        </w:rPr>
                        <m:rPr/>
                        <m:t>z</m:t>
                      </m:r>
                    </m:e>
                    <m:sub>
                      <m:r>
                        <w:rPr>
                          <w:rFonts w:ascii="Cambria Math" w:hAnsi="Cambria Math"/>
                        </w:rPr>
                        <m:rPr/>
                        <m:t>i</m:t>
                      </m:r>
                      <m:r>
                        <w:rPr>
                          <w:rFonts w:ascii="Cambria Math" w:hAnsi="Cambria Math"/>
                        </w:rPr>
                        <m:rPr/>
                        <m:t>,</m:t>
                      </m:r>
                      <m:r>
                        <w:rPr>
                          <w:rFonts w:ascii="Cambria Math" w:hAnsi="Cambria Math"/>
                        </w:rPr>
                        <m:rPr/>
                        <m:t>j</m:t>
                      </m:r>
                    </m:sub>
                  </m:sSub>
                </m:den>
              </m:f>
            </m:e>
          </m:d>
          <m:r>
            <w:rPr>
              <w:rFonts w:ascii="Cambria Math" w:hAnsi="Cambria Math"/>
            </w:rPr>
            <m:rPr/>
            <m:t>×</m:t>
          </m:r>
          <m:f>
            <m:fPr>
              <m:ctrlPr/>
            </m:fPr>
            <m:num>
              <m:sSub>
                <m:sSubPr>
                  <m:ctrlPr/>
                </m:sSubPr>
                <m:e>
                  <m:r>
                    <w:rPr>
                      <w:rFonts w:ascii="Cambria Math" w:hAnsi="Cambria Math"/>
                    </w:rPr>
                    <m:rPr/>
                    <m:t>τ</m:t>
                  </m:r>
                </m:e>
                <m:sub>
                  <m:r>
                    <w:rPr>
                      <w:rFonts w:ascii="Cambria Math" w:hAnsi="Cambria Math"/>
                    </w:rPr>
                    <m:rPr/>
                    <m:t>j</m:t>
                  </m:r>
                </m:sub>
              </m:sSub>
            </m:num>
            <m:den>
              <m:sSub>
                <m:sSubPr>
                  <m:ctrlPr/>
                </m:sSubPr>
                <m:e>
                  <m:r>
                    <w:rPr>
                      <w:rFonts w:ascii="Cambria Math" w:hAnsi="Cambria Math"/>
                    </w:rPr>
                    <m:rPr/>
                    <m:t>τ</m:t>
                  </m:r>
                </m:e>
                <m:sub>
                  <m:r>
                    <w:rPr>
                      <w:rFonts w:ascii="Cambria Math" w:hAnsi="Cambria Math"/>
                    </w:rPr>
                    <m:rPr/>
                    <m:t>on</m:t>
                  </m:r>
                </m:sub>
              </m:sSub>
            </m:den>
          </m:f>
        </m:oMath>
      </m:oMathPara>
      <w:r/>
      <w:r/>
    </w:p>
    <w:p>
      <w:pPr>
        <w:pStyle w:val="10533"/>
        <w:pBdr/>
        <w:spacing/>
        <w:ind/>
        <w:jc w:val="center"/>
        <w:rPr>
          <w:i/>
        </w:rPr>
      </w:pPr>
      <w:r/>
      <m:oMathPara>
        <m:oMathParaPr>
          <m:jc m:val="center"/>
        </m:oMathParaPr>
        <m:oMath>
          <m:sSub>
            <m:sSubPr>
              <m:ctrlPr/>
            </m:sSubPr>
            <m:e>
              <m:bar>
                <m:barPr>
                  <m:pos m:val="top"/>
                  <m:ctrlPr/>
                </m:barPr>
                <m:e>
                  <m:r>
                    <w:rPr>
                      <w:rFonts w:ascii="Cambria Math" w:hAnsi="Cambria Math"/>
                    </w:rPr>
                    <m:rPr/>
                    <m:t>ω</m:t>
                  </m:r>
                </m:e>
              </m:bar>
            </m:e>
            <m:sub>
              <m:r>
                <w:rPr>
                  <w:rFonts w:ascii="Cambria Math" w:hAnsi="Cambria Math"/>
                </w:rPr>
                <m:rPr/>
                <m:t>i</m:t>
              </m:r>
            </m:sub>
          </m:sSub>
          <m:r>
            <w:rPr>
              <w:rFonts w:ascii="Cambria Math" w:hAnsi="Cambria Math"/>
            </w:rPr>
            <m:rPr/>
            <m:t>=</m:t>
          </m:r>
          <m:sSub>
            <m:sSubPr>
              <m:ctrlPr/>
            </m:sSubPr>
            <m:e>
              <m:r>
                <w:rPr>
                  <w:rFonts w:ascii="Cambria Math" w:hAnsi="Cambria Math"/>
                </w:rPr>
                <m:rPr/>
                <m:t>λ</m:t>
              </m:r>
            </m:e>
            <m:sub>
              <m:r>
                <w:rPr>
                  <w:rFonts w:ascii="Cambria Math" w:hAnsi="Cambria Math"/>
                </w:rPr>
                <m:rPr/>
                <m:t>i</m:t>
              </m:r>
            </m:sub>
          </m:sSub>
          <m:sSub>
            <m:sSubPr>
              <m:ctrlPr/>
            </m:sSubPr>
            <m:e>
              <m:r>
                <w:rPr>
                  <w:rFonts w:ascii="Cambria Math" w:hAnsi="Cambria Math"/>
                </w:rPr>
                <m:rPr/>
                <m:t>L</m:t>
              </m:r>
            </m:e>
            <m:sub>
              <m:r>
                <w:rPr>
                  <w:rFonts w:ascii="Cambria Math" w:hAnsi="Cambria Math"/>
                </w:rPr>
                <m:rPr/>
                <m:t>i</m:t>
              </m:r>
            </m:sub>
          </m:sSub>
          <m:r>
            <w:rPr>
              <w:rFonts w:ascii="Cambria Math" w:hAnsi="Cambria Math"/>
            </w:rPr>
            <m:rPr/>
            <m:t>×</m:t>
          </m:r>
          <m:nary>
            <m:naryPr>
              <m:chr m:val="∑"/>
              <m:grow m:val="off"/>
              <m:ctrlPr/>
            </m:naryPr>
            <m:sub>
              <m:r>
                <w:rPr>
                  <w:rFonts w:ascii="Cambria Math" w:hAnsi="Cambria Math"/>
                </w:rPr>
                <m:rPr/>
                <m:t>j</m:t>
              </m:r>
              <m:r>
                <w:rPr>
                  <w:rFonts w:ascii="Cambria Math" w:hAnsi="Cambria Math"/>
                </w:rPr>
                <m:rPr/>
                <m:t>=</m:t>
              </m:r>
              <m:r>
                <w:rPr>
                  <w:rFonts w:ascii="Cambria Math" w:hAnsi="Cambria Math"/>
                </w:rPr>
                <m:rPr/>
                <m:t>1</m:t>
              </m:r>
            </m:sub>
            <m:sup>
              <m:r>
                <w:rPr>
                  <w:rFonts w:ascii="Cambria Math" w:hAnsi="Cambria Math"/>
                </w:rPr>
                <m:rPr/>
                <m:t>j</m:t>
              </m:r>
              <m:r>
                <w:rPr>
                  <w:rFonts w:ascii="Cambria Math" w:hAnsi="Cambria Math"/>
                </w:rPr>
                <m:rPr/>
                <m:t>=</m:t>
              </m:r>
              <m:r>
                <w:rPr>
                  <w:rFonts w:ascii="Cambria Math" w:hAnsi="Cambria Math"/>
                </w:rPr>
                <m:rPr/>
                <m:t>N</m:t>
              </m:r>
            </m:sup>
            <m:e>
              <m:sSub>
                <m:sSubPr>
                  <m:ctrlPr/>
                </m:sSubPr>
                <m:e>
                  <m:bar>
                    <m:barPr>
                      <m:pos m:val="top"/>
                      <m:ctrlPr/>
                    </m:barPr>
                    <m:e>
                      <m:r>
                        <w:rPr>
                          <w:rFonts w:ascii="Cambria Math" w:hAnsi="Cambria Math"/>
                        </w:rPr>
                        <m:rPr/>
                        <m:t>z</m:t>
                      </m:r>
                    </m:e>
                  </m:bar>
                </m:e>
                <m:sub>
                  <m:r>
                    <w:rPr>
                      <w:rFonts w:ascii="Cambria Math" w:hAnsi="Cambria Math"/>
                    </w:rPr>
                    <m:rPr/>
                    <m:t>i</m:t>
                  </m:r>
                  <m:r>
                    <w:rPr>
                      <w:rFonts w:ascii="Cambria Math" w:hAnsi="Cambria Math"/>
                    </w:rPr>
                    <m:rPr/>
                    <m:t>,</m:t>
                  </m:r>
                  <m:r>
                    <w:rPr>
                      <w:rFonts w:ascii="Cambria Math" w:hAnsi="Cambria Math"/>
                    </w:rPr>
                    <m:rPr/>
                    <m:t>j</m:t>
                  </m:r>
                </m:sub>
              </m:sSub>
            </m:e>
          </m:nary>
          <m:r>
            <w:rPr>
              <w:rFonts w:ascii="Cambria Math" w:hAnsi="Cambria Math"/>
            </w:rPr>
            <m:rPr/>
            <m:t>,</m:t>
          </m:r>
        </m:oMath>
      </m:oMathPara>
      <w:r/>
      <w:r>
        <w:rPr>
          <w:i/>
        </w:rPr>
      </w:r>
    </w:p>
    <w:p>
      <w:pPr>
        <w:pStyle w:val="13832"/>
        <w:keepNext w:val="false"/>
        <w:widowControl w:val="true"/>
        <w:numPr>
          <w:ilvl w:val="0"/>
          <w:numId w:val="61"/>
        </w:numPr>
        <w:pBdr/>
        <w:bidi w:val="false"/>
        <w:spacing w:after="0" w:before="0" w:line="360" w:lineRule="auto"/>
        <w:ind w:right="0" w:firstLine="567" w:left="0"/>
        <w:jc w:val="both"/>
        <w:rPr/>
      </w:pPr>
      <w:r>
        <w:t xml:space="preserve">вычисляется вероятность безотказной работы участка тепловой сети относительно абонента</w:t>
      </w:r>
      <w:r/>
    </w:p>
    <w:p>
      <w:pPr>
        <w:pStyle w:val="10533"/>
        <w:pBdr/>
        <w:spacing/>
        <w:ind/>
        <w:jc w:val="center"/>
        <w:rPr>
          <w:i/>
        </w:rPr>
      </w:pPr>
      <w:r/>
      <m:oMathPara>
        <m:oMathParaPr>
          <m:jc m:val="center"/>
        </m:oMathParaPr>
        <m:oMath>
          <m:sSub>
            <m:sSubPr>
              <m:ctrlPr/>
            </m:sSubPr>
            <m:e>
              <m:r>
                <w:rPr>
                  <w:rFonts w:ascii="Cambria Math" w:hAnsi="Cambria Math"/>
                </w:rPr>
                <m:rPr/>
                <m:t>p</m:t>
              </m:r>
            </m:e>
            <m:sub>
              <m:r>
                <w:rPr>
                  <w:rFonts w:ascii="Cambria Math" w:hAnsi="Cambria Math"/>
                </w:rPr>
                <m:rPr/>
                <m:t>i</m:t>
              </m:r>
            </m:sub>
          </m:sSub>
          <m:r>
            <w:rPr>
              <w:rFonts w:ascii="Cambria Math" w:hAnsi="Cambria Math"/>
            </w:rPr>
            <m:rPr/>
            <m:t>=</m:t>
          </m:r>
          <m:r>
            <w:rPr>
              <w:rFonts w:ascii="Cambria Math" w:hAnsi="Cambria Math"/>
            </w:rPr>
            <m:rPr/>
            <m:t>exp</m:t>
          </m:r>
          <m:d>
            <m:dPr>
              <m:begChr m:val="("/>
              <m:endChr m:val=")"/>
              <m:ctrlPr/>
            </m:dPr>
            <m:e>
              <m:r>
                <w:rPr>
                  <w:rFonts w:ascii="Cambria Math" w:hAnsi="Cambria Math"/>
                </w:rPr>
                <m:rPr/>
                <m:t>−</m:t>
              </m:r>
              <m:sSub>
                <m:sSubPr>
                  <m:ctrlPr/>
                </m:sSubPr>
                <m:e>
                  <m:bar>
                    <m:barPr>
                      <m:pos m:val="top"/>
                      <m:ctrlPr/>
                    </m:barPr>
                    <m:e>
                      <m:r>
                        <w:rPr>
                          <w:rFonts w:ascii="Cambria Math" w:hAnsi="Cambria Math"/>
                        </w:rPr>
                        <m:rPr/>
                        <m:t>ω</m:t>
                      </m:r>
                    </m:e>
                  </m:bar>
                </m:e>
                <m:sub>
                  <m:r>
                    <w:rPr>
                      <w:rFonts w:ascii="Cambria Math" w:hAnsi="Cambria Math"/>
                    </w:rPr>
                    <m:rPr/>
                    <m:t>i</m:t>
                  </m:r>
                </m:sub>
              </m:sSub>
            </m:e>
          </m:d>
          <m:r>
            <w:rPr>
              <w:rFonts w:ascii="Cambria Math" w:hAnsi="Cambria Math"/>
            </w:rPr>
            <m:rPr/>
            <m:t>.</m:t>
          </m:r>
        </m:oMath>
      </m:oMathPara>
      <w:r/>
      <w:r>
        <w:rPr>
          <w:i/>
        </w:rPr>
      </w:r>
    </w:p>
    <w:p>
      <w:pPr>
        <w:pStyle w:val="10533"/>
        <w:pBdr/>
        <w:spacing w:line="360" w:lineRule="auto"/>
        <w:ind/>
        <w:rPr/>
      </w:pPr>
      <w:r>
        <w:t xml:space="preserve">Оценку недоотпуска тепловой энергии потребителям рекомендуется вычислять в соответствии с формулой: </w:t>
      </w:r>
      <w:r/>
    </w:p>
    <w:p>
      <w:pPr>
        <w:pStyle w:val="10533"/>
        <w:pBdr/>
        <w:spacing/>
        <w:ind/>
        <w:jc w:val="center"/>
        <w:rPr/>
      </w:pPr>
      <w:r/>
      <m:oMathPara>
        <m:oMathParaPr>
          <m:jc m:val="center"/>
        </m:oMathParaPr>
        <m:oMath>
          <m:r>
            <w:rPr>
              <w:rFonts w:ascii="Cambria Math" w:hAnsi="Cambria Math"/>
            </w:rPr>
            <m:rPr/>
            <m:t>Δ</m:t>
          </m:r>
          <m:sSub>
            <m:sSubPr>
              <m:ctrlPr/>
            </m:sSubPr>
            <m:e>
              <m:r>
                <w:rPr>
                  <w:rFonts w:ascii="Cambria Math" w:hAnsi="Cambria Math"/>
                </w:rPr>
                <m:rPr/>
                <m:t>Q</m:t>
              </m:r>
            </m:e>
            <m:sub>
              <m:r>
                <w:rPr>
                  <w:rFonts w:ascii="Cambria Math" w:hAnsi="Cambria Math"/>
                </w:rPr>
                <m:rPr/>
                <m:t>н</m:t>
              </m:r>
            </m:sub>
          </m:sSub>
          <m:r>
            <w:rPr>
              <w:rFonts w:ascii="Cambria Math" w:hAnsi="Cambria Math"/>
            </w:rPr>
            <m:rPr/>
            <m:t>=</m:t>
          </m:r>
          <m:sSub>
            <m:sSubPr>
              <m:ctrlPr/>
            </m:sSubPr>
            <m:e>
              <m:bar>
                <m:barPr>
                  <m:pos m:val="top"/>
                  <m:ctrlPr/>
                </m:barPr>
                <m:e>
                  <m:r>
                    <w:rPr>
                      <w:rFonts w:ascii="Cambria Math" w:hAnsi="Cambria Math"/>
                    </w:rPr>
                    <m:rPr/>
                    <m:t>Q</m:t>
                  </m:r>
                </m:e>
              </m:bar>
            </m:e>
            <m:sub>
              <m:r>
                <w:rPr>
                  <w:rFonts w:ascii="Cambria Math" w:hAnsi="Cambria Math"/>
                </w:rPr>
                <m:rPr/>
                <m:t>пр</m:t>
              </m:r>
            </m:sub>
          </m:sSub>
          <m:r>
            <w:rPr>
              <w:rFonts w:ascii="Cambria Math" w:hAnsi="Cambria Math"/>
            </w:rPr>
            <m:rPr/>
            <m:t>×</m:t>
          </m:r>
          <m:sSub>
            <m:sSubPr>
              <m:ctrlPr/>
            </m:sSubPr>
            <m:e>
              <m:r>
                <w:rPr>
                  <w:rFonts w:ascii="Cambria Math" w:hAnsi="Cambria Math"/>
                </w:rPr>
                <m:rPr/>
                <m:t>T</m:t>
              </m:r>
            </m:e>
            <m:sub>
              <m:r>
                <w:rPr>
                  <w:rFonts w:ascii="Cambria Math" w:hAnsi="Cambria Math"/>
                </w:rPr>
                <m:rPr/>
                <m:t>оп</m:t>
              </m:r>
            </m:sub>
          </m:sSub>
          <m:r>
            <w:rPr>
              <w:rFonts w:ascii="Cambria Math" w:hAnsi="Cambria Math"/>
            </w:rPr>
            <m:rPr/>
            <m:t>×</m:t>
          </m:r>
          <m:sSub>
            <m:sSubPr>
              <m:ctrlPr/>
            </m:sSubPr>
            <m:e>
              <m:r>
                <w:rPr>
                  <w:rFonts w:ascii="Cambria Math" w:hAnsi="Cambria Math"/>
                </w:rPr>
                <m:rPr/>
                <m:t>q</m:t>
              </m:r>
            </m:e>
            <m:sub>
              <m:r>
                <w:rPr>
                  <w:rFonts w:ascii="Cambria Math" w:hAnsi="Cambria Math"/>
                </w:rPr>
                <m:rPr/>
                <m:t>тп</m:t>
              </m:r>
            </m:sub>
          </m:sSub>
          <m:r>
            <w:rPr>
              <w:rFonts w:ascii="Cambria Math" w:hAnsi="Cambria Math"/>
            </w:rPr>
            <m:rPr/>
            <m:t>,</m:t>
          </m:r>
          <m:r>
            <w:rPr>
              <w:rFonts w:ascii="Cambria Math" w:hAnsi="Cambria Math"/>
            </w:rPr>
            <m:rPr/>
            <m:t>Гкал</m:t>
          </m:r>
        </m:oMath>
      </m:oMathPara>
      <w:r/>
      <w:r/>
    </w:p>
    <w:p>
      <w:pPr>
        <w:pStyle w:val="10533"/>
        <w:pBdr/>
        <w:spacing w:line="360" w:lineRule="auto"/>
        <w:ind/>
        <w:rPr/>
      </w:pPr>
      <w:r>
        <w:t xml:space="preserve">где </w:t>
      </w:r>
      <w:r/>
      <m:oMath>
        <m:sSub>
          <m:sSubPr>
            <m:ctrlPr/>
          </m:sSubPr>
          <m:e>
            <m:bar>
              <m:barPr>
                <m:pos m:val="top"/>
                <m:ctrlPr/>
              </m:barPr>
              <m:e>
                <m:r>
                  <w:rPr>
                    <w:rFonts w:ascii="Cambria Math" w:hAnsi="Cambria Math"/>
                  </w:rPr>
                  <m:rPr/>
                  <m:t>Q</m:t>
                </m:r>
              </m:e>
            </m:bar>
          </m:e>
          <m:sub>
            <m:r>
              <w:rPr>
                <w:rFonts w:ascii="Cambria Math" w:hAnsi="Cambria Math"/>
              </w:rPr>
              <m:rPr/>
              <m:t>пр</m:t>
            </m:r>
          </m:sub>
        </m:sSub>
      </m:oMath>
      <w:r>
        <w:t xml:space="preserve">– среднегодовая тепловая мощность теплопотребляющих установок потребителя (либо, по-другому, тепловая нагрузка потребителя), Гкал/ч; </w:t>
      </w:r>
      <w:r/>
    </w:p>
    <w:p>
      <w:pPr>
        <w:pStyle w:val="10533"/>
        <w:pBdr/>
        <w:spacing w:line="360" w:lineRule="auto"/>
        <w:ind/>
        <w:rPr/>
      </w:pPr>
      <w:r/>
      <m:oMath>
        <m:sSub>
          <m:sSubPr>
            <m:ctrlPr/>
          </m:sSubPr>
          <m:e>
            <m:r>
              <w:rPr>
                <w:rFonts w:ascii="Cambria Math" w:hAnsi="Cambria Math"/>
              </w:rPr>
              <m:rPr/>
              <m:t>T</m:t>
            </m:r>
          </m:e>
          <m:sub>
            <m:r>
              <w:rPr>
                <w:rFonts w:ascii="Cambria Math" w:hAnsi="Cambria Math"/>
              </w:rPr>
              <m:rPr/>
              <m:t>оп</m:t>
            </m:r>
          </m:sub>
        </m:sSub>
      </m:oMath>
      <w:r>
        <w:t xml:space="preserve">– </w:t>
      </w:r>
      <w:r>
        <w:t xml:space="preserve">продолжительность отопительного периода, час;</w:t>
      </w:r>
      <w:r/>
    </w:p>
    <w:p>
      <w:pPr>
        <w:pStyle w:val="10533"/>
        <w:pBdr/>
        <w:spacing w:line="360" w:lineRule="auto"/>
        <w:ind/>
        <w:rPr/>
      </w:pPr>
      <w:r/>
      <m:oMath>
        <m:sSub>
          <m:sSubPr>
            <m:ctrlPr/>
          </m:sSubPr>
          <m:e>
            <m:r>
              <w:rPr>
                <w:rFonts w:ascii="Cambria Math" w:hAnsi="Cambria Math"/>
              </w:rPr>
              <m:rPr/>
              <m:t>q</m:t>
            </m:r>
          </m:e>
          <m:sub>
            <m:r>
              <w:rPr>
                <w:rFonts w:ascii="Cambria Math" w:hAnsi="Cambria Math"/>
              </w:rPr>
              <m:rPr/>
              <m:t>тп</m:t>
            </m:r>
          </m:sub>
        </m:sSub>
      </m:oMath>
      <w:r>
        <w:t xml:space="preserve">– </w:t>
      </w:r>
      <w:r>
        <w:t xml:space="preserve">вероятность отказа теплопровода.</w:t>
      </w:r>
      <w:r/>
    </w:p>
    <w:p>
      <w:pPr>
        <w:pStyle w:val="12960"/>
        <w:pBdr/>
        <w:spacing/>
        <w:ind/>
        <w:rPr/>
      </w:pPr>
      <w:r>
        <w:t xml:space="preserve">Расчет степени износа</w:t>
      </w:r>
      <w:r/>
    </w:p>
    <w:p>
      <w:pPr>
        <w:pStyle w:val="12960"/>
        <w:pBdr/>
        <w:spacing/>
        <w:ind/>
        <w:rPr/>
      </w:pPr>
      <w:r>
        <w:t xml:space="preserve">Степень физического износа трасс теплоснабжения рассчитывался по формуле: К (ф</w:t>
      </w:r>
      <w:r>
        <w:t xml:space="preserve">из.изн.) = Т (факт.) / Т (норм.) * 100 %. Где: Т (факт.) – фактический срок службы, лет; Т (норм.) – нормативный срок службы, лет. При этом нормативный срок службы, согласно п.1.2 СО 153-34.17.464-2003 "Инструкция по продлению срока службы трубопроводов II</w:t>
      </w:r>
      <w:r>
        <w:t xml:space="preserve">, III и IV категорий", утв. Приказом Минэнерго России от 30.06.2003 г. №265 при отсутствии срока службы трубопровода, которые устанавливается организацией-изготовителем и указывается в паспорте трубопровода срок службы устанавливается в следующих пределах:</w:t>
      </w:r>
      <w:r/>
    </w:p>
    <w:p>
      <w:pPr>
        <w:pStyle w:val="12960"/>
        <w:pBdr/>
        <w:spacing/>
        <w:ind/>
        <w:rPr/>
      </w:pPr>
      <w:r>
        <w:t xml:space="preserve">- для трубопроводов пара II категории группы 1-150 тыс.ч (20 лет);</w:t>
      </w:r>
      <w:r/>
    </w:p>
    <w:p>
      <w:pPr>
        <w:pStyle w:val="12960"/>
        <w:pBdr/>
        <w:spacing/>
        <w:ind/>
        <w:rPr/>
      </w:pPr>
      <w:r>
        <w:t xml:space="preserve">- для станционных трубопроводов сетевой и подпиточной воды [III или (и) IV категорий] - 25 лет;</w:t>
      </w:r>
      <w:r/>
    </w:p>
    <w:p>
      <w:pPr>
        <w:pStyle w:val="12960"/>
        <w:pBdr/>
        <w:spacing/>
        <w:ind/>
        <w:rPr/>
      </w:pPr>
      <w:r>
        <w:t xml:space="preserve">- для остальных трубопроводов (II категории группы 2, III и IV категорий) - 30 лет.</w:t>
      </w:r>
      <w:r/>
    </w:p>
    <w:p>
      <w:pPr>
        <w:pStyle w:val="12960"/>
        <w:pBdr/>
        <w:spacing/>
        <w:ind/>
        <w:rPr/>
      </w:pPr>
      <w:r>
        <w:t xml:space="preserve">Срок службы может устанавливаться экспертной организацией индивидуально для конкретного трубопровода.</w:t>
      </w:r>
      <w:r/>
    </w:p>
    <w:p>
      <w:pPr>
        <w:pStyle w:val="12960"/>
        <w:pBdr/>
        <w:spacing/>
        <w:ind/>
        <w:rPr/>
      </w:pPr>
      <w:r>
        <w:t xml:space="preserve">Для новых тепловых сетей срок службы согласно СП 74.13330.2023. - не менее 30 лет. </w:t>
      </w:r>
      <w:r/>
    </w:p>
    <w:p>
      <w:pPr>
        <w:pStyle w:val="12960"/>
        <w:pBdr/>
        <w:spacing/>
        <w:ind/>
        <w:rPr/>
      </w:pPr>
      <w:r>
        <w:t xml:space="preserve">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r/>
    </w:p>
    <w:p>
      <w:pPr>
        <w:pStyle w:val="12960"/>
        <w:pBdr/>
        <w:spacing/>
        <w:ind/>
        <w:rPr/>
        <w:sectPr>
          <w:headerReference w:type="default" r:id="rId70"/>
          <w:headerReference w:type="first" r:id="rId71"/>
          <w:footerReference w:type="default" r:id="rId338"/>
          <w:footerReference w:type="first" r:id="rId339"/>
          <w:footnotePr/>
          <w:endnotePr/>
          <w:type w:val="nextPage"/>
          <w:pgSz w:h="16838" w:orient="portrait" w:w="11906"/>
          <w:pgMar w:top="1134" w:right="850" w:bottom="1134" w:left="1701" w:header="567" w:footer="454" w:gutter="0"/>
          <w:cols w:num="1" w:sep="0" w:space="1701" w:equalWidth="1"/>
        </w:sectPr>
      </w:pPr>
      <w:r/>
      <w:r/>
    </w:p>
    <w:p>
      <w:pPr>
        <w:pStyle w:val="12960"/>
        <w:pBdr/>
        <w:spacing/>
        <w:ind/>
        <w:rPr>
          <w:b/>
        </w:rPr>
      </w:pPr>
      <w:r>
        <w:rPr>
          <w:b/>
        </w:rPr>
        <w:t xml:space="preserve">Таблица 1.9.1 - Показатели надёжности системы теплоснабжения</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804"/>
        <w:gridCol w:w="5679"/>
        <w:gridCol w:w="1332"/>
        <w:gridCol w:w="2115"/>
        <w:gridCol w:w="2282"/>
        <w:gridCol w:w="2357"/>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804" w:type="dxa"/>
            <w:vAlign w:val="center"/>
            <w:vMerge w:val="restart"/>
          </w:tcPr>
          <w:p>
            <w:pPr>
              <w:pStyle w:val="12385"/>
              <w:pBdr/>
              <w:spacing/>
              <w:ind/>
              <w:rPr/>
            </w:pPr>
            <w:r>
              <w:t xml:space="preserve">№</w:t>
            </w:r>
            <w:r/>
          </w:p>
        </w:tc>
        <w:tc>
          <w:tcPr>
            <w:shd w:val="clear" w:color="000000" w:fill="d9d9d9"/>
            <w:tcBorders>
              <w:top w:val="single" w:color="000000" w:sz="4" w:space="0"/>
              <w:left w:val="single" w:color="000000" w:sz="4" w:space="0"/>
              <w:bottom w:val="single" w:color="000000" w:sz="4" w:space="0"/>
              <w:right w:val="single" w:color="000000" w:sz="4" w:space="0"/>
            </w:tcBorders>
            <w:tcW w:w="5679" w:type="dxa"/>
            <w:vAlign w:val="center"/>
            <w:vMerge w:val="restart"/>
          </w:tcPr>
          <w:p>
            <w:pPr>
              <w:pStyle w:val="12385"/>
              <w:pBdr/>
              <w:spacing/>
              <w:ind/>
              <w:rPr/>
            </w:pPr>
            <w:r>
              <w:t xml:space="preserve">Наименование показателя</w:t>
            </w:r>
            <w:r/>
          </w:p>
        </w:tc>
        <w:tc>
          <w:tcPr>
            <w:shd w:val="clear" w:color="000000" w:fill="d9d9d9"/>
            <w:tcBorders>
              <w:top w:val="single" w:color="000000" w:sz="4" w:space="0"/>
              <w:left w:val="single" w:color="000000" w:sz="4" w:space="0"/>
              <w:bottom w:val="single" w:color="000000" w:sz="4" w:space="0"/>
              <w:right w:val="single" w:color="000000" w:sz="4" w:space="0"/>
            </w:tcBorders>
            <w:tcW w:w="1332" w:type="dxa"/>
            <w:vAlign w:val="center"/>
            <w:vMerge w:val="restart"/>
          </w:tcPr>
          <w:p>
            <w:pPr>
              <w:pStyle w:val="12385"/>
              <w:pBdr/>
              <w:spacing/>
              <w:ind/>
              <w:rPr/>
            </w:pPr>
            <w:r>
              <w:t xml:space="preserve">Обозначение</w:t>
            </w:r>
            <w:r/>
          </w:p>
        </w:tc>
        <w:tc>
          <w:tcPr>
            <w:gridSpan w:val="3"/>
            <w:shd w:val="clear" w:color="000000" w:fill="d9d9d9"/>
            <w:tcBorders>
              <w:top w:val="single" w:color="000000" w:sz="4" w:space="0"/>
              <w:bottom w:val="single" w:color="000000" w:sz="4" w:space="0"/>
            </w:tcBorders>
            <w:tcW w:w="6754" w:type="dxa"/>
            <w:vAlign w:val="center"/>
          </w:tcPr>
          <w:p>
            <w:pPr>
              <w:pStyle w:val="12385"/>
              <w:pBdr/>
              <w:spacing/>
              <w:ind/>
              <w:rPr/>
            </w:pPr>
            <w:r>
              <w:t xml:space="preserve">Источник тепловой энергии</w:t>
            </w:r>
            <w:r/>
          </w:p>
        </w:tc>
      </w:tr>
      <w:tr>
        <w:trPr>
          <w:trHeight w:val="20"/>
        </w:trPr>
        <w:tc>
          <w:tcPr>
            <w:tcBorders>
              <w:top w:val="single" w:color="000000" w:sz="4" w:space="0"/>
              <w:left w:val="single" w:color="000000" w:sz="4" w:space="0"/>
              <w:bottom w:val="single" w:color="000000" w:sz="4" w:space="0"/>
              <w:right w:val="single" w:color="000000" w:sz="4" w:space="0"/>
            </w:tcBorders>
            <w:tcW w:w="804"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5679"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332" w:type="dxa"/>
            <w:vAlign w:val="center"/>
            <w:vMerge w:val="continue"/>
          </w:tcPr>
          <w:p>
            <w:pPr>
              <w:pStyle w:val="12385"/>
              <w:pBdr/>
              <w:spacing/>
              <w:ind/>
              <w:rPr/>
            </w:pPr>
            <w:r/>
            <w:r/>
          </w:p>
        </w:tc>
        <w:tc>
          <w:tcPr>
            <w:shd w:val="clear" w:color="000000" w:fill="d9d9d9"/>
            <w:tcBorders>
              <w:bottom w:val="single" w:color="000000" w:sz="4" w:space="0"/>
              <w:right w:val="single" w:color="000000" w:sz="4" w:space="0"/>
            </w:tcBorders>
            <w:tcW w:w="2115" w:type="dxa"/>
            <w:vAlign w:val="center"/>
          </w:tcPr>
          <w:p>
            <w:pPr>
              <w:pStyle w:val="12385"/>
              <w:pBdr/>
              <w:spacing/>
              <w:ind/>
              <w:rPr/>
            </w:pPr>
            <w:r>
              <w:t xml:space="preserve">Котельная №5 д. Ясенки</w:t>
            </w:r>
            <w:r/>
          </w:p>
        </w:tc>
        <w:tc>
          <w:tcPr>
            <w:shd w:val="clear" w:color="000000" w:fill="d9d9d9"/>
            <w:tcBorders>
              <w:bottom w:val="single" w:color="000000" w:sz="4" w:space="0"/>
              <w:right w:val="single" w:color="000000" w:sz="4" w:space="0"/>
            </w:tcBorders>
            <w:tcW w:w="2282" w:type="dxa"/>
            <w:vAlign w:val="center"/>
          </w:tcPr>
          <w:p>
            <w:pPr>
              <w:pStyle w:val="12385"/>
              <w:pBdr/>
              <w:spacing/>
              <w:ind/>
              <w:rPr/>
            </w:pPr>
            <w:r>
              <w:t xml:space="preserve">Котельная №6 п. Первомайский</w:t>
            </w:r>
            <w:r/>
          </w:p>
        </w:tc>
        <w:tc>
          <w:tcPr>
            <w:shd w:val="clear" w:color="000000" w:fill="d9d9d9"/>
            <w:tcBorders>
              <w:bottom w:val="single" w:color="000000" w:sz="4" w:space="0"/>
              <w:right w:val="single" w:color="000000" w:sz="4" w:space="0"/>
            </w:tcBorders>
            <w:tcW w:w="2357" w:type="dxa"/>
            <w:vAlign w:val="center"/>
          </w:tcPr>
          <w:p>
            <w:pPr>
              <w:pStyle w:val="12385"/>
              <w:pBdr/>
              <w:spacing/>
              <w:ind/>
              <w:rPr/>
            </w:pPr>
            <w:r>
              <w:t xml:space="preserve">Котельная №7 с. Белый Колодезь</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1</w:t>
            </w:r>
            <w:r/>
          </w:p>
        </w:tc>
        <w:tc>
          <w:tcPr>
            <w:tcBorders>
              <w:bottom w:val="single" w:color="000000" w:sz="4" w:space="0"/>
              <w:right w:val="single" w:color="000000" w:sz="4" w:space="0"/>
            </w:tcBorders>
            <w:tcW w:w="5679" w:type="dxa"/>
            <w:vAlign w:val="center"/>
          </w:tcPr>
          <w:p>
            <w:pPr>
              <w:pStyle w:val="12385"/>
              <w:pBdr/>
              <w:spacing/>
              <w:ind/>
              <w:rPr/>
            </w:pPr>
            <w:r>
              <w:t xml:space="preserve">интенсивность отказов систем теплоснабжения</w:t>
            </w:r>
            <w:r/>
          </w:p>
        </w:tc>
        <w:tc>
          <w:tcPr>
            <w:tcBorders>
              <w:bottom w:val="single" w:color="000000" w:sz="4" w:space="0"/>
              <w:right w:val="single" w:color="000000" w:sz="4" w:space="0"/>
            </w:tcBorders>
            <w:tcW w:w="1332" w:type="dxa"/>
            <w:vAlign w:val="center"/>
          </w:tcPr>
          <w:p>
            <w:pPr>
              <w:pStyle w:val="12385"/>
              <w:pBdr/>
              <w:spacing/>
              <w:ind/>
              <w:rPr/>
            </w:pPr>
            <w:r>
              <w:t xml:space="preserve">p</w:t>
            </w:r>
            <w:r/>
          </w:p>
        </w:tc>
        <w:tc>
          <w:tcPr>
            <w:tcBorders>
              <w:bottom w:val="single" w:color="000000" w:sz="4" w:space="0"/>
              <w:right w:val="single" w:color="000000" w:sz="4" w:space="0"/>
            </w:tcBorders>
            <w:tcW w:w="2115" w:type="dxa"/>
            <w:vAlign w:val="center"/>
          </w:tcPr>
          <w:p>
            <w:pPr>
              <w:pStyle w:val="12385"/>
              <w:pBdr/>
              <w:spacing/>
              <w:ind/>
              <w:rPr/>
            </w:pPr>
            <w:r>
              <w:t xml:space="preserve">-</w:t>
            </w:r>
            <w:r/>
          </w:p>
        </w:tc>
        <w:tc>
          <w:tcPr>
            <w:tcBorders>
              <w:bottom w:val="single" w:color="000000" w:sz="4" w:space="0"/>
              <w:right w:val="single" w:color="000000" w:sz="4" w:space="0"/>
            </w:tcBorders>
            <w:tcW w:w="2282" w:type="dxa"/>
            <w:vAlign w:val="center"/>
          </w:tcPr>
          <w:p>
            <w:pPr>
              <w:pStyle w:val="12385"/>
              <w:pBdr/>
              <w:spacing/>
              <w:ind/>
              <w:rPr/>
            </w:pPr>
            <w:r>
              <w:t xml:space="preserve">-</w:t>
            </w:r>
            <w:r/>
          </w:p>
        </w:tc>
        <w:tc>
          <w:tcPr>
            <w:tcBorders>
              <w:bottom w:val="single" w:color="000000" w:sz="4" w:space="0"/>
              <w:right w:val="single" w:color="000000" w:sz="4" w:space="0"/>
            </w:tcBorders>
            <w:tcW w:w="2357" w:type="dxa"/>
            <w:vAlign w:val="center"/>
          </w:tcPr>
          <w:p>
            <w:pPr>
              <w:pStyle w:val="12385"/>
              <w:pBdr/>
              <w:spacing/>
              <w:ind/>
              <w:rPr/>
            </w:pPr>
            <w:r>
              <w:t xml:space="preserve">-</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2</w:t>
            </w:r>
            <w:r/>
          </w:p>
        </w:tc>
        <w:tc>
          <w:tcPr>
            <w:tcBorders>
              <w:bottom w:val="single" w:color="000000" w:sz="4" w:space="0"/>
              <w:right w:val="single" w:color="000000" w:sz="4" w:space="0"/>
            </w:tcBorders>
            <w:tcW w:w="5679" w:type="dxa"/>
            <w:vAlign w:val="center"/>
          </w:tcPr>
          <w:p>
            <w:pPr>
              <w:pStyle w:val="12385"/>
              <w:pBdr/>
              <w:spacing/>
              <w:ind/>
              <w:rPr/>
            </w:pPr>
            <w:r>
              <w:t xml:space="preserve">относительный аварийный недоотпуск тепла</w:t>
            </w:r>
            <w:r/>
          </w:p>
        </w:tc>
        <w:tc>
          <w:tcPr>
            <w:tcBorders>
              <w:bottom w:val="single" w:color="000000" w:sz="4" w:space="0"/>
              <w:right w:val="single" w:color="000000" w:sz="4" w:space="0"/>
            </w:tcBorders>
            <w:tcW w:w="1332" w:type="dxa"/>
            <w:vAlign w:val="center"/>
          </w:tcPr>
          <w:p>
            <w:pPr>
              <w:pStyle w:val="12385"/>
              <w:pBdr/>
              <w:spacing/>
              <w:ind/>
              <w:rPr/>
            </w:pPr>
            <w:r>
              <w:t xml:space="preserve">q</w:t>
            </w:r>
            <w:r/>
          </w:p>
        </w:tc>
        <w:tc>
          <w:tcPr>
            <w:tcBorders>
              <w:bottom w:val="single" w:color="000000" w:sz="4" w:space="0"/>
              <w:right w:val="single" w:color="000000" w:sz="4" w:space="0"/>
            </w:tcBorders>
            <w:tcW w:w="2115" w:type="dxa"/>
            <w:vAlign w:val="center"/>
          </w:tcPr>
          <w:p>
            <w:pPr>
              <w:pStyle w:val="12385"/>
              <w:pBdr/>
              <w:spacing/>
              <w:ind/>
              <w:rPr/>
            </w:pPr>
            <w:r>
              <w:t xml:space="preserve">-</w:t>
            </w:r>
            <w:r/>
          </w:p>
        </w:tc>
        <w:tc>
          <w:tcPr>
            <w:tcBorders>
              <w:bottom w:val="single" w:color="000000" w:sz="4" w:space="0"/>
              <w:right w:val="single" w:color="000000" w:sz="4" w:space="0"/>
            </w:tcBorders>
            <w:tcW w:w="2282" w:type="dxa"/>
            <w:vAlign w:val="center"/>
          </w:tcPr>
          <w:p>
            <w:pPr>
              <w:pStyle w:val="12385"/>
              <w:pBdr/>
              <w:spacing/>
              <w:ind/>
              <w:rPr/>
            </w:pPr>
            <w:r>
              <w:t xml:space="preserve">-</w:t>
            </w:r>
            <w:r/>
          </w:p>
        </w:tc>
        <w:tc>
          <w:tcPr>
            <w:tcBorders>
              <w:bottom w:val="single" w:color="000000" w:sz="4" w:space="0"/>
              <w:right w:val="single" w:color="000000" w:sz="4" w:space="0"/>
            </w:tcBorders>
            <w:tcW w:w="2357" w:type="dxa"/>
            <w:vAlign w:val="center"/>
          </w:tcPr>
          <w:p>
            <w:pPr>
              <w:pStyle w:val="12385"/>
              <w:pBdr/>
              <w:spacing/>
              <w:ind/>
              <w:rPr/>
            </w:pPr>
            <w:r>
              <w:t xml:space="preserve">-</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3</w:t>
            </w:r>
            <w:r/>
          </w:p>
        </w:tc>
        <w:tc>
          <w:tcPr>
            <w:tcBorders>
              <w:bottom w:val="single" w:color="000000" w:sz="4" w:space="0"/>
              <w:right w:val="single" w:color="000000" w:sz="4" w:space="0"/>
            </w:tcBorders>
            <w:tcW w:w="5679" w:type="dxa"/>
            <w:vAlign w:val="center"/>
          </w:tcPr>
          <w:p>
            <w:pPr>
              <w:pStyle w:val="12385"/>
              <w:pBdr/>
              <w:spacing/>
              <w:ind/>
              <w:rPr/>
            </w:pPr>
            <w:r>
              <w:t xml:space="preserve">надежность электроснабжения источников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Кэ</w:t>
            </w:r>
            <w:r/>
          </w:p>
        </w:tc>
        <w:tc>
          <w:tcPr>
            <w:tcBorders>
              <w:bottom w:val="single" w:color="000000" w:sz="4" w:space="0"/>
              <w:right w:val="single" w:color="000000" w:sz="4" w:space="0"/>
            </w:tcBorders>
            <w:tcW w:w="2115" w:type="dxa"/>
            <w:vAlign w:val="center"/>
          </w:tcPr>
          <w:p>
            <w:pPr>
              <w:pStyle w:val="12385"/>
              <w:pBdr/>
              <w:spacing/>
              <w:ind/>
              <w:rPr/>
            </w:pPr>
            <w:r>
              <w:t xml:space="preserve">0,5</w:t>
            </w:r>
            <w:r/>
          </w:p>
        </w:tc>
        <w:tc>
          <w:tcPr>
            <w:tcBorders>
              <w:bottom w:val="single" w:color="000000" w:sz="4" w:space="0"/>
              <w:right w:val="single" w:color="000000" w:sz="4" w:space="0"/>
            </w:tcBorders>
            <w:tcW w:w="2282" w:type="dxa"/>
            <w:vAlign w:val="center"/>
          </w:tcPr>
          <w:p>
            <w:pPr>
              <w:pStyle w:val="12385"/>
              <w:pBdr/>
              <w:spacing/>
              <w:ind/>
              <w:rPr/>
            </w:pPr>
            <w:r>
              <w:t xml:space="preserve">0,5</w:t>
            </w:r>
            <w:r/>
          </w:p>
        </w:tc>
        <w:tc>
          <w:tcPr>
            <w:tcBorders>
              <w:bottom w:val="single" w:color="000000" w:sz="4" w:space="0"/>
              <w:right w:val="single" w:color="000000" w:sz="4" w:space="0"/>
            </w:tcBorders>
            <w:tcW w:w="2357" w:type="dxa"/>
            <w:vAlign w:val="center"/>
          </w:tcPr>
          <w:p>
            <w:pPr>
              <w:pStyle w:val="12385"/>
              <w:pBdr/>
              <w:spacing/>
              <w:ind/>
              <w:rPr/>
            </w:pPr>
            <w:r>
              <w:t xml:space="preserve">0,5</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4</w:t>
            </w:r>
            <w:r/>
          </w:p>
        </w:tc>
        <w:tc>
          <w:tcPr>
            <w:tcBorders>
              <w:bottom w:val="single" w:color="000000" w:sz="4" w:space="0"/>
              <w:right w:val="single" w:color="000000" w:sz="4" w:space="0"/>
            </w:tcBorders>
            <w:tcW w:w="5679" w:type="dxa"/>
            <w:vAlign w:val="center"/>
          </w:tcPr>
          <w:p>
            <w:pPr>
              <w:pStyle w:val="12385"/>
              <w:pBdr/>
              <w:spacing/>
              <w:ind/>
              <w:rPr/>
            </w:pPr>
            <w:r>
              <w:t xml:space="preserve">надежность водоснабжения источников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Кв</w:t>
            </w:r>
            <w:r/>
          </w:p>
        </w:tc>
        <w:tc>
          <w:tcPr>
            <w:tcBorders>
              <w:bottom w:val="single" w:color="000000" w:sz="4" w:space="0"/>
              <w:right w:val="single" w:color="000000" w:sz="4" w:space="0"/>
            </w:tcBorders>
            <w:tcW w:w="2115" w:type="dxa"/>
            <w:vAlign w:val="center"/>
          </w:tcPr>
          <w:p>
            <w:pPr>
              <w:pStyle w:val="12385"/>
              <w:pBdr/>
              <w:spacing/>
              <w:ind/>
              <w:rPr/>
            </w:pPr>
            <w:r>
              <w:t xml:space="preserve">0,7</w:t>
            </w:r>
            <w:r/>
          </w:p>
        </w:tc>
        <w:tc>
          <w:tcPr>
            <w:tcBorders>
              <w:bottom w:val="single" w:color="000000" w:sz="4" w:space="0"/>
              <w:right w:val="single" w:color="000000" w:sz="4" w:space="0"/>
            </w:tcBorders>
            <w:tcW w:w="2282" w:type="dxa"/>
            <w:vAlign w:val="center"/>
          </w:tcPr>
          <w:p>
            <w:pPr>
              <w:pStyle w:val="12385"/>
              <w:pBdr/>
              <w:spacing/>
              <w:ind/>
              <w:rPr/>
            </w:pPr>
            <w:r>
              <w:t xml:space="preserve">0,7</w:t>
            </w:r>
            <w:r/>
          </w:p>
        </w:tc>
        <w:tc>
          <w:tcPr>
            <w:tcBorders>
              <w:bottom w:val="single" w:color="000000" w:sz="4" w:space="0"/>
              <w:right w:val="single" w:color="000000" w:sz="4" w:space="0"/>
            </w:tcBorders>
            <w:tcW w:w="2357" w:type="dxa"/>
            <w:vAlign w:val="center"/>
          </w:tcPr>
          <w:p>
            <w:pPr>
              <w:pStyle w:val="12385"/>
              <w:pBdr/>
              <w:spacing/>
              <w:ind/>
              <w:rPr/>
            </w:pPr>
            <w:r>
              <w:t xml:space="preserve">0,7</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5</w:t>
            </w:r>
            <w:r/>
          </w:p>
        </w:tc>
        <w:tc>
          <w:tcPr>
            <w:tcBorders>
              <w:bottom w:val="single" w:color="000000" w:sz="4" w:space="0"/>
              <w:right w:val="single" w:color="000000" w:sz="4" w:space="0"/>
            </w:tcBorders>
            <w:tcW w:w="5679" w:type="dxa"/>
            <w:vAlign w:val="center"/>
          </w:tcPr>
          <w:p>
            <w:pPr>
              <w:pStyle w:val="12385"/>
              <w:pBdr/>
              <w:spacing/>
              <w:ind/>
              <w:rPr/>
            </w:pPr>
            <w:r>
              <w:t xml:space="preserve">надежность топливоснабжения источников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Кт</w:t>
            </w:r>
            <w:r/>
          </w:p>
        </w:tc>
        <w:tc>
          <w:tcPr>
            <w:tcBorders>
              <w:bottom w:val="single" w:color="000000" w:sz="4" w:space="0"/>
              <w:right w:val="single" w:color="000000" w:sz="4" w:space="0"/>
            </w:tcBorders>
            <w:tcW w:w="2115" w:type="dxa"/>
            <w:vAlign w:val="center"/>
          </w:tcPr>
          <w:p>
            <w:pPr>
              <w:pStyle w:val="12385"/>
              <w:pBdr/>
              <w:spacing/>
              <w:ind/>
              <w:rPr/>
            </w:pPr>
            <w:r>
              <w:t xml:space="preserve">1</w:t>
            </w:r>
            <w:r/>
          </w:p>
        </w:tc>
        <w:tc>
          <w:tcPr>
            <w:tcBorders>
              <w:bottom w:val="single" w:color="000000" w:sz="4" w:space="0"/>
              <w:right w:val="single" w:color="000000" w:sz="4" w:space="0"/>
            </w:tcBorders>
            <w:tcW w:w="2282" w:type="dxa"/>
            <w:vAlign w:val="center"/>
          </w:tcPr>
          <w:p>
            <w:pPr>
              <w:pStyle w:val="12385"/>
              <w:pBdr/>
              <w:spacing/>
              <w:ind/>
              <w:rPr/>
            </w:pPr>
            <w:r>
              <w:t xml:space="preserve">1</w:t>
            </w:r>
            <w:r/>
          </w:p>
        </w:tc>
        <w:tc>
          <w:tcPr>
            <w:tcBorders>
              <w:bottom w:val="single" w:color="000000" w:sz="4" w:space="0"/>
              <w:right w:val="single" w:color="000000" w:sz="4" w:space="0"/>
            </w:tcBorders>
            <w:tcW w:w="2357" w:type="dxa"/>
            <w:vAlign w:val="center"/>
          </w:tcPr>
          <w:p>
            <w:pPr>
              <w:pStyle w:val="12385"/>
              <w:pBdr/>
              <w:spacing/>
              <w:ind/>
              <w:rPr/>
            </w:pPr>
            <w:r>
              <w:t xml:space="preserve">1</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6</w:t>
            </w:r>
            <w:r/>
          </w:p>
        </w:tc>
        <w:tc>
          <w:tcPr>
            <w:tcBorders>
              <w:bottom w:val="single" w:color="000000" w:sz="4" w:space="0"/>
              <w:right w:val="single" w:color="000000" w:sz="4" w:space="0"/>
            </w:tcBorders>
            <w:tcW w:w="5679" w:type="dxa"/>
            <w:vAlign w:val="center"/>
          </w:tcPr>
          <w:p>
            <w:pPr>
              <w:pStyle w:val="12385"/>
              <w:pBdr/>
              <w:spacing/>
              <w:ind/>
              <w:rPr/>
            </w:pPr>
            <w:r>
              <w:t xml:space="preserve">соответствие тепловой мощности источников тепловой энергии и пропускной способности тепловых сетей расчетным тепловым нагрузкам потребителей</w:t>
            </w:r>
            <w:r/>
          </w:p>
        </w:tc>
        <w:tc>
          <w:tcPr>
            <w:tcBorders>
              <w:bottom w:val="single" w:color="000000" w:sz="4" w:space="0"/>
              <w:right w:val="single" w:color="000000" w:sz="4" w:space="0"/>
            </w:tcBorders>
            <w:tcW w:w="1332" w:type="dxa"/>
            <w:vAlign w:val="center"/>
          </w:tcPr>
          <w:p>
            <w:pPr>
              <w:pStyle w:val="12385"/>
              <w:pBdr/>
              <w:spacing/>
              <w:ind/>
              <w:rPr/>
            </w:pPr>
            <w:r>
              <w:t xml:space="preserve">Кб</w:t>
            </w:r>
            <w:r/>
          </w:p>
        </w:tc>
        <w:tc>
          <w:tcPr>
            <w:tcBorders>
              <w:bottom w:val="single" w:color="000000" w:sz="4" w:space="0"/>
              <w:right w:val="single" w:color="000000" w:sz="4" w:space="0"/>
            </w:tcBorders>
            <w:tcW w:w="2115" w:type="dxa"/>
            <w:vAlign w:val="center"/>
          </w:tcPr>
          <w:p>
            <w:pPr>
              <w:pStyle w:val="12385"/>
              <w:pBdr/>
              <w:spacing/>
              <w:ind/>
              <w:rPr/>
            </w:pPr>
            <w:r>
              <w:t xml:space="preserve">0,8</w:t>
            </w:r>
            <w:r/>
          </w:p>
        </w:tc>
        <w:tc>
          <w:tcPr>
            <w:tcBorders>
              <w:bottom w:val="single" w:color="000000" w:sz="4" w:space="0"/>
              <w:right w:val="single" w:color="000000" w:sz="4" w:space="0"/>
            </w:tcBorders>
            <w:tcW w:w="2282" w:type="dxa"/>
            <w:vAlign w:val="center"/>
          </w:tcPr>
          <w:p>
            <w:pPr>
              <w:pStyle w:val="12385"/>
              <w:pBdr/>
              <w:spacing/>
              <w:ind/>
              <w:rPr/>
            </w:pPr>
            <w:r>
              <w:t xml:space="preserve">0,8</w:t>
            </w:r>
            <w:r/>
          </w:p>
        </w:tc>
        <w:tc>
          <w:tcPr>
            <w:tcBorders>
              <w:bottom w:val="single" w:color="000000" w:sz="4" w:space="0"/>
              <w:right w:val="single" w:color="000000" w:sz="4" w:space="0"/>
            </w:tcBorders>
            <w:tcW w:w="2357" w:type="dxa"/>
            <w:vAlign w:val="center"/>
          </w:tcPr>
          <w:p>
            <w:pPr>
              <w:pStyle w:val="12385"/>
              <w:pBdr/>
              <w:spacing/>
              <w:ind/>
              <w:rPr/>
            </w:pPr>
            <w:r>
              <w:t xml:space="preserve">0,8</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7</w:t>
            </w:r>
            <w:r/>
          </w:p>
        </w:tc>
        <w:tc>
          <w:tcPr>
            <w:tcBorders>
              <w:bottom w:val="single" w:color="000000" w:sz="4" w:space="0"/>
              <w:right w:val="single" w:color="000000" w:sz="4" w:space="0"/>
            </w:tcBorders>
            <w:tcW w:w="5679" w:type="dxa"/>
            <w:vAlign w:val="center"/>
          </w:tcPr>
          <w:p>
            <w:pPr>
              <w:pStyle w:val="12385"/>
              <w:pBdr/>
              <w:spacing/>
              <w:ind/>
              <w:rPr/>
            </w:pPr>
            <w:r>
              <w:t xml:space="preserve">уровень резервирования источников тепловой энергии и элементов тепловой сети путем их кольцевания или устройства перемычек</w:t>
            </w:r>
            <w:r/>
          </w:p>
        </w:tc>
        <w:tc>
          <w:tcPr>
            <w:tcBorders>
              <w:bottom w:val="single" w:color="000000" w:sz="4" w:space="0"/>
              <w:right w:val="single" w:color="000000" w:sz="4" w:space="0"/>
            </w:tcBorders>
            <w:tcW w:w="1332" w:type="dxa"/>
            <w:vAlign w:val="center"/>
          </w:tcPr>
          <w:p>
            <w:pPr>
              <w:pStyle w:val="12385"/>
              <w:pBdr/>
              <w:spacing/>
              <w:ind/>
              <w:rPr/>
            </w:pPr>
            <w:r>
              <w:t xml:space="preserve">Кр</w:t>
            </w:r>
            <w:r/>
          </w:p>
        </w:tc>
        <w:tc>
          <w:tcPr>
            <w:tcBorders>
              <w:bottom w:val="single" w:color="000000" w:sz="4" w:space="0"/>
              <w:right w:val="single" w:color="000000" w:sz="4" w:space="0"/>
            </w:tcBorders>
            <w:tcW w:w="2115" w:type="dxa"/>
            <w:vAlign w:val="center"/>
          </w:tcPr>
          <w:p>
            <w:pPr>
              <w:pStyle w:val="12385"/>
              <w:pBdr/>
              <w:spacing/>
              <w:ind/>
              <w:rPr/>
            </w:pPr>
            <w:r>
              <w:t xml:space="preserve">0,3</w:t>
            </w:r>
            <w:r/>
          </w:p>
        </w:tc>
        <w:tc>
          <w:tcPr>
            <w:tcBorders>
              <w:bottom w:val="single" w:color="000000" w:sz="4" w:space="0"/>
              <w:right w:val="single" w:color="000000" w:sz="4" w:space="0"/>
            </w:tcBorders>
            <w:tcW w:w="2282" w:type="dxa"/>
            <w:vAlign w:val="center"/>
          </w:tcPr>
          <w:p>
            <w:pPr>
              <w:pStyle w:val="12385"/>
              <w:pBdr/>
              <w:spacing/>
              <w:ind/>
              <w:rPr/>
            </w:pPr>
            <w:r>
              <w:t xml:space="preserve">0,3</w:t>
            </w:r>
            <w:r/>
          </w:p>
        </w:tc>
        <w:tc>
          <w:tcPr>
            <w:tcBorders>
              <w:bottom w:val="single" w:color="000000" w:sz="4" w:space="0"/>
              <w:right w:val="single" w:color="000000" w:sz="4" w:space="0"/>
            </w:tcBorders>
            <w:tcW w:w="2357" w:type="dxa"/>
            <w:vAlign w:val="center"/>
          </w:tcPr>
          <w:p>
            <w:pPr>
              <w:pStyle w:val="12385"/>
              <w:pBdr/>
              <w:spacing/>
              <w:ind/>
              <w:rPr/>
            </w:pPr>
            <w:r>
              <w:t xml:space="preserve">0,3</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8</w:t>
            </w:r>
            <w:r/>
          </w:p>
        </w:tc>
        <w:tc>
          <w:tcPr>
            <w:tcBorders>
              <w:bottom w:val="single" w:color="000000" w:sz="4" w:space="0"/>
              <w:right w:val="single" w:color="000000" w:sz="4" w:space="0"/>
            </w:tcBorders>
            <w:tcW w:w="5679" w:type="dxa"/>
            <w:vAlign w:val="center"/>
          </w:tcPr>
          <w:p>
            <w:pPr>
              <w:pStyle w:val="12385"/>
              <w:pBdr/>
              <w:spacing/>
              <w:ind/>
              <w:rPr/>
            </w:pPr>
            <w:r>
              <w:t xml:space="preserve">техническое состояние тепловых сетей, характеризуемое наличием ветхих, подлежащих замене трубопроводов</w:t>
            </w:r>
            <w:r/>
          </w:p>
        </w:tc>
        <w:tc>
          <w:tcPr>
            <w:tcBorders>
              <w:bottom w:val="single" w:color="000000" w:sz="4" w:space="0"/>
              <w:right w:val="single" w:color="000000" w:sz="4" w:space="0"/>
            </w:tcBorders>
            <w:tcW w:w="1332" w:type="dxa"/>
            <w:vAlign w:val="center"/>
          </w:tcPr>
          <w:p>
            <w:pPr>
              <w:pStyle w:val="12385"/>
              <w:pBdr/>
              <w:spacing/>
              <w:ind/>
              <w:rPr/>
            </w:pPr>
            <w:r>
              <w:t xml:space="preserve">Кс</w:t>
            </w:r>
            <w:r/>
          </w:p>
        </w:tc>
        <w:tc>
          <w:tcPr>
            <w:tcBorders>
              <w:bottom w:val="single" w:color="000000" w:sz="4" w:space="0"/>
              <w:right w:val="single" w:color="000000" w:sz="4" w:space="0"/>
            </w:tcBorders>
            <w:tcW w:w="2115" w:type="dxa"/>
            <w:vAlign w:val="center"/>
          </w:tcPr>
          <w:p>
            <w:pPr>
              <w:pStyle w:val="12385"/>
              <w:pBdr/>
              <w:spacing/>
              <w:ind/>
              <w:rPr/>
            </w:pPr>
            <w:r>
              <w:t xml:space="preserve">0,60</w:t>
            </w:r>
            <w:r/>
          </w:p>
        </w:tc>
        <w:tc>
          <w:tcPr>
            <w:tcBorders>
              <w:bottom w:val="single" w:color="000000" w:sz="4" w:space="0"/>
              <w:right w:val="single" w:color="000000" w:sz="4" w:space="0"/>
            </w:tcBorders>
            <w:tcW w:w="2282" w:type="dxa"/>
            <w:vAlign w:val="center"/>
          </w:tcPr>
          <w:p>
            <w:pPr>
              <w:pStyle w:val="12385"/>
              <w:pBdr/>
              <w:spacing/>
              <w:ind/>
              <w:rPr/>
            </w:pPr>
            <w:r>
              <w:t xml:space="preserve">0,60</w:t>
            </w:r>
            <w:r/>
          </w:p>
        </w:tc>
        <w:tc>
          <w:tcPr>
            <w:tcBorders>
              <w:bottom w:val="single" w:color="000000" w:sz="4" w:space="0"/>
              <w:right w:val="single" w:color="000000" w:sz="4" w:space="0"/>
            </w:tcBorders>
            <w:tcW w:w="2357" w:type="dxa"/>
            <w:vAlign w:val="center"/>
          </w:tcPr>
          <w:p>
            <w:pPr>
              <w:pStyle w:val="12385"/>
              <w:pBdr/>
              <w:spacing/>
              <w:ind/>
              <w:rPr/>
            </w:pPr>
            <w:r>
              <w:t xml:space="preserve">0,60</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9</w:t>
            </w:r>
            <w:r/>
          </w:p>
        </w:tc>
        <w:tc>
          <w:tcPr>
            <w:tcBorders>
              <w:bottom w:val="single" w:color="000000" w:sz="4" w:space="0"/>
              <w:right w:val="single" w:color="000000" w:sz="4" w:space="0"/>
            </w:tcBorders>
            <w:tcW w:w="5679" w:type="dxa"/>
            <w:vAlign w:val="center"/>
          </w:tcPr>
          <w:p>
            <w:pPr>
              <w:pStyle w:val="12385"/>
              <w:pBdr/>
              <w:spacing/>
              <w:ind/>
              <w:rPr/>
            </w:pPr>
            <w:r>
              <w:t xml:space="preserve">готовность теплоснабжаю</w:t>
            </w:r>
            <w:r>
              <w:t xml:space="preserve">щих организаций к проведению аварийно-восстановительных работ в системах теплоснабжения, которая базируется на показателях: - укомплектованность ремонтным и оперативно- ремонтным персоналом, - оснащенности машинами, специальными механизмами и оборудованием</w:t>
            </w:r>
            <w:r/>
          </w:p>
        </w:tc>
        <w:tc>
          <w:tcPr>
            <w:tcBorders>
              <w:bottom w:val="single" w:color="000000" w:sz="4" w:space="0"/>
              <w:right w:val="single" w:color="000000" w:sz="4" w:space="0"/>
            </w:tcBorders>
            <w:tcW w:w="1332" w:type="dxa"/>
            <w:vAlign w:val="center"/>
          </w:tcPr>
          <w:p>
            <w:pPr>
              <w:pStyle w:val="12385"/>
              <w:pBdr/>
              <w:spacing/>
              <w:ind/>
              <w:rPr/>
            </w:pPr>
            <w:r>
              <w:t xml:space="preserve">Кукомпл К оснащ</w:t>
            </w:r>
            <w:r/>
          </w:p>
        </w:tc>
        <w:tc>
          <w:tcPr>
            <w:tcBorders>
              <w:bottom w:val="single" w:color="000000" w:sz="4" w:space="0"/>
              <w:right w:val="single" w:color="000000" w:sz="4" w:space="0"/>
            </w:tcBorders>
            <w:tcW w:w="2115" w:type="dxa"/>
            <w:vAlign w:val="center"/>
          </w:tcPr>
          <w:p>
            <w:pPr>
              <w:pStyle w:val="12385"/>
              <w:pBdr/>
              <w:spacing/>
              <w:ind/>
              <w:rPr/>
            </w:pPr>
            <w:r>
              <w:t xml:space="preserve">0,9</w:t>
            </w:r>
            <w:r/>
          </w:p>
        </w:tc>
        <w:tc>
          <w:tcPr>
            <w:tcBorders>
              <w:bottom w:val="single" w:color="000000" w:sz="4" w:space="0"/>
              <w:right w:val="single" w:color="000000" w:sz="4" w:space="0"/>
            </w:tcBorders>
            <w:tcW w:w="2282" w:type="dxa"/>
            <w:vAlign w:val="center"/>
          </w:tcPr>
          <w:p>
            <w:pPr>
              <w:pStyle w:val="12385"/>
              <w:pBdr/>
              <w:spacing/>
              <w:ind/>
              <w:rPr/>
            </w:pPr>
            <w:r>
              <w:t xml:space="preserve">0,9</w:t>
            </w:r>
            <w:r/>
          </w:p>
        </w:tc>
        <w:tc>
          <w:tcPr>
            <w:tcBorders>
              <w:bottom w:val="single" w:color="000000" w:sz="4" w:space="0"/>
              <w:right w:val="single" w:color="000000" w:sz="4" w:space="0"/>
            </w:tcBorders>
            <w:tcW w:w="2357" w:type="dxa"/>
            <w:vAlign w:val="center"/>
          </w:tcPr>
          <w:p>
            <w:pPr>
              <w:pStyle w:val="12385"/>
              <w:pBdr/>
              <w:spacing/>
              <w:ind/>
              <w:rPr/>
            </w:pPr>
            <w:r>
              <w:t xml:space="preserve">0,9</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10</w:t>
            </w:r>
            <w:r/>
          </w:p>
        </w:tc>
        <w:tc>
          <w:tcPr>
            <w:tcBorders>
              <w:bottom w:val="single" w:color="000000" w:sz="4" w:space="0"/>
              <w:right w:val="single" w:color="000000" w:sz="4" w:space="0"/>
            </w:tcBorders>
            <w:tcW w:w="5679" w:type="dxa"/>
            <w:vAlign w:val="center"/>
          </w:tcPr>
          <w:p>
            <w:pPr>
              <w:pStyle w:val="12385"/>
              <w:pBdr/>
              <w:spacing/>
              <w:ind/>
              <w:rPr>
                <w:b/>
              </w:rPr>
            </w:pPr>
            <w:r>
              <w:rPr>
                <w:b/>
              </w:rPr>
              <w:t xml:space="preserve">Коэффициент надежности системы </w:t>
            </w:r>
            <w:r>
              <w:t xml:space="preserve">коммунального теплоснабжения от источника тепловой энергии</w:t>
            </w:r>
            <w:r>
              <w:rPr>
                <w:b/>
              </w:rPr>
            </w:r>
          </w:p>
        </w:tc>
        <w:tc>
          <w:tcPr>
            <w:tcBorders>
              <w:bottom w:val="single" w:color="000000" w:sz="4" w:space="0"/>
              <w:right w:val="single" w:color="000000" w:sz="4" w:space="0"/>
            </w:tcBorders>
            <w:tcW w:w="1332" w:type="dxa"/>
            <w:vAlign w:val="center"/>
          </w:tcPr>
          <w:p>
            <w:pPr>
              <w:pStyle w:val="12385"/>
              <w:pBdr/>
              <w:spacing/>
              <w:ind/>
              <w:rPr/>
            </w:pPr>
            <w:r>
              <w:t xml:space="preserve">Кнад</w:t>
            </w:r>
            <w:r/>
          </w:p>
        </w:tc>
        <w:tc>
          <w:tcPr>
            <w:tcBorders>
              <w:bottom w:val="single" w:color="000000" w:sz="4" w:space="0"/>
              <w:right w:val="single" w:color="000000" w:sz="4" w:space="0"/>
            </w:tcBorders>
            <w:tcW w:w="2115" w:type="dxa"/>
            <w:vAlign w:val="center"/>
          </w:tcPr>
          <w:p>
            <w:pPr>
              <w:pStyle w:val="12385"/>
              <w:pBdr/>
              <w:spacing/>
              <w:ind/>
              <w:rPr/>
            </w:pPr>
            <w:r>
              <w:t xml:space="preserve">0,69</w:t>
            </w:r>
            <w:r/>
          </w:p>
        </w:tc>
        <w:tc>
          <w:tcPr>
            <w:tcBorders>
              <w:bottom w:val="single" w:color="000000" w:sz="4" w:space="0"/>
              <w:right w:val="single" w:color="000000" w:sz="4" w:space="0"/>
            </w:tcBorders>
            <w:tcW w:w="2282" w:type="dxa"/>
            <w:vAlign w:val="center"/>
          </w:tcPr>
          <w:p>
            <w:pPr>
              <w:pStyle w:val="12385"/>
              <w:pBdr/>
              <w:spacing/>
              <w:ind/>
              <w:rPr/>
            </w:pPr>
            <w:r>
              <w:t xml:space="preserve">0,69</w:t>
            </w:r>
            <w:r/>
          </w:p>
        </w:tc>
        <w:tc>
          <w:tcPr>
            <w:tcBorders>
              <w:bottom w:val="single" w:color="000000" w:sz="4" w:space="0"/>
              <w:right w:val="single" w:color="000000" w:sz="4" w:space="0"/>
            </w:tcBorders>
            <w:tcW w:w="2357" w:type="dxa"/>
            <w:vAlign w:val="center"/>
          </w:tcPr>
          <w:p>
            <w:pPr>
              <w:pStyle w:val="12385"/>
              <w:pBdr/>
              <w:spacing/>
              <w:ind/>
              <w:rPr/>
            </w:pPr>
            <w:r>
              <w:t xml:space="preserve">0,69</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11</w:t>
            </w:r>
            <w:r/>
          </w:p>
        </w:tc>
        <w:tc>
          <w:tcPr>
            <w:tcBorders>
              <w:bottom w:val="single" w:color="000000" w:sz="4" w:space="0"/>
              <w:right w:val="single" w:color="000000" w:sz="4" w:space="0"/>
            </w:tcBorders>
            <w:tcW w:w="5679" w:type="dxa"/>
            <w:vAlign w:val="center"/>
          </w:tcPr>
          <w:p>
            <w:pPr>
              <w:pStyle w:val="12385"/>
              <w:pBdr/>
              <w:spacing/>
              <w:ind/>
              <w:rPr>
                <w:b/>
              </w:rPr>
            </w:pPr>
            <w:r>
              <w:rPr>
                <w:b/>
              </w:rPr>
              <w:t xml:space="preserve">Общий показатель надежности системы </w:t>
            </w:r>
            <w:r>
              <w:t xml:space="preserve">коммунального теплоснабжения</w:t>
            </w:r>
            <w:r>
              <w:rPr>
                <w:b/>
              </w:rPr>
            </w:r>
          </w:p>
        </w:tc>
        <w:tc>
          <w:tcPr>
            <w:tcBorders>
              <w:bottom w:val="single" w:color="000000" w:sz="4" w:space="0"/>
              <w:right w:val="single" w:color="000000" w:sz="4" w:space="0"/>
            </w:tcBorders>
            <w:tcW w:w="1332" w:type="dxa"/>
            <w:vAlign w:val="center"/>
          </w:tcPr>
          <w:p>
            <w:pPr>
              <w:pStyle w:val="12385"/>
              <w:pBdr/>
              <w:spacing/>
              <w:ind/>
              <w:rPr/>
            </w:pPr>
            <w:r>
              <w:t xml:space="preserve">К об</w:t>
            </w:r>
            <w:r/>
          </w:p>
        </w:tc>
        <w:tc>
          <w:tcPr>
            <w:gridSpan w:val="3"/>
            <w:tcBorders>
              <w:top w:val="single" w:color="000000" w:sz="4" w:space="0"/>
              <w:bottom w:val="single" w:color="000000" w:sz="4" w:space="0"/>
            </w:tcBorders>
            <w:tcW w:w="6754" w:type="dxa"/>
            <w:vAlign w:val="center"/>
          </w:tcPr>
          <w:p>
            <w:pPr>
              <w:pStyle w:val="12385"/>
              <w:pBdr/>
              <w:spacing/>
              <w:ind/>
              <w:rPr/>
            </w:pPr>
            <w:r>
              <w:t xml:space="preserve">0,69</w:t>
            </w:r>
            <w:r/>
          </w:p>
        </w:tc>
      </w:tr>
    </w:tbl>
    <w:p>
      <w:pPr>
        <w:pBdr/>
        <w:spacing/>
        <w:ind/>
        <w:rPr/>
        <w:sectPr>
          <w:headerReference w:type="default" r:id="rId72"/>
          <w:headerReference w:type="first" r:id="rId73"/>
          <w:footerReference w:type="default" r:id="rId340"/>
          <w:footerReference w:type="first" r:id="rId341"/>
          <w:footnotePr/>
          <w:endnotePr/>
          <w:type w:val="nextPage"/>
          <w:pgSz w:h="11906" w:orient="landscape" w:w="16838"/>
          <w:pgMar w:top="1701" w:right="1134" w:bottom="851" w:left="1134" w:header="567" w:footer="454" w:gutter="0"/>
          <w:cols w:num="1" w:sep="0" w:space="1701" w:equalWidth="1"/>
        </w:sectPr>
      </w:pPr>
      <w:r/>
      <w:r/>
    </w:p>
    <w:p>
      <w:pPr>
        <w:pStyle w:val="12960"/>
        <w:pBdr/>
        <w:spacing/>
        <w:ind/>
        <w:rPr/>
      </w:pPr>
      <w:r/>
      <w:r/>
    </w:p>
    <w:p>
      <w:pPr>
        <w:pStyle w:val="12960"/>
        <w:pBdr/>
        <w:spacing/>
        <w:ind/>
        <w:rPr/>
      </w:pPr>
      <w:r>
        <w:t xml:space="preserve">При Кнад=0,69 система теплоснабжения относится к не</w:t>
      </w:r>
      <w:r>
        <w:rPr>
          <w:b/>
        </w:rPr>
        <w:t xml:space="preserve">надежным </w:t>
      </w:r>
      <w:r>
        <w:t xml:space="preserve">(Кнад от 0,74 до 0,89) системам теплоснабжения.</w:t>
      </w:r>
      <w:r/>
    </w:p>
    <w:p>
      <w:pPr>
        <w:pStyle w:val="12960"/>
        <w:pBdr/>
        <w:spacing/>
        <w:ind/>
        <w:rPr/>
      </w:pPr>
      <w:r>
        <w:t xml:space="preserve">Данное, значение коэффициента надежности, объясняется следующими основными причинами:</w:t>
      </w:r>
      <w:r/>
    </w:p>
    <w:p>
      <w:pPr>
        <w:pStyle w:val="13832"/>
        <w:keepNext w:val="false"/>
        <w:widowControl w:val="true"/>
        <w:numPr>
          <w:ilvl w:val="0"/>
          <w:numId w:val="61"/>
        </w:numPr>
        <w:pBdr/>
        <w:bidi w:val="false"/>
        <w:spacing w:after="0" w:before="0" w:line="360" w:lineRule="auto"/>
        <w:ind w:right="0" w:firstLine="567" w:left="0"/>
        <w:jc w:val="both"/>
        <w:rPr/>
      </w:pPr>
      <w:r>
        <w:t xml:space="preserve">Отсутствие резервного источника питания электрической энергией на котельной, обеспечивающего 100 % работоспособность всех агрегатов. </w:t>
      </w:r>
      <w:r/>
    </w:p>
    <w:p>
      <w:pPr>
        <w:pStyle w:val="13832"/>
        <w:keepNext w:val="false"/>
        <w:widowControl w:val="true"/>
        <w:numPr>
          <w:ilvl w:val="0"/>
          <w:numId w:val="61"/>
        </w:numPr>
        <w:pBdr/>
        <w:bidi w:val="false"/>
        <w:spacing w:after="0" w:before="0" w:line="360" w:lineRule="auto"/>
        <w:ind w:right="0" w:firstLine="567" w:left="0"/>
        <w:jc w:val="both"/>
        <w:rPr>
          <w:szCs w:val="22"/>
        </w:rPr>
      </w:pPr>
      <w:r>
        <w:rPr>
          <w:szCs w:val="22"/>
        </w:rPr>
        <w:t xml:space="preserve">Изношенностью части тепловых сетей муниципального образования, наличие аварийных участков.</w:t>
      </w:r>
      <w:r>
        <w:rPr>
          <w:szCs w:val="22"/>
        </w:rPr>
      </w:r>
    </w:p>
    <w:p>
      <w:pPr>
        <w:pStyle w:val="13832"/>
        <w:keepNext w:val="false"/>
        <w:widowControl w:val="true"/>
        <w:numPr>
          <w:ilvl w:val="0"/>
          <w:numId w:val="61"/>
        </w:numPr>
        <w:pBdr/>
        <w:bidi w:val="false"/>
        <w:spacing w:after="0" w:before="0" w:line="360" w:lineRule="auto"/>
        <w:ind w:right="0" w:firstLine="567" w:left="0"/>
        <w:jc w:val="both"/>
        <w:rPr/>
      </w:pPr>
      <w:r>
        <w:t xml:space="preserve">Отсутствие резервирования источников тепловой энергии и элементов тепловой сети путем их кольцевания или устройства перемычек.</w:t>
      </w:r>
      <w:r/>
    </w:p>
    <w:p>
      <w:pPr>
        <w:pStyle w:val="10535"/>
        <w:keepNext w:val="false"/>
        <w:widowControl w:val="false"/>
        <w:numPr>
          <w:ilvl w:val="1"/>
          <w:numId w:val="112"/>
        </w:numPr>
        <w:pBdr/>
        <w:bidi w:val="false"/>
        <w:spacing w:after="240" w:before="240" w:line="240" w:lineRule="auto"/>
        <w:ind w:right="0" w:hanging="737" w:left="737"/>
        <w:jc w:val="center"/>
        <w:rPr>
          <w:rFonts w:cs="Times New Roman"/>
        </w:rPr>
      </w:pPr>
      <w:r/>
      <w:bookmarkStart w:id="458" w:name="_Toc166767203"/>
      <w:r/>
      <w:bookmarkStart w:id="459" w:name="_Toc520922770"/>
      <w:r/>
      <w:bookmarkStart w:id="460" w:name="_Toc198483543"/>
      <w:r/>
      <w:bookmarkStart w:id="461" w:name="_Toc84970987"/>
      <w:r/>
      <w:bookmarkStart w:id="462" w:name="_Toc78674750"/>
      <w:r>
        <w:rPr>
          <w:rFonts w:cs="Times New Roman"/>
        </w:rPr>
        <w:t xml:space="preserve">Поток отказов (частота отказов) участков тепловых сетей</w:t>
      </w:r>
      <w:bookmarkEnd w:id="458"/>
      <w:r/>
      <w:bookmarkEnd w:id="459"/>
      <w:r/>
      <w:bookmarkEnd w:id="460"/>
      <w:r/>
      <w:bookmarkEnd w:id="461"/>
      <w:r/>
      <w:bookmarkEnd w:id="462"/>
      <w:r/>
      <w:r>
        <w:rPr>
          <w:rFonts w:cs="Times New Roman"/>
        </w:rPr>
      </w:r>
    </w:p>
    <w:p>
      <w:pPr>
        <w:pStyle w:val="12960"/>
        <w:pBdr/>
        <w:spacing/>
        <w:ind/>
        <w:rPr>
          <w:lang w:bidi="ru-RU"/>
        </w:rPr>
      </w:pPr>
      <w:r>
        <w:rPr>
          <w:lang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w:t>
      </w:r>
      <w:r>
        <w:rPr>
          <w:lang w:bidi="ru-RU"/>
        </w:rPr>
        <w:t xml:space="preserve">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отказов участков тепловой сети за последние 3 года зарегистрировано не было.</w:t>
      </w:r>
      <w:r>
        <w:rPr>
          <w:lang w:bidi="ru-RU"/>
        </w:rPr>
      </w:r>
    </w:p>
    <w:p>
      <w:pPr>
        <w:pStyle w:val="12960"/>
        <w:pBdr/>
        <w:spacing/>
        <w:ind/>
        <w:rPr>
          <w:b/>
        </w:rPr>
      </w:pPr>
      <w:r>
        <w:rPr>
          <w:b/>
        </w:rPr>
        <w:t xml:space="preserve">Таблица 1.9.1.1 - Показатели повреждаемости системы теплоснабжения </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999"/>
        <w:gridCol w:w="617"/>
        <w:gridCol w:w="618"/>
        <w:gridCol w:w="618"/>
        <w:gridCol w:w="627"/>
        <w:gridCol w:w="628"/>
        <w:gridCol w:w="629"/>
        <w:gridCol w:w="617"/>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Наименование показателя</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color w:val="000000"/>
                <w:szCs w:val="20"/>
              </w:rPr>
              <w:t xml:space="preserve">2019</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color w:val="000000"/>
                <w:szCs w:val="20"/>
              </w:rPr>
              <w:t xml:space="preserve">2020</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color w:val="000000"/>
                <w:szCs w:val="20"/>
              </w:rPr>
              <w:t xml:space="preserve">2021</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7" w:type="dxa"/>
            <w:vAlign w:val="center"/>
          </w:tcPr>
          <w:p>
            <w:pPr>
              <w:pStyle w:val="12385"/>
              <w:pBdr/>
              <w:spacing/>
              <w:ind/>
              <w:rPr>
                <w:rFonts w:cs="Times New Roman"/>
                <w:szCs w:val="20"/>
              </w:rPr>
            </w:pPr>
            <w:r>
              <w:rPr>
                <w:rFonts w:cs="Times New Roman"/>
                <w:color w:val="000000"/>
                <w:szCs w:val="20"/>
              </w:rPr>
              <w:t xml:space="preserve">2022</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8" w:type="dxa"/>
            <w:vAlign w:val="center"/>
          </w:tcPr>
          <w:p>
            <w:pPr>
              <w:pStyle w:val="12385"/>
              <w:pBdr/>
              <w:spacing/>
              <w:ind/>
              <w:rPr>
                <w:rFonts w:cs="Times New Roman"/>
                <w:szCs w:val="20"/>
              </w:rPr>
            </w:pPr>
            <w:r>
              <w:rPr>
                <w:rFonts w:cs="Times New Roman"/>
                <w:color w:val="000000"/>
                <w:szCs w:val="20"/>
              </w:rPr>
              <w:t xml:space="preserve">2023</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9" w:type="dxa"/>
            <w:vAlign w:val="center"/>
          </w:tcPr>
          <w:p>
            <w:pPr>
              <w:pStyle w:val="12385"/>
              <w:pBdr/>
              <w:spacing/>
              <w:ind/>
              <w:rPr>
                <w:rFonts w:cs="Times New Roman"/>
                <w:szCs w:val="20"/>
              </w:rPr>
            </w:pPr>
            <w:r>
              <w:rPr>
                <w:rFonts w:cs="Times New Roman"/>
                <w:color w:val="000000"/>
                <w:szCs w:val="20"/>
              </w:rPr>
              <w:t xml:space="preserve">2024</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color w:val="000000"/>
                <w:szCs w:val="20"/>
              </w:rPr>
              <w:t xml:space="preserve">2025</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Повреждения в магистральных тепловых сетях, 1/км/год в том числе:</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в отопительный период,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в период испытаний на плотность и прочность,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Повреждения в распределительных тепловых сетях систем отопления, 1/км/год, в том числе:</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в отопительный период,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в период испытаний на плотность и прочность,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Повреждения в сетях горячего водоснабжения (в случае их наличия),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4999" w:type="dxa"/>
            <w:vAlign w:val="center"/>
          </w:tcPr>
          <w:p>
            <w:pPr>
              <w:pStyle w:val="12385"/>
              <w:pBdr/>
              <w:spacing/>
              <w:ind/>
              <w:rPr>
                <w:rFonts w:cs="Times New Roman"/>
                <w:szCs w:val="20"/>
              </w:rPr>
            </w:pPr>
            <w:r>
              <w:rPr>
                <w:rFonts w:cs="Times New Roman"/>
                <w:szCs w:val="20"/>
              </w:rPr>
              <w:t xml:space="preserve">Всего повреждения в тепловых сетях, 1/км/год</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7"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8"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29" w:type="dxa"/>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szCs w:val="20"/>
              </w:rPr>
            </w:pPr>
            <w:r>
              <w:rPr>
                <w:rFonts w:cs="Times New Roman"/>
                <w:szCs w:val="20"/>
              </w:rPr>
              <w:t xml:space="preserve">0</w:t>
            </w:r>
            <w:r>
              <w:rPr>
                <w:rFonts w:cs="Times New Roman"/>
                <w:szCs w:val="20"/>
              </w:rPr>
            </w:r>
          </w:p>
        </w:tc>
      </w:tr>
    </w:tbl>
    <w:p>
      <w:pPr>
        <w:pStyle w:val="12960"/>
        <w:pBdr/>
        <w:spacing/>
        <w:ind/>
        <w:rPr/>
      </w:pPr>
      <w:r/>
      <w:r/>
    </w:p>
    <w:p>
      <w:pPr>
        <w:pStyle w:val="10535"/>
        <w:keepNext w:val="false"/>
        <w:widowControl w:val="false"/>
        <w:numPr>
          <w:ilvl w:val="1"/>
          <w:numId w:val="113"/>
        </w:numPr>
        <w:pBdr/>
        <w:spacing w:after="240" w:before="240" w:line="240" w:lineRule="auto"/>
        <w:ind w:firstLine="0" w:left="0"/>
        <w:rPr>
          <w:rFonts w:cs="Times New Roman"/>
        </w:rPr>
      </w:pPr>
      <w:r/>
      <w:bookmarkStart w:id="463" w:name="_Toc198483544"/>
      <w:r/>
      <w:bookmarkStart w:id="464" w:name="_Toc166767204"/>
      <w:r/>
      <w:bookmarkStart w:id="465" w:name="_Toc84970988"/>
      <w:r/>
      <w:bookmarkStart w:id="466" w:name="_Toc78674751"/>
      <w:r/>
      <w:bookmarkStart w:id="467" w:name="_Toc520922771"/>
      <w:r>
        <w:rPr>
          <w:rFonts w:cs="Times New Roman"/>
        </w:rPr>
        <w:t xml:space="preserve">Частота отключений потребителей</w:t>
      </w:r>
      <w:bookmarkEnd w:id="463"/>
      <w:r/>
      <w:bookmarkEnd w:id="464"/>
      <w:r/>
      <w:bookmarkEnd w:id="465"/>
      <w:r/>
      <w:bookmarkEnd w:id="466"/>
      <w:r/>
      <w:bookmarkEnd w:id="467"/>
      <w:r/>
      <w:r>
        <w:rPr>
          <w:rFonts w:cs="Times New Roman"/>
        </w:rPr>
      </w:r>
    </w:p>
    <w:p>
      <w:pPr>
        <w:pStyle w:val="12960"/>
        <w:pBdr/>
        <w:spacing/>
        <w:ind/>
        <w:rPr/>
      </w:pPr>
      <w:r>
        <w:rPr>
          <w:lang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w:t>
      </w:r>
      <w:r>
        <w:rPr>
          <w:lang w:bidi="ru-RU"/>
        </w:rPr>
        <w:t xml:space="preserve">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аварийных отключений потребителей за последние 3 года зарегистрировано не было.</w:t>
      </w:r>
      <w:r/>
    </w:p>
    <w:p>
      <w:pPr>
        <w:pStyle w:val="12960"/>
        <w:pBdr/>
        <w:spacing/>
        <w:ind/>
        <w:rPr/>
      </w:pPr>
      <w:r>
        <w:t xml:space="preserve">За 2025 год не было ни одной серьезной аварии, повлекшей глобальное отключение потребителей от систем теплоснабжения. Отказов оборудования источников теплоснабжения не происходило.</w:t>
      </w:r>
      <w:r/>
    </w:p>
    <w:p>
      <w:pPr>
        <w:pStyle w:val="12960"/>
        <w:pBdr/>
        <w:spacing/>
        <w:ind/>
        <w:rPr>
          <w:b/>
        </w:rPr>
      </w:pPr>
      <w:r>
        <w:rPr>
          <w:b/>
          <w:bCs w:val="0"/>
        </w:rPr>
        <w:t xml:space="preserve">Таблица 1.9.2.1 - </w:t>
      </w:r>
      <w:r>
        <w:rPr>
          <w:b/>
        </w:rPr>
        <w:t xml:space="preserve">Динамика теплоснабжения котельных (изменение количества прекращений подачи тепловой энергии потребителям) </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716"/>
        <w:gridCol w:w="2011"/>
        <w:gridCol w:w="2608"/>
        <w:gridCol w:w="401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Год</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011" w:type="dxa"/>
            <w:vAlign w:val="center"/>
          </w:tcPr>
          <w:p>
            <w:pPr>
              <w:pStyle w:val="12385"/>
              <w:pBdr/>
              <w:spacing/>
              <w:ind/>
              <w:rPr>
                <w:rFonts w:cs="Times New Roman"/>
              </w:rPr>
            </w:pPr>
            <w:r>
              <w:rPr>
                <w:rFonts w:cs="Times New Roman"/>
              </w:rPr>
              <w:t xml:space="preserve">Количество прекращений</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608" w:type="dxa"/>
            <w:vAlign w:val="center"/>
          </w:tcPr>
          <w:p>
            <w:pPr>
              <w:pStyle w:val="12385"/>
              <w:pBdr/>
              <w:spacing/>
              <w:ind/>
              <w:rPr>
                <w:rFonts w:cs="Times New Roman"/>
              </w:rPr>
            </w:pPr>
            <w:r>
              <w:rPr>
                <w:rFonts w:cs="Times New Roman"/>
              </w:rPr>
              <w:t xml:space="preserve">Среднее время восстановления, ч</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4018" w:type="dxa"/>
            <w:vAlign w:val="center"/>
          </w:tcPr>
          <w:p>
            <w:pPr>
              <w:pStyle w:val="12385"/>
              <w:pBdr/>
              <w:spacing/>
              <w:ind/>
              <w:rPr>
                <w:rFonts w:cs="Times New Roman"/>
              </w:rPr>
            </w:pPr>
            <w:r>
              <w:rPr>
                <w:rFonts w:cs="Times New Roman"/>
              </w:rPr>
              <w:t xml:space="preserve">Средний недоотпуск тепла на одно прекращение подачи тепловой энергии, Гкал/ед.</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2021</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2022</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2023</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2024</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2025</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bl>
    <w:p>
      <w:pPr>
        <w:pStyle w:val="12960"/>
        <w:pBdr/>
        <w:spacing/>
        <w:ind/>
        <w:rPr>
          <w:lang w:val="en-US"/>
        </w:rPr>
      </w:pPr>
      <w:r>
        <w:rPr>
          <w:lang w:val="en-US"/>
        </w:rPr>
      </w:r>
      <w:r>
        <w:rPr>
          <w:lang w:val="en-US"/>
        </w:rPr>
      </w:r>
    </w:p>
    <w:p>
      <w:pPr>
        <w:pStyle w:val="12960"/>
        <w:pBdr/>
        <w:spacing/>
        <w:ind/>
        <w:rPr>
          <w:b/>
          <w:bCs w:val="0"/>
        </w:rPr>
      </w:pPr>
      <w:r>
        <w:rPr>
          <w:b/>
          <w:bCs w:val="0"/>
        </w:rPr>
        <w:t xml:space="preserve">Таблица 1.9.2.2 - Динамика теплоснабжения котельных (изменение количества прекращений подачи тепловой энергии потребителям)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716"/>
        <w:gridCol w:w="2011"/>
        <w:gridCol w:w="2608"/>
        <w:gridCol w:w="401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rPr>
              <w:t xml:space="preserve">Год</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011" w:type="dxa"/>
            <w:vAlign w:val="center"/>
          </w:tcPr>
          <w:p>
            <w:pPr>
              <w:pStyle w:val="12385"/>
              <w:pBdr/>
              <w:spacing/>
              <w:ind/>
              <w:rPr>
                <w:rFonts w:cs="Times New Roman"/>
              </w:rPr>
            </w:pPr>
            <w:r>
              <w:rPr>
                <w:rFonts w:cs="Times New Roman"/>
              </w:rPr>
              <w:t xml:space="preserve">Количество прекращений</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2608" w:type="dxa"/>
            <w:vAlign w:val="center"/>
          </w:tcPr>
          <w:p>
            <w:pPr>
              <w:pStyle w:val="12385"/>
              <w:pBdr/>
              <w:spacing/>
              <w:ind/>
              <w:rPr>
                <w:rFonts w:cs="Times New Roman"/>
              </w:rPr>
            </w:pPr>
            <w:r>
              <w:rPr>
                <w:rFonts w:cs="Times New Roman"/>
              </w:rPr>
              <w:t xml:space="preserve">Среднее время восстановления, ч</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4018" w:type="dxa"/>
            <w:vAlign w:val="center"/>
          </w:tcPr>
          <w:p>
            <w:pPr>
              <w:pStyle w:val="12385"/>
              <w:pBdr/>
              <w:spacing/>
              <w:ind/>
              <w:rPr>
                <w:rFonts w:cs="Times New Roman"/>
              </w:rPr>
            </w:pPr>
            <w:r>
              <w:rPr>
                <w:rFonts w:cs="Times New Roman"/>
              </w:rPr>
              <w:t xml:space="preserve">Средний недоотпуск тепла на одно прекращение подачи тепловой энергии, Гкал/ед.</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2021</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2022</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2023</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2024</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r>
        <w:trPr>
          <w:trHeight w:val="20"/>
        </w:trPr>
        <w:tc>
          <w:tcPr>
            <w:tcBorders>
              <w:left w:val="single" w:color="000000" w:sz="4" w:space="0"/>
              <w:bottom w:val="single" w:color="000000" w:sz="4" w:space="0"/>
              <w:right w:val="single" w:color="000000" w:sz="4" w:space="0"/>
            </w:tcBorders>
            <w:tcW w:w="716" w:type="dxa"/>
            <w:vAlign w:val="center"/>
          </w:tcPr>
          <w:p>
            <w:pPr>
              <w:pStyle w:val="12385"/>
              <w:pBdr/>
              <w:spacing/>
              <w:ind/>
              <w:rPr>
                <w:rFonts w:cs="Times New Roman"/>
              </w:rPr>
            </w:pPr>
            <w:r>
              <w:rPr>
                <w:rFonts w:cs="Times New Roman"/>
                <w:color w:val="000000"/>
                <w:szCs w:val="20"/>
              </w:rPr>
              <w:t xml:space="preserve">2025</w:t>
            </w:r>
            <w:r>
              <w:rPr>
                <w:rFonts w:cs="Times New Roman"/>
              </w:rPr>
            </w:r>
          </w:p>
        </w:tc>
        <w:tc>
          <w:tcPr>
            <w:tcBorders>
              <w:bottom w:val="single" w:color="000000" w:sz="4" w:space="0"/>
              <w:right w:val="single" w:color="000000" w:sz="4" w:space="0"/>
            </w:tcBorders>
            <w:tcW w:w="2011"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2608" w:type="dxa"/>
          </w:tcPr>
          <w:p>
            <w:pPr>
              <w:pStyle w:val="12385"/>
              <w:pBdr/>
              <w:spacing/>
              <w:ind/>
              <w:rPr>
                <w:rFonts w:cs="Times New Roman"/>
              </w:rPr>
            </w:pPr>
            <w:r>
              <w:rPr>
                <w:rFonts w:cs="Times New Roman"/>
              </w:rPr>
              <w:t xml:space="preserve">0</w:t>
            </w:r>
            <w:r>
              <w:rPr>
                <w:rFonts w:cs="Times New Roman"/>
              </w:rPr>
            </w:r>
          </w:p>
        </w:tc>
        <w:tc>
          <w:tcPr>
            <w:tcBorders>
              <w:bottom w:val="single" w:color="000000" w:sz="4" w:space="0"/>
              <w:right w:val="single" w:color="000000" w:sz="4" w:space="0"/>
            </w:tcBorders>
            <w:tcW w:w="4018" w:type="dxa"/>
          </w:tcPr>
          <w:p>
            <w:pPr>
              <w:pStyle w:val="12385"/>
              <w:pBdr/>
              <w:spacing/>
              <w:ind/>
              <w:rPr>
                <w:rFonts w:cs="Times New Roman"/>
              </w:rPr>
            </w:pPr>
            <w:r>
              <w:rPr>
                <w:rFonts w:cs="Times New Roman"/>
              </w:rPr>
              <w:t xml:space="preserve">0</w:t>
            </w:r>
            <w:r>
              <w:rPr>
                <w:rFonts w:cs="Times New Roman"/>
              </w:rPr>
            </w:r>
          </w:p>
        </w:tc>
      </w:tr>
    </w:tbl>
    <w:p>
      <w:pPr>
        <w:pStyle w:val="12960"/>
        <w:pBdr/>
        <w:spacing/>
        <w:ind/>
        <w:rPr>
          <w:b/>
          <w:bCs w:val="0"/>
        </w:rPr>
      </w:pPr>
      <w:r>
        <w:rPr>
          <w:b/>
          <w:bCs w:val="0"/>
        </w:rPr>
      </w:r>
      <w:r>
        <w:rPr>
          <w:b/>
          <w:bCs w:val="0"/>
        </w:rPr>
      </w:r>
    </w:p>
    <w:p>
      <w:pPr>
        <w:pStyle w:val="10535"/>
        <w:keepNext w:val="false"/>
        <w:widowControl w:val="false"/>
        <w:numPr>
          <w:ilvl w:val="1"/>
          <w:numId w:val="114"/>
        </w:numPr>
        <w:pBdr/>
        <w:spacing w:after="240" w:before="240" w:line="240" w:lineRule="auto"/>
        <w:ind w:firstLine="0" w:left="0"/>
        <w:rPr>
          <w:rFonts w:cs="Times New Roman"/>
        </w:rPr>
      </w:pPr>
      <w:r/>
      <w:bookmarkStart w:id="468" w:name="_Toc198483545"/>
      <w:r/>
      <w:bookmarkStart w:id="469" w:name="_Toc166767205"/>
      <w:r/>
      <w:bookmarkStart w:id="470" w:name="_Toc84970989"/>
      <w:r/>
      <w:bookmarkStart w:id="471" w:name="_Toc78674752"/>
      <w:r/>
      <w:bookmarkStart w:id="472" w:name="_Toc520922772"/>
      <w:r>
        <w:rPr>
          <w:rFonts w:cs="Times New Roman"/>
        </w:rPr>
        <w:t xml:space="preserve">Поток (частота) и время восстановления теплоснабжения потребителей после отключений</w:t>
      </w:r>
      <w:bookmarkEnd w:id="468"/>
      <w:r/>
      <w:bookmarkEnd w:id="469"/>
      <w:r/>
      <w:bookmarkEnd w:id="470"/>
      <w:r/>
      <w:bookmarkEnd w:id="471"/>
      <w:r/>
      <w:bookmarkEnd w:id="472"/>
      <w:r/>
      <w:r>
        <w:rPr>
          <w:rFonts w:cs="Times New Roman"/>
        </w:rPr>
      </w:r>
    </w:p>
    <w:p>
      <w:pPr>
        <w:pStyle w:val="12960"/>
        <w:pBdr/>
        <w:spacing/>
        <w:ind/>
        <w:rPr/>
      </w:pPr>
      <w:r>
        <w:t xml:space="preserve">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r/>
    </w:p>
    <w:p>
      <w:pPr>
        <w:pStyle w:val="12960"/>
        <w:pBdr/>
        <w:spacing/>
        <w:ind/>
        <w:rPr/>
      </w:pPr>
      <w:r>
        <w:t xml:space="preserve">Среднее время</w:t>
      </w:r>
      <w:r>
        <w:t xml:space="preserve">,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w:t>
      </w:r>
      <w:r>
        <w:t xml:space="preserve">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r/>
    </w:p>
    <w:p>
      <w:pPr>
        <w:pStyle w:val="12944"/>
        <w:pBdr/>
        <w:spacing/>
        <w:ind w:firstLine="0" w:left="0"/>
        <w:rPr>
          <w:b/>
          <w:u w:val="none"/>
        </w:rPr>
      </w:pPr>
      <w:r>
        <w:rPr>
          <w:b/>
          <w:u w:val="none"/>
        </w:rPr>
        <w:t xml:space="preserve">Таблица 1.9.3.1 - Среднее время на восстановление теплоснабжения при отключении тепловых сетей</w:t>
      </w:r>
      <w:r>
        <w:rPr>
          <w:b/>
          <w:u w:val="none"/>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334"/>
        <w:gridCol w:w="5019"/>
      </w:tblGrid>
      <w:tr>
        <w:trPr>
          <w:trHeight w:val="20"/>
          <w:tblHeader/>
        </w:trPr>
        <w:tc>
          <w:tcPr>
            <w:shd w:val="clear" w:color="000000" w:fill="d9d9d9"/>
            <w:tcBorders>
              <w:top w:val="single" w:color="000000" w:sz="8" w:space="0"/>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Условный диаметр трубопровода отключаемой тепловой сети, мм</w:t>
            </w:r>
            <w:r>
              <w:rPr>
                <w:rFonts w:cs="Times New Roman"/>
              </w:rPr>
            </w:r>
          </w:p>
        </w:tc>
        <w:tc>
          <w:tcPr>
            <w:shd w:val="clear" w:color="000000" w:fill="d9d9d9"/>
            <w:tcBorders>
              <w:top w:val="single" w:color="000000" w:sz="8" w:space="0"/>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Среднее время на восстановление теплоснабжения при отключении тепловых сетей, час</w:t>
            </w:r>
            <w:r>
              <w:rPr>
                <w:rFonts w:cs="Times New Roman"/>
              </w:rPr>
            </w:r>
          </w:p>
        </w:tc>
      </w:tr>
      <w:tr>
        <w:trPr>
          <w:trHeight w:val="20"/>
        </w:trPr>
        <w:tc>
          <w:tcPr>
            <w:tcBorders>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50</w:t>
            </w:r>
            <w:r>
              <w:rPr>
                <w:rFonts w:cs="Times New Roman"/>
              </w:rPr>
            </w:r>
          </w:p>
        </w:tc>
        <w:tc>
          <w:tcPr>
            <w:tcBorders>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5</w:t>
            </w:r>
            <w:r>
              <w:rPr>
                <w:rFonts w:cs="Times New Roman"/>
              </w:rPr>
            </w:r>
          </w:p>
        </w:tc>
      </w:tr>
      <w:tr>
        <w:trPr>
          <w:trHeight w:val="20"/>
        </w:trPr>
        <w:tc>
          <w:tcPr>
            <w:tcBorders>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80</w:t>
            </w:r>
            <w:r>
              <w:rPr>
                <w:rFonts w:cs="Times New Roman"/>
              </w:rPr>
            </w:r>
          </w:p>
        </w:tc>
        <w:tc>
          <w:tcPr>
            <w:tcBorders>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5</w:t>
            </w:r>
            <w:r>
              <w:rPr>
                <w:rFonts w:cs="Times New Roman"/>
              </w:rPr>
            </w:r>
          </w:p>
        </w:tc>
      </w:tr>
      <w:tr>
        <w:trPr>
          <w:trHeight w:val="20"/>
        </w:trPr>
        <w:tc>
          <w:tcPr>
            <w:tcBorders>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100</w:t>
            </w:r>
            <w:r>
              <w:rPr>
                <w:rFonts w:cs="Times New Roman"/>
              </w:rPr>
            </w:r>
          </w:p>
        </w:tc>
        <w:tc>
          <w:tcPr>
            <w:tcBorders>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5</w:t>
            </w:r>
            <w:r>
              <w:rPr>
                <w:rFonts w:cs="Times New Roman"/>
              </w:rPr>
            </w:r>
          </w:p>
        </w:tc>
      </w:tr>
      <w:tr>
        <w:trPr>
          <w:trHeight w:val="20"/>
        </w:trPr>
        <w:tc>
          <w:tcPr>
            <w:tcBorders>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150</w:t>
            </w:r>
            <w:r>
              <w:rPr>
                <w:rFonts w:cs="Times New Roman"/>
              </w:rPr>
            </w:r>
          </w:p>
        </w:tc>
        <w:tc>
          <w:tcPr>
            <w:tcBorders>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5</w:t>
            </w:r>
            <w:r>
              <w:rPr>
                <w:rFonts w:cs="Times New Roman"/>
              </w:rPr>
            </w:r>
          </w:p>
        </w:tc>
      </w:tr>
      <w:tr>
        <w:trPr>
          <w:trHeight w:val="20"/>
        </w:trPr>
        <w:tc>
          <w:tcPr>
            <w:tcBorders>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200</w:t>
            </w:r>
            <w:r>
              <w:rPr>
                <w:rFonts w:cs="Times New Roman"/>
              </w:rPr>
            </w:r>
          </w:p>
        </w:tc>
        <w:tc>
          <w:tcPr>
            <w:tcBorders>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10</w:t>
            </w:r>
            <w:r>
              <w:rPr>
                <w:rFonts w:cs="Times New Roman"/>
              </w:rPr>
            </w:r>
          </w:p>
        </w:tc>
      </w:tr>
      <w:tr>
        <w:trPr>
          <w:trHeight w:val="20"/>
        </w:trPr>
        <w:tc>
          <w:tcPr>
            <w:tcBorders>
              <w:left w:val="single" w:color="000000" w:sz="8" w:space="0"/>
              <w:bottom w:val="single" w:color="000000" w:sz="8" w:space="0"/>
              <w:right w:val="single" w:color="000000" w:sz="8" w:space="0"/>
            </w:tcBorders>
            <w:tcW w:w="4334" w:type="dxa"/>
            <w:vAlign w:val="center"/>
          </w:tcPr>
          <w:p>
            <w:pPr>
              <w:pStyle w:val="12385"/>
              <w:pBdr/>
              <w:spacing/>
              <w:ind/>
              <w:rPr>
                <w:rFonts w:cs="Times New Roman"/>
              </w:rPr>
            </w:pPr>
            <w:r>
              <w:rPr>
                <w:rFonts w:cs="Times New Roman"/>
              </w:rPr>
              <w:t xml:space="preserve">300</w:t>
            </w:r>
            <w:r>
              <w:rPr>
                <w:rFonts w:cs="Times New Roman"/>
              </w:rPr>
            </w:r>
          </w:p>
        </w:tc>
        <w:tc>
          <w:tcPr>
            <w:tcBorders>
              <w:bottom w:val="single" w:color="000000" w:sz="8" w:space="0"/>
              <w:right w:val="single" w:color="000000" w:sz="8" w:space="0"/>
            </w:tcBorders>
            <w:tcW w:w="5019" w:type="dxa"/>
            <w:vAlign w:val="center"/>
          </w:tcPr>
          <w:p>
            <w:pPr>
              <w:pStyle w:val="12385"/>
              <w:pBdr/>
              <w:spacing/>
              <w:ind/>
              <w:rPr>
                <w:rFonts w:cs="Times New Roman"/>
              </w:rPr>
            </w:pPr>
            <w:r>
              <w:rPr>
                <w:rFonts w:cs="Times New Roman"/>
              </w:rPr>
              <w:t xml:space="preserve">15</w:t>
            </w:r>
            <w:r>
              <w:rPr>
                <w:rFonts w:cs="Times New Roman"/>
              </w:rPr>
            </w:r>
          </w:p>
        </w:tc>
      </w:tr>
    </w:tbl>
    <w:p>
      <w:pPr>
        <w:pStyle w:val="12960"/>
        <w:pBdr/>
        <w:spacing/>
        <w:ind/>
        <w:rPr/>
      </w:pPr>
      <w:r/>
      <w:r/>
    </w:p>
    <w:p>
      <w:pPr>
        <w:pStyle w:val="12960"/>
        <w:pBdr/>
        <w:spacing/>
        <w:ind w:firstLine="0"/>
        <w:rPr>
          <w:b/>
        </w:rPr>
      </w:pPr>
      <w:r>
        <w:rPr>
          <w:b/>
        </w:rPr>
        <w:t xml:space="preserve">Таблица 1.9.3.2 - Расчет времени снижения температуры внутри отапливаемого помещения</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562"/>
        <w:gridCol w:w="2730"/>
        <w:gridCol w:w="4062"/>
      </w:tblGrid>
      <w:tr>
        <w:trPr>
          <w:tblHeader/>
        </w:trPr>
        <w:tc>
          <w:tcPr>
            <w:shd w:val="clear" w:color="auto" w:fill="d9d9d9"/>
            <w:tcBorders>
              <w:top w:val="single" w:color="000000" w:sz="4" w:space="0"/>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Температура наружного воздуха, 0С</w:t>
            </w:r>
            <w:r>
              <w:rPr>
                <w:rFonts w:cs="Times New Roman"/>
              </w:rPr>
            </w:r>
          </w:p>
        </w:tc>
        <w:tc>
          <w:tcPr>
            <w:shd w:val="clear" w:color="auto" w:fill="d9d9d9"/>
            <w:tcBorders>
              <w:top w:val="single" w:color="000000" w:sz="4" w:space="0"/>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Повторяемость температур наружного воздуха, ч</w:t>
            </w:r>
            <w:r>
              <w:rPr>
                <w:rFonts w:cs="Times New Roman"/>
              </w:rPr>
            </w:r>
          </w:p>
        </w:tc>
        <w:tc>
          <w:tcPr>
            <w:shd w:val="clear" w:color="auto" w:fill="d9d9d9"/>
            <w:tcBorders>
              <w:top w:val="single" w:color="000000" w:sz="4" w:space="0"/>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Время снижения температуры воздуха внутри отапливаемого помещения до +12 </w:t>
            </w:r>
            <w:r>
              <w:rPr>
                <w:rFonts w:cs="Times New Roman"/>
                <w:vertAlign w:val="superscript"/>
              </w:rPr>
              <w:t xml:space="preserve">0</w:t>
            </w:r>
            <w:r>
              <w:rPr>
                <w:rFonts w:cs="Times New Roman"/>
              </w:rPr>
              <w:t xml:space="preserve">С, ч</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-27,5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21</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5,656</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-22,5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62</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6,414</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-17,5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191</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7,406</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-12,5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437</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8,762</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-7,5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828</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10,731</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-2,5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11558</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13,851</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2,5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1686</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19,582</w:t>
            </w:r>
            <w:r>
              <w:rPr>
                <w:rFonts w:cs="Times New Roman"/>
              </w:rPr>
            </w:r>
          </w:p>
        </w:tc>
      </w:tr>
      <w:tr>
        <w:trPr/>
        <w:tc>
          <w:tcPr>
            <w:tcBorders>
              <w:left w:val="single" w:color="000000" w:sz="4" w:space="0"/>
              <w:bottom w:val="single" w:color="000000" w:sz="4" w:space="0"/>
              <w:right w:val="single" w:color="000000" w:sz="4" w:space="0"/>
            </w:tcBorders>
            <w:tcW w:w="2562" w:type="dxa"/>
            <w:vAlign w:val="center"/>
          </w:tcPr>
          <w:p>
            <w:pPr>
              <w:pStyle w:val="12385"/>
              <w:pBdr/>
              <w:spacing/>
              <w:ind/>
              <w:rPr>
                <w:rFonts w:cs="Times New Roman"/>
              </w:rPr>
            </w:pPr>
            <w:r>
              <w:rPr>
                <w:rFonts w:cs="Times New Roman"/>
              </w:rPr>
              <w:t xml:space="preserve">6,5</w:t>
            </w:r>
            <w:r>
              <w:rPr>
                <w:rFonts w:cs="Times New Roman"/>
              </w:rPr>
            </w:r>
          </w:p>
        </w:tc>
        <w:tc>
          <w:tcPr>
            <w:tcBorders>
              <w:bottom w:val="single" w:color="000000" w:sz="4" w:space="0"/>
              <w:right w:val="single" w:color="000000" w:sz="4" w:space="0"/>
            </w:tcBorders>
            <w:tcW w:w="2730" w:type="dxa"/>
            <w:vAlign w:val="center"/>
          </w:tcPr>
          <w:p>
            <w:pPr>
              <w:pStyle w:val="12385"/>
              <w:pBdr/>
              <w:spacing/>
              <w:ind/>
              <w:rPr>
                <w:rFonts w:cs="Times New Roman"/>
              </w:rPr>
            </w:pPr>
            <w:r>
              <w:rPr>
                <w:rFonts w:cs="Times New Roman"/>
              </w:rPr>
              <w:t xml:space="preserve">681</w:t>
            </w:r>
            <w:r>
              <w:rPr>
                <w:rFonts w:cs="Times New Roman"/>
              </w:rPr>
            </w:r>
          </w:p>
        </w:tc>
        <w:tc>
          <w:tcPr>
            <w:tcBorders>
              <w:bottom w:val="single" w:color="000000" w:sz="4" w:space="0"/>
              <w:right w:val="single" w:color="000000" w:sz="4" w:space="0"/>
            </w:tcBorders>
            <w:tcW w:w="4062" w:type="dxa"/>
            <w:vAlign w:val="center"/>
          </w:tcPr>
          <w:p>
            <w:pPr>
              <w:pStyle w:val="12385"/>
              <w:pBdr/>
              <w:spacing/>
              <w:ind/>
              <w:rPr>
                <w:rFonts w:cs="Times New Roman"/>
              </w:rPr>
            </w:pPr>
            <w:r>
              <w:rPr>
                <w:rFonts w:cs="Times New Roman"/>
              </w:rPr>
              <w:t xml:space="preserve">29,504</w:t>
            </w:r>
            <w:r>
              <w:rPr>
                <w:rFonts w:cs="Times New Roman"/>
              </w:rPr>
            </w:r>
          </w:p>
        </w:tc>
      </w:tr>
    </w:tbl>
    <w:p>
      <w:pPr>
        <w:pStyle w:val="12960"/>
        <w:pBdr/>
        <w:spacing/>
        <w:ind/>
        <w:rPr/>
      </w:pPr>
      <w:r/>
      <w:r/>
    </w:p>
    <w:p>
      <w:pPr>
        <w:pStyle w:val="12960"/>
        <w:pBdr/>
        <w:spacing/>
        <w:ind/>
        <w:rPr/>
      </w:pPr>
      <w:r>
        <w:t xml:space="preserve">По представленным сведениям, от ООО «АГК», аварий на источниках тепла и теплосетевых объектах, вследствие которых могли бы быть аварийные отключения потребителей тепла, за последний пятилетний период не происходило. </w:t>
      </w:r>
      <w:r/>
    </w:p>
    <w:p>
      <w:pPr>
        <w:pStyle w:val="12960"/>
        <w:pBdr/>
        <w:spacing/>
        <w:ind/>
        <w:rPr>
          <w:b/>
        </w:rPr>
      </w:pPr>
      <w:r>
        <w:rPr>
          <w:b/>
        </w:rPr>
        <w:t xml:space="preserve">Таблица 1.9.3.4 - Показатели восстановления в системе теплоснабжения</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031"/>
        <w:gridCol w:w="616"/>
        <w:gridCol w:w="618"/>
        <w:gridCol w:w="618"/>
        <w:gridCol w:w="617"/>
        <w:gridCol w:w="618"/>
        <w:gridCol w:w="618"/>
        <w:gridCol w:w="61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Наименование показателя</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color w:val="000000"/>
                <w:szCs w:val="20"/>
              </w:rPr>
              <w:t xml:space="preserve">2019</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color w:val="000000"/>
                <w:szCs w:val="20"/>
              </w:rPr>
              <w:t xml:space="preserve">2020</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color w:val="000000"/>
                <w:szCs w:val="20"/>
              </w:rPr>
              <w:t xml:space="preserve">2021</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color w:val="000000"/>
                <w:szCs w:val="20"/>
              </w:rPr>
              <w:t xml:space="preserve">2022</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color w:val="000000"/>
                <w:szCs w:val="20"/>
              </w:rPr>
              <w:t xml:space="preserve">2023</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color w:val="000000"/>
                <w:szCs w:val="20"/>
              </w:rPr>
              <w:t xml:space="preserve">2024</w:t>
            </w:r>
            <w:r>
              <w:rPr>
                <w:rFonts w:cs="Times New Roman"/>
                <w:szCs w:val="20"/>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color w:val="000000"/>
                <w:szCs w:val="20"/>
              </w:rPr>
              <w:t xml:space="preserve">2025</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Среднее время восстановления теплоснабжения после повреждения в магистральных тепловых сетях в отопительный период,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Среднее время восстановления отопления после повреждения в распределительных тепловых сетях систем отопления,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Среднее время восстановления горячего водоснабжения поле повреждения в сетях горячего водоснабжения (в случае их наличия),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r>
      <w:tr>
        <w:trPr>
          <w:trHeight w:val="20"/>
        </w:trPr>
        <w:tc>
          <w:tcPr>
            <w:tcBorders>
              <w:top w:val="single" w:color="000000" w:sz="4" w:space="0"/>
              <w:left w:val="single" w:color="000000" w:sz="4" w:space="0"/>
              <w:bottom w:val="single" w:color="000000" w:sz="4" w:space="0"/>
              <w:right w:val="single" w:color="000000" w:sz="4" w:space="0"/>
            </w:tcBorders>
            <w:tcW w:w="5031" w:type="dxa"/>
            <w:vAlign w:val="center"/>
          </w:tcPr>
          <w:p>
            <w:pPr>
              <w:pStyle w:val="12385"/>
              <w:pBdr/>
              <w:spacing/>
              <w:ind/>
              <w:rPr>
                <w:rFonts w:cs="Times New Roman"/>
                <w:szCs w:val="20"/>
              </w:rPr>
            </w:pPr>
            <w:r>
              <w:rPr>
                <w:rFonts w:cs="Times New Roman"/>
                <w:szCs w:val="20"/>
              </w:rPr>
              <w:t xml:space="preserve">Всего среднее время восстановления отопления после повреждения в магистральных и распределительных тепловых сетях, час</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szCs w:val="20"/>
              </w:rPr>
            </w:pPr>
            <w:r>
              <w:rPr>
                <w:rFonts w:cs="Times New Roman"/>
                <w:szCs w:val="20"/>
              </w:rPr>
              <w:t xml:space="preserve">0</w:t>
            </w:r>
            <w:r>
              <w:rPr>
                <w:rFonts w:cs="Times New Roman"/>
                <w:szCs w:val="20"/>
              </w:rPr>
            </w:r>
          </w:p>
        </w:tc>
      </w:tr>
    </w:tbl>
    <w:p>
      <w:pPr>
        <w:pStyle w:val="12385"/>
        <w:pBdr/>
        <w:tabs>
          <w:tab w:val="clear" w:leader="none" w:pos="708"/>
          <w:tab w:val="left" w:leader="none" w:pos="5145"/>
          <w:tab w:val="left" w:leader="none" w:pos="5761"/>
          <w:tab w:val="left" w:leader="none" w:pos="6377"/>
          <w:tab w:val="left" w:leader="none" w:pos="6993"/>
          <w:tab w:val="left" w:leader="none" w:pos="7609"/>
          <w:tab w:val="left" w:leader="none" w:pos="8225"/>
          <w:tab w:val="left" w:leader="none" w:pos="8842"/>
        </w:tabs>
        <w:spacing/>
        <w:ind w:firstLine="0" w:left="113"/>
        <w:jc w:val="left"/>
        <w:rPr>
          <w:rFonts w:cs="Times New Roman"/>
          <w:szCs w:val="20"/>
        </w:rPr>
      </w:pPr>
      <w:r>
        <w:rPr>
          <w:rFonts w:cs="Times New Roman"/>
          <w:szCs w:val="20"/>
        </w:rPr>
        <w:t xml:space="preserve"> </w:t>
      </w:r>
      <w:r>
        <w:rPr>
          <w:rFonts w:cs="Times New Roman"/>
          <w:szCs w:val="20"/>
        </w:rPr>
      </w:r>
    </w:p>
    <w:p>
      <w:pPr>
        <w:pStyle w:val="10535"/>
        <w:keepNext w:val="false"/>
        <w:widowControl w:val="false"/>
        <w:numPr>
          <w:ilvl w:val="1"/>
          <w:numId w:val="115"/>
        </w:numPr>
        <w:pBdr/>
        <w:spacing w:after="240" w:before="240" w:line="240" w:lineRule="auto"/>
        <w:ind w:firstLine="0" w:left="0"/>
        <w:rPr>
          <w:rFonts w:cs="Times New Roman"/>
        </w:rPr>
      </w:pPr>
      <w:r/>
      <w:bookmarkStart w:id="473" w:name="_Toc198483546"/>
      <w:r/>
      <w:bookmarkStart w:id="474" w:name="_Toc520922773"/>
      <w:r/>
      <w:bookmarkStart w:id="475" w:name="_Toc78674753"/>
      <w:r/>
      <w:bookmarkStart w:id="476" w:name="_Toc84970990"/>
      <w:r/>
      <w:bookmarkStart w:id="477" w:name="_Toc166767206"/>
      <w:r>
        <w:rPr>
          <w:rFonts w:cs="Times New Roman"/>
        </w:rPr>
        <w:t xml:space="preserve">Графические материалы (карты-схемы тепловых сетей и зон ненормативной надежности и безопасности теплоснабжения)</w:t>
      </w:r>
      <w:bookmarkEnd w:id="473"/>
      <w:r/>
      <w:bookmarkEnd w:id="474"/>
      <w:r/>
      <w:bookmarkEnd w:id="475"/>
      <w:r/>
      <w:bookmarkEnd w:id="476"/>
      <w:r/>
      <w:bookmarkEnd w:id="477"/>
      <w:r/>
      <w:r>
        <w:rPr>
          <w:rFonts w:cs="Times New Roman"/>
        </w:rPr>
      </w:r>
    </w:p>
    <w:p>
      <w:pPr>
        <w:pStyle w:val="12960"/>
        <w:pBdr/>
        <w:spacing/>
        <w:ind/>
        <w:rPr/>
      </w:pPr>
      <w:r>
        <w:t xml:space="preserve">Из рассмотренных выше пунктов можно сделать вывод, что, все теплоснабжающие организации работают в безаварийном режиме на протяжении посл</w:t>
      </w:r>
      <w:r>
        <w:t xml:space="preserve">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муниципального образования, не представляется возможным. Зоны ненормативной надежности отсутствуют.</w:t>
      </w:r>
      <w:r/>
    </w:p>
    <w:p>
      <w:pPr>
        <w:pStyle w:val="10535"/>
        <w:keepNext w:val="false"/>
        <w:widowControl w:val="false"/>
        <w:numPr>
          <w:ilvl w:val="1"/>
          <w:numId w:val="116"/>
        </w:numPr>
        <w:pBdr/>
        <w:spacing w:after="240" w:before="240" w:line="240" w:lineRule="auto"/>
        <w:ind w:firstLine="0" w:left="0"/>
        <w:rPr>
          <w:rFonts w:cs="Times New Roman"/>
        </w:rPr>
      </w:pPr>
      <w:r/>
      <w:bookmarkStart w:id="478" w:name="_Toc78674754"/>
      <w:r/>
      <w:bookmarkStart w:id="479" w:name="_Toc84970991"/>
      <w:r/>
      <w:bookmarkStart w:id="480" w:name="_Toc520922774"/>
      <w:r/>
      <w:bookmarkStart w:id="481" w:name="_Toc166767207"/>
      <w:r/>
      <w:bookmarkStart w:id="482" w:name="_Toc198483547"/>
      <w:r>
        <w:rPr>
          <w:rFonts w:cs="Times New Roman"/>
        </w:rPr>
        <w:t xml:space="preserve">Результаты анализа аварийных ситуаций при теплоснабжении, расследов</w:t>
      </w:r>
      <w:r>
        <w:rPr>
          <w:rFonts w:cs="Times New Roman"/>
        </w:rPr>
        <w:t xml:space="preserve">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w:t>
      </w:r>
      <w:r>
        <w:rPr>
          <w:rFonts w:cs="Times New Roman"/>
        </w:rPr>
        <w:t xml:space="preserve">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478"/>
      <w:r/>
      <w:bookmarkEnd w:id="479"/>
      <w:r/>
      <w:bookmarkEnd w:id="480"/>
      <w:r/>
      <w:bookmarkEnd w:id="481"/>
      <w:r/>
      <w:bookmarkEnd w:id="482"/>
      <w:r/>
      <w:r>
        <w:rPr>
          <w:rFonts w:cs="Times New Roman"/>
        </w:rPr>
      </w:r>
    </w:p>
    <w:p>
      <w:pPr>
        <w:pStyle w:val="12960"/>
        <w:pBdr/>
        <w:spacing/>
        <w:ind/>
        <w:rPr/>
      </w:pPr>
      <w:r>
        <w:t xml:space="preserve">Аварийные ситуации при теплоснабжении, расследование причин которых осуществлялось фе</w:t>
      </w:r>
      <w:r>
        <w:t xml:space="preserve">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w:t>
      </w:r>
      <w:r>
        <w:t xml:space="preserve">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r/>
    </w:p>
    <w:p>
      <w:pPr>
        <w:pStyle w:val="12960"/>
        <w:pBdr/>
        <w:spacing/>
        <w:ind/>
        <w:rPr>
          <w:color w:val="000000"/>
          <w:lang w:bidi="ru-RU"/>
        </w:rPr>
      </w:pPr>
      <w:r>
        <w:rPr>
          <w:color w:val="000000"/>
          <w:lang w:bidi="ru-RU"/>
        </w:rPr>
        <w:t xml:space="preserve">Авариями в коммунальных отопительных котельных считаются: </w:t>
      </w:r>
      <w:r>
        <w:rPr>
          <w:color w:val="000000"/>
          <w:lang w:bidi="ru-RU"/>
        </w:rPr>
      </w:r>
    </w:p>
    <w:p>
      <w:pPr>
        <w:pStyle w:val="11103"/>
        <w:widowControl w:val="true"/>
        <w:numPr>
          <w:ilvl w:val="0"/>
          <w:numId w:val="62"/>
        </w:numPr>
        <w:pBdr/>
        <w:bidi w:val="false"/>
        <w:spacing w:after="0" w:before="0" w:line="360" w:lineRule="auto"/>
        <w:ind w:right="0" w:firstLine="567" w:left="0"/>
        <w:contextualSpacing w:val="false"/>
        <w:jc w:val="both"/>
        <w:rPr>
          <w:rFonts w:ascii="Times New Roman" w:hAnsi="Times New Roman"/>
          <w:color w:val="000000"/>
          <w:lang w:val="ru-RU" w:bidi="ru-RU"/>
        </w:rPr>
      </w:pPr>
      <w:r>
        <w:rPr>
          <w:rFonts w:ascii="Times New Roman" w:hAnsi="Times New Roman"/>
          <w:color w:val="000000"/>
          <w:lang w:val="ru-RU" w:bidi="ru-RU"/>
        </w:rPr>
        <w:t xml:space="preserve">Разрушения (повреждения) здан</w:t>
      </w:r>
      <w:r>
        <w:rPr>
          <w:rFonts w:ascii="Times New Roman" w:hAnsi="Times New Roman"/>
          <w:color w:val="000000"/>
          <w:lang w:val="ru-RU" w:bidi="ru-RU"/>
        </w:rPr>
        <w:t xml:space="preserve">ий, сооружений, паровых и водогрейных котлов, трубопроводов пара и горячей воды, взрывы и воспламенения в топках и газоходах котлов, вызвавшие их разрушение, взрывы в топках котлов, работающих на твердом и жидком топливе, вызвавшие остановку их на ремонт. </w:t>
      </w:r>
      <w:r>
        <w:rPr>
          <w:rFonts w:ascii="Times New Roman" w:hAnsi="Times New Roman"/>
          <w:color w:val="000000"/>
          <w:lang w:val="ru-RU" w:bidi="ru-RU"/>
        </w:rPr>
      </w:r>
    </w:p>
    <w:p>
      <w:pPr>
        <w:pStyle w:val="11103"/>
        <w:widowControl w:val="true"/>
        <w:numPr>
          <w:ilvl w:val="0"/>
          <w:numId w:val="62"/>
        </w:numPr>
        <w:pBdr/>
        <w:bidi w:val="false"/>
        <w:spacing w:after="0" w:before="0" w:line="360" w:lineRule="auto"/>
        <w:ind w:right="0" w:firstLine="567" w:left="0"/>
        <w:contextualSpacing w:val="false"/>
        <w:jc w:val="both"/>
        <w:rPr>
          <w:rFonts w:ascii="Times New Roman" w:hAnsi="Times New Roman"/>
          <w:color w:val="000000"/>
          <w:lang w:val="ru-RU" w:bidi="ru-RU"/>
        </w:rPr>
      </w:pPr>
      <w:r>
        <w:rPr>
          <w:rFonts w:ascii="Times New Roman" w:hAnsi="Times New Roman"/>
          <w:color w:val="000000"/>
          <w:lang w:val="ru-RU" w:bidi="ru-RU"/>
        </w:rPr>
        <w:t xml:space="preserve">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r>
        <w:rPr>
          <w:rFonts w:ascii="Times New Roman" w:hAnsi="Times New Roman"/>
          <w:color w:val="000000"/>
          <w:lang w:val="ru-RU" w:bidi="ru-RU"/>
        </w:rPr>
      </w:r>
    </w:p>
    <w:p>
      <w:pPr>
        <w:pStyle w:val="11103"/>
        <w:widowControl w:val="true"/>
        <w:numPr>
          <w:ilvl w:val="0"/>
          <w:numId w:val="62"/>
        </w:numPr>
        <w:pBdr/>
        <w:bidi w:val="false"/>
        <w:spacing w:after="120" w:before="0" w:line="360" w:lineRule="auto"/>
        <w:ind w:right="0" w:firstLine="567" w:left="0"/>
        <w:contextualSpacing w:val="false"/>
        <w:jc w:val="both"/>
        <w:rPr>
          <w:rFonts w:ascii="Times New Roman" w:hAnsi="Times New Roman"/>
          <w:color w:val="000000"/>
          <w:lang w:val="ru-RU" w:bidi="ru-RU"/>
        </w:rPr>
      </w:pPr>
      <w:r>
        <w:rPr>
          <w:rFonts w:ascii="Times New Roman" w:hAnsi="Times New Roman"/>
          <w:color w:val="000000"/>
          <w:lang w:val="ru-RU" w:bidi="ru-RU"/>
        </w:rPr>
        <w:t xml:space="preserve">Повреждение насосов, подогревателей, вызвавших вынужденный останов котла (котлов), приведший к снижению общего отпуска тепла более чем на 50 % продолжительностью свыше 16 часов. </w:t>
      </w:r>
      <w:r>
        <w:rPr>
          <w:rFonts w:ascii="Times New Roman" w:hAnsi="Times New Roman"/>
          <w:color w:val="000000"/>
          <w:lang w:val="ru-RU" w:bidi="ru-RU"/>
        </w:rPr>
      </w:r>
    </w:p>
    <w:p>
      <w:pPr>
        <w:pStyle w:val="10533"/>
        <w:pBdr/>
        <w:spacing w:after="60" w:before="0"/>
        <w:ind/>
        <w:rPr>
          <w:color w:val="000000"/>
          <w:lang w:bidi="ru-RU"/>
        </w:rPr>
      </w:pPr>
      <w:r>
        <w:rPr>
          <w:color w:val="000000"/>
          <w:lang w:bidi="ru-RU"/>
        </w:rPr>
        <w:t xml:space="preserve">Авариями в тепловых сетях считаются: </w:t>
      </w:r>
      <w:r>
        <w:rPr>
          <w:color w:val="000000"/>
          <w:lang w:bidi="ru-RU"/>
        </w:rPr>
      </w:r>
    </w:p>
    <w:p>
      <w:pPr>
        <w:pStyle w:val="11103"/>
        <w:widowControl w:val="true"/>
        <w:numPr>
          <w:ilvl w:val="0"/>
          <w:numId w:val="63"/>
        </w:numPr>
        <w:pBdr/>
        <w:bidi w:val="false"/>
        <w:spacing w:after="0" w:before="0" w:line="360" w:lineRule="auto"/>
        <w:ind w:right="0" w:firstLine="567" w:left="0"/>
        <w:contextualSpacing w:val="false"/>
        <w:jc w:val="both"/>
        <w:rPr>
          <w:rFonts w:ascii="Times New Roman" w:hAnsi="Times New Roman"/>
          <w:color w:val="000000"/>
          <w:lang w:val="ru-RU" w:bidi="ru-RU"/>
        </w:rPr>
      </w:pPr>
      <w:r>
        <w:rPr>
          <w:rFonts w:ascii="Times New Roman" w:hAnsi="Times New Roman"/>
          <w:color w:val="000000"/>
          <w:lang w:val="ru-RU" w:bidi="ru-RU"/>
        </w:rPr>
        <w:t xml:space="preserve">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r>
        <w:rPr>
          <w:rFonts w:ascii="Times New Roman" w:hAnsi="Times New Roman"/>
          <w:color w:val="000000"/>
          <w:lang w:val="ru-RU" w:bidi="ru-RU"/>
        </w:rPr>
      </w:r>
    </w:p>
    <w:p>
      <w:pPr>
        <w:pStyle w:val="11103"/>
        <w:widowControl w:val="true"/>
        <w:numPr>
          <w:ilvl w:val="0"/>
          <w:numId w:val="63"/>
        </w:numPr>
        <w:pBdr/>
        <w:bidi w:val="false"/>
        <w:spacing w:after="120" w:before="0" w:line="360" w:lineRule="auto"/>
        <w:ind w:right="0" w:firstLine="567" w:left="0"/>
        <w:contextualSpacing w:val="false"/>
        <w:jc w:val="both"/>
        <w:rPr>
          <w:rFonts w:ascii="Times New Roman" w:hAnsi="Times New Roman"/>
          <w:lang w:val="ru-RU"/>
        </w:rPr>
      </w:pPr>
      <w:r>
        <w:rPr>
          <w:rFonts w:ascii="Times New Roman" w:hAnsi="Times New Roman"/>
          <w:color w:val="000000"/>
          <w:lang w:val="ru-RU" w:bidi="ru-RU"/>
        </w:rPr>
        <w:t xml:space="preserve">Повреждение трубопроводов тепловой сети, оборудования насосных станций, тепловых пунктов, вызвавшее перерыв теплоснабжения потребителей </w:t>
      </w:r>
      <w:r>
        <w:rPr>
          <w:rFonts w:ascii="Times New Roman" w:hAnsi="Times New Roman"/>
          <w:color w:val="000000"/>
          <w:lang w:bidi="ru-RU"/>
        </w:rPr>
        <w:t xml:space="preserve">I</w:t>
      </w:r>
      <w:r>
        <w:rPr>
          <w:rFonts w:ascii="Times New Roman" w:hAnsi="Times New Roman"/>
          <w:color w:val="000000"/>
          <w:lang w:val="ru-RU" w:bidi="ru-RU"/>
        </w:rPr>
        <w:t xml:space="preserve">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r>
        <w:rPr>
          <w:rFonts w:ascii="Times New Roman" w:hAnsi="Times New Roman"/>
          <w:lang w:val="ru-RU"/>
        </w:rPr>
        <w:t xml:space="preserve">.</w:t>
      </w:r>
      <w:r>
        <w:rPr>
          <w:rFonts w:ascii="Times New Roman" w:hAnsi="Times New Roman"/>
          <w:lang w:val="ru-RU"/>
        </w:rPr>
      </w:r>
    </w:p>
    <w:p>
      <w:pPr>
        <w:pStyle w:val="10533"/>
        <w:pBdr/>
        <w:spacing w:after="60" w:before="0"/>
        <w:ind/>
        <w:rPr/>
      </w:pPr>
      <w:r>
        <w:t xml:space="preserve">Технологическими отказами в коммунальных отопительных котельных считаются: </w:t>
      </w:r>
      <w:r/>
    </w:p>
    <w:p>
      <w:pPr>
        <w:pStyle w:val="11103"/>
        <w:widowControl w:val="true"/>
        <w:numPr>
          <w:ilvl w:val="0"/>
          <w:numId w:val="64"/>
        </w:numPr>
        <w:pBdr/>
        <w:bidi w:val="false"/>
        <w:spacing w:after="0" w:before="0" w:line="360" w:lineRule="auto"/>
        <w:ind w:right="0" w:firstLine="567" w:left="0"/>
        <w:contextualSpacing w:val="false"/>
        <w:jc w:val="both"/>
        <w:rPr>
          <w:rFonts w:ascii="Times New Roman" w:hAnsi="Times New Roman"/>
          <w:lang w:val="ru-RU"/>
        </w:rPr>
      </w:pPr>
      <w:r>
        <w:rPr>
          <w:rFonts w:ascii="Times New Roman" w:hAnsi="Times New Roman"/>
          <w:lang w:val="ru-RU"/>
        </w:rPr>
        <w:t xml:space="preserve">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r>
        <w:rPr>
          <w:rFonts w:ascii="Times New Roman" w:hAnsi="Times New Roman"/>
          <w:lang w:val="ru-RU"/>
        </w:rPr>
      </w:r>
    </w:p>
    <w:p>
      <w:pPr>
        <w:pStyle w:val="11103"/>
        <w:widowControl w:val="true"/>
        <w:numPr>
          <w:ilvl w:val="0"/>
          <w:numId w:val="64"/>
        </w:numPr>
        <w:pBdr/>
        <w:bidi w:val="false"/>
        <w:spacing w:after="0" w:before="0" w:line="360" w:lineRule="auto"/>
        <w:ind w:right="0" w:firstLine="567" w:left="0"/>
        <w:contextualSpacing w:val="false"/>
        <w:jc w:val="both"/>
        <w:rPr>
          <w:rFonts w:ascii="Times New Roman" w:hAnsi="Times New Roman"/>
          <w:lang w:val="ru-RU"/>
        </w:rPr>
      </w:pPr>
      <w:r>
        <w:rPr>
          <w:rFonts w:ascii="Times New Roman" w:hAnsi="Times New Roman"/>
          <w:lang w:val="ru-RU"/>
        </w:rPr>
        <w:t xml:space="preserve">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 продолжительностью менее 16 часов. </w:t>
      </w:r>
      <w:r>
        <w:rPr>
          <w:rFonts w:ascii="Times New Roman" w:hAnsi="Times New Roman"/>
          <w:lang w:val="ru-RU"/>
        </w:rPr>
      </w:r>
    </w:p>
    <w:p>
      <w:pPr>
        <w:pStyle w:val="11103"/>
        <w:widowControl w:val="true"/>
        <w:numPr>
          <w:ilvl w:val="0"/>
          <w:numId w:val="64"/>
        </w:numPr>
        <w:pBdr/>
        <w:bidi w:val="false"/>
        <w:spacing w:after="0" w:before="0" w:line="360" w:lineRule="auto"/>
        <w:ind w:right="0" w:firstLine="567" w:left="0"/>
        <w:contextualSpacing w:val="false"/>
        <w:jc w:val="both"/>
        <w:rPr>
          <w:rFonts w:ascii="Times New Roman" w:hAnsi="Times New Roman"/>
          <w:lang w:val="ru-RU"/>
        </w:rPr>
      </w:pPr>
      <w:r>
        <w:rPr>
          <w:rFonts w:ascii="Times New Roman" w:hAnsi="Times New Roman"/>
          <w:lang w:val="ru-RU"/>
        </w:rPr>
        <w:t xml:space="preserve">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 </w:t>
      </w:r>
      <w:r>
        <w:rPr>
          <w:rFonts w:ascii="Times New Roman" w:hAnsi="Times New Roman"/>
          <w:lang w:val="ru-RU"/>
        </w:rPr>
      </w:r>
    </w:p>
    <w:p>
      <w:pPr>
        <w:pStyle w:val="13832"/>
        <w:numPr>
          <w:ilvl w:val="0"/>
          <w:numId w:val="61"/>
        </w:numPr>
        <w:pBdr/>
        <w:spacing/>
        <w:ind w:hanging="284" w:left="1135"/>
        <w:rPr>
          <w:szCs w:val="24"/>
        </w:rPr>
      </w:pPr>
      <w:r>
        <w:rPr>
          <w:szCs w:val="24"/>
        </w:rPr>
        <w:t xml:space="preserve">до (-10°С) – более 8 часов; </w:t>
      </w:r>
      <w:r>
        <w:rPr>
          <w:szCs w:val="24"/>
        </w:rPr>
      </w:r>
    </w:p>
    <w:p>
      <w:pPr>
        <w:pStyle w:val="13832"/>
        <w:numPr>
          <w:ilvl w:val="0"/>
          <w:numId w:val="61"/>
        </w:numPr>
        <w:pBdr/>
        <w:spacing/>
        <w:ind w:hanging="284" w:left="1135"/>
        <w:rPr>
          <w:szCs w:val="24"/>
        </w:rPr>
      </w:pPr>
      <w:r>
        <w:rPr>
          <w:szCs w:val="24"/>
        </w:rPr>
        <w:t xml:space="preserve">от (-10°С) до (-15°С) – более 4 часов; </w:t>
      </w:r>
      <w:r>
        <w:rPr>
          <w:szCs w:val="24"/>
        </w:rPr>
      </w:r>
    </w:p>
    <w:p>
      <w:pPr>
        <w:pStyle w:val="13832"/>
        <w:numPr>
          <w:ilvl w:val="0"/>
          <w:numId w:val="61"/>
        </w:numPr>
        <w:pBdr/>
        <w:spacing/>
        <w:ind w:hanging="284" w:left="1135"/>
        <w:rPr>
          <w:szCs w:val="24"/>
        </w:rPr>
      </w:pPr>
      <w:r>
        <w:rPr>
          <w:szCs w:val="24"/>
        </w:rPr>
        <w:t xml:space="preserve">ниже (-15°С) – более 2 часов. </w:t>
      </w:r>
      <w:r>
        <w:rPr>
          <w:szCs w:val="24"/>
        </w:rPr>
      </w:r>
    </w:p>
    <w:p>
      <w:pPr>
        <w:pStyle w:val="12960"/>
        <w:pBdr/>
        <w:spacing/>
        <w:ind/>
        <w:rPr/>
      </w:pPr>
      <w:r>
        <w:t xml:space="preserve">Технологическими отказами в тепловых сетях считаются: </w:t>
      </w:r>
      <w:r/>
    </w:p>
    <w:p>
      <w:pPr>
        <w:pStyle w:val="12960"/>
        <w:pBdr/>
        <w:spacing/>
        <w:ind/>
        <w:rPr/>
      </w:pPr>
      <w:r>
        <w:t xml:space="preserve">Неисправности трубопроводов тепловой сети, оборудования насосных станций, тепло</w:t>
      </w:r>
      <w:r>
        <w:t xml:space="preserve">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Р 51617-2014 "Услуги жилищно-ко</w:t>
      </w:r>
      <w:r>
        <w:t xml:space="preserve">ммунального хозяйства и управления многоквартирными домами. Коммунальные услуги. Общие требования" (допустимая длительность температуры воздуха в помещении не ниже 12 °С – не более 16 часов; не ниже 10 °С не более 8 часов; не ниже 8 °С – не более 4 часов).</w:t>
      </w:r>
      <w:r/>
    </w:p>
    <w:p>
      <w:pPr>
        <w:pStyle w:val="10535"/>
        <w:keepNext w:val="false"/>
        <w:widowControl w:val="false"/>
        <w:numPr>
          <w:ilvl w:val="1"/>
          <w:numId w:val="117"/>
        </w:numPr>
        <w:pBdr/>
        <w:spacing w:after="240" w:before="240" w:line="240" w:lineRule="auto"/>
        <w:ind w:firstLine="0" w:left="0"/>
        <w:rPr>
          <w:rFonts w:cs="Times New Roman"/>
        </w:rPr>
      </w:pPr>
      <w:r/>
      <w:bookmarkStart w:id="483" w:name="_Toc166767208"/>
      <w:r/>
      <w:bookmarkStart w:id="484" w:name="_Toc198483548"/>
      <w:r/>
      <w:bookmarkStart w:id="485" w:name="_Toc520922775"/>
      <w:r/>
      <w:bookmarkStart w:id="486" w:name="_Toc84970992"/>
      <w:r/>
      <w:bookmarkStart w:id="487" w:name="_Toc78674755"/>
      <w:r>
        <w:rPr>
          <w:rFonts w:cs="Times New Roman"/>
        </w:rPr>
        <w:t xml:space="preserve">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483"/>
      <w:r/>
      <w:bookmarkEnd w:id="484"/>
      <w:r/>
      <w:bookmarkEnd w:id="485"/>
      <w:r/>
      <w:bookmarkEnd w:id="486"/>
      <w:r/>
      <w:bookmarkEnd w:id="487"/>
      <w:r/>
      <w:r>
        <w:rPr>
          <w:rFonts w:cs="Times New Roman"/>
        </w:rPr>
      </w:r>
    </w:p>
    <w:p>
      <w:pPr>
        <w:pStyle w:val="12960"/>
        <w:pBdr/>
        <w:spacing/>
        <w:ind/>
        <w:rPr/>
      </w:pPr>
      <w:r>
        <w:t xml:space="preserve">Особые аварийные ситуации, влекущие тяжелые последствия при теплоснабжении потребителей, за базовый период не зафиксированы.</w:t>
      </w:r>
      <w:r/>
    </w:p>
    <w:p>
      <w:pPr>
        <w:pStyle w:val="12960"/>
        <w:pBdr/>
        <w:spacing/>
        <w:ind/>
        <w:rPr/>
        <w:sectPr>
          <w:headerReference w:type="default" r:id="rId74"/>
          <w:headerReference w:type="first" r:id="rId75"/>
          <w:footerReference w:type="default" r:id="rId342"/>
          <w:footerReference w:type="first" r:id="rId343"/>
          <w:footnotePr/>
          <w:endnotePr/>
          <w:type w:val="nextPage"/>
          <w:pgSz w:h="16838" w:orient="portrait" w:w="11906"/>
          <w:pgMar w:top="1134" w:right="851" w:bottom="1134" w:left="1701" w:header="567" w:footer="454" w:gutter="0"/>
          <w:cols w:num="1" w:sep="0" w:space="1701" w:equalWidth="1"/>
        </w:sectPr>
      </w:pPr>
      <w:r/>
      <w:r/>
    </w:p>
    <w:p>
      <w:pPr>
        <w:pStyle w:val="10534"/>
        <w:numPr>
          <w:ilvl w:val="0"/>
          <w:numId w:val="13"/>
        </w:numPr>
        <w:pBdr/>
        <w:spacing/>
        <w:ind/>
        <w:rPr>
          <w:spacing w:val="0"/>
        </w:rPr>
      </w:pPr>
      <w:r/>
      <w:bookmarkStart w:id="488" w:name="_Toc166767209"/>
      <w:r/>
      <w:bookmarkStart w:id="489" w:name="_Toc198483549"/>
      <w:r/>
      <w:bookmarkStart w:id="490" w:name="_Toc78674756"/>
      <w:r/>
      <w:bookmarkStart w:id="491" w:name="_Toc84970993"/>
      <w:r>
        <w:rPr>
          <w:spacing w:val="0"/>
        </w:rPr>
        <w:t xml:space="preserve"> </w:t>
      </w:r>
      <w:r>
        <w:rPr>
          <w:spacing w:val="0"/>
        </w:rPr>
        <w:t xml:space="preserve">Технико-экономические показатели теплоснабжающих и теплосетевых организаций</w:t>
      </w:r>
      <w:bookmarkEnd w:id="488"/>
      <w:r/>
      <w:bookmarkEnd w:id="489"/>
      <w:r/>
      <w:bookmarkEnd w:id="490"/>
      <w:r/>
      <w:bookmarkEnd w:id="491"/>
      <w:r/>
      <w:r>
        <w:rPr>
          <w:spacing w:val="0"/>
        </w:rPr>
      </w:r>
    </w:p>
    <w:p>
      <w:pPr>
        <w:pStyle w:val="12960"/>
        <w:pBdr/>
        <w:spacing/>
        <w:ind/>
        <w:rPr/>
      </w:pPr>
      <w:r>
        <w:t xml:space="preserve">В настоящем разделе приведены технико-экономические показатели теплоснабж</w:t>
      </w:r>
      <w:r>
        <w:t xml:space="preserve">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r/>
    </w:p>
    <w:p>
      <w:pPr>
        <w:pStyle w:val="12960"/>
        <w:pBdr/>
        <w:spacing/>
        <w:ind/>
        <w:rPr/>
      </w:pPr>
      <w:r>
        <w:t xml:space="preserve">В систему теплоснабжения муниципального образования Астаповское входит 3 котельные. </w:t>
      </w:r>
      <w:r/>
    </w:p>
    <w:p>
      <w:pPr>
        <w:pStyle w:val="12960"/>
        <w:pBdr/>
        <w:spacing/>
        <w:ind/>
        <w:rPr/>
      </w:pPr>
      <w:r>
        <w:t xml:space="preserve">Регулируемую деятельность в сфере теплоснабжения по состоянию на 01.01.2026 осуществляют: ООО «АГК» </w:t>
      </w:r>
      <w:r/>
    </w:p>
    <w:p>
      <w:pPr>
        <w:pStyle w:val="10533"/>
        <w:pBdr/>
        <w:spacing w:after="120" w:before="0"/>
        <w:ind w:firstLine="680"/>
        <w:jc w:val="both"/>
        <w:rPr>
          <w:rFonts w:eastAsia="Calibri"/>
          <w:szCs w:val="22"/>
          <w:lang w:eastAsia="ru-RU"/>
        </w:rPr>
      </w:pPr>
      <w:r/>
      <w:bookmarkStart w:id="492" w:name="_Toc389669298"/>
      <w:r/>
      <w:bookmarkStart w:id="493" w:name="_Toc384572485"/>
      <w:r>
        <w:rPr>
          <w:rFonts w:eastAsia="Calibri"/>
          <w:szCs w:val="22"/>
          <w:lang w:eastAsia="ru-RU"/>
        </w:rPr>
        <w:t xml:space="preserve">Технико-экономические показатели работы котельных отсутствуют.</w:t>
      </w:r>
      <w:bookmarkEnd w:id="492"/>
      <w:r/>
      <w:bookmarkEnd w:id="493"/>
      <w:r/>
      <w:r>
        <w:rPr>
          <w:rFonts w:eastAsia="Calibri"/>
          <w:szCs w:val="22"/>
          <w:lang w:eastAsia="ru-RU"/>
        </w:rPr>
      </w:r>
    </w:p>
    <w:p>
      <w:pPr>
        <w:pStyle w:val="12960"/>
        <w:pBdr/>
        <w:spacing/>
        <w:ind/>
        <w:rPr>
          <w:lang w:eastAsia="ru-RU"/>
        </w:rPr>
      </w:pPr>
      <w:r>
        <w:rPr>
          <w:bCs w:val="0"/>
          <w:iCs w:val="0"/>
          <w:color w:val="auto"/>
          <w:szCs w:val="22"/>
        </w:rPr>
        <w:t xml:space="preserve">В </w:t>
      </w:r>
      <w:r>
        <w:rPr>
          <w:bCs w:val="0"/>
          <w:iCs w:val="0"/>
          <w:color w:val="000000"/>
          <w:szCs w:val="22"/>
          <w:lang w:eastAsia="ru-RU" w:bidi="ru-RU"/>
        </w:rPr>
        <w:t xml:space="preserve">Муниципальном образовании Астаповское </w:t>
      </w:r>
      <w:r>
        <w:rPr>
          <w:bCs w:val="0"/>
          <w:iCs w:val="0"/>
          <w:color w:val="auto"/>
          <w:szCs w:val="22"/>
        </w:rPr>
        <w:t xml:space="preserve">регулируемую деятельность в сфере теплоснабжения осуществляет ООО «АГК». Информация по технико-экономическим показателям ООО «АГК» за 2025 год представлена в таблице.</w:t>
      </w:r>
      <w:r>
        <w:rPr>
          <w:lang w:eastAsia="ru-RU"/>
        </w:rPr>
      </w:r>
    </w:p>
    <w:p>
      <w:pPr>
        <w:pStyle w:val="12960"/>
        <w:pBdr/>
        <w:spacing/>
        <w:ind/>
        <w:rPr>
          <w:lang w:eastAsia="ru-RU"/>
        </w:rPr>
        <w:sectPr>
          <w:headerReference w:type="default" r:id="rId76"/>
          <w:headerReference w:type="first" r:id="rId77"/>
          <w:footerReference w:type="default" r:id="rId344"/>
          <w:footerReference w:type="first" r:id="rId345"/>
          <w:footnotePr/>
          <w:endnotePr/>
          <w:type w:val="nextPage"/>
          <w:pgSz w:h="16838" w:orient="portrait" w:w="11906"/>
          <w:pgMar w:top="1134" w:right="850" w:bottom="1134" w:left="1701" w:header="567" w:footer="454" w:gutter="0"/>
          <w:cols w:num="1" w:sep="0" w:space="1701" w:equalWidth="1"/>
        </w:sectPr>
      </w:pPr>
      <w:r>
        <w:rPr>
          <w:lang w:eastAsia="ru-RU"/>
        </w:rPr>
      </w:r>
      <w:r>
        <w:rPr>
          <w:lang w:eastAsia="ru-RU"/>
        </w:rPr>
      </w:r>
    </w:p>
    <w:p>
      <w:pPr>
        <w:pStyle w:val="12960"/>
        <w:pBdr/>
        <w:spacing/>
        <w:ind/>
        <w:rPr>
          <w:b/>
          <w:bCs w:val="0"/>
        </w:rPr>
      </w:pPr>
      <w:r/>
      <w:bookmarkStart w:id="494" w:name="_Toc527706890"/>
      <w:r/>
      <w:bookmarkStart w:id="495" w:name="_Toc520969311"/>
      <w:r>
        <w:rPr>
          <w:b/>
          <w:bCs w:val="0"/>
        </w:rPr>
        <w:t xml:space="preserve">Таблица 1.10.1 – </w:t>
      </w:r>
      <w:bookmarkEnd w:id="495"/>
      <w:r>
        <w:rPr>
          <w:b/>
          <w:bCs w:val="0"/>
        </w:rPr>
        <w:t xml:space="preserve">Технико-экономические показатели ООО «АГК» </w:t>
      </w:r>
      <w:bookmarkEnd w:id="494"/>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7389"/>
        <w:gridCol w:w="7180"/>
      </w:tblGrid>
      <w:tr>
        <w:trPr>
          <w:trHeight w:val="517"/>
        </w:trPr>
        <w:tc>
          <w:tcPr>
            <w:shd w:val="clear" w:color="000000" w:fill="d9d9d9"/>
            <w:tcBorders>
              <w:top w:val="single" w:color="000000" w:sz="4" w:space="0"/>
              <w:left w:val="single" w:color="000000" w:sz="4" w:space="0"/>
              <w:bottom w:val="single" w:color="000000" w:sz="4" w:space="0"/>
              <w:right w:val="single" w:color="000000" w:sz="4" w:space="0"/>
            </w:tcBorders>
            <w:tcW w:w="7389" w:type="dxa"/>
            <w:vAlign w:val="center"/>
            <w:vMerge w:val="restart"/>
          </w:tcPr>
          <w:p>
            <w:pPr>
              <w:pStyle w:val="12385"/>
              <w:pBdr/>
              <w:spacing/>
              <w:ind/>
              <w:rPr/>
            </w:pPr>
            <w:r>
              <w:t xml:space="preserve">Наименование показателя</w:t>
            </w:r>
            <w:r/>
          </w:p>
        </w:tc>
        <w:tc>
          <w:tcPr>
            <w:shd w:val="clear" w:color="000000" w:fill="d9d9d9"/>
            <w:tcBorders>
              <w:top w:val="single" w:color="000000" w:sz="4" w:space="0"/>
              <w:left w:val="single" w:color="000000" w:sz="4" w:space="0"/>
              <w:bottom w:val="single" w:color="000000" w:sz="4" w:space="0"/>
              <w:right w:val="single" w:color="000000" w:sz="4" w:space="0"/>
            </w:tcBorders>
            <w:tcW w:w="7180" w:type="dxa"/>
            <w:vAlign w:val="center"/>
            <w:vMerge w:val="restart"/>
          </w:tcPr>
          <w:p>
            <w:pPr>
              <w:pStyle w:val="12385"/>
              <w:pBdr/>
              <w:spacing/>
              <w:ind/>
              <w:rPr/>
            </w:pPr>
            <w:r>
              <w:t xml:space="preserve">ООО «АГК»</w:t>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Отпуск тепловой энергии, вырабатываемой источником тепловой энергии, Гкал, всего, в том числе:</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t xml:space="preserve">19,353</w:t>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С коллекторов источника непосредственно потребителям, Гкал</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в паре, Гкал</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в горячей воде, Гкал</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С коллекторов источника в тепловые сети, Гкал</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в паре, Гкал</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в горячей воде, Гкал</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Операционные (подконтрольные) расходы, тыс. руб.</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t xml:space="preserve">19150,41</w:t>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Неподконтрольные расходы, тыс. руб.</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t xml:space="preserve">9846,88</w:t>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Расходы на приобретение (производство) энергетических ресурсов, холодной воды и теплоносителя, тыс. руб.</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t xml:space="preserve">38178,90</w:t>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Прибыль, тыс. руб.</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t xml:space="preserve">44,37</w:t>
            </w:r>
            <w:r/>
          </w:p>
        </w:tc>
      </w:tr>
      <w:tr>
        <w:trPr>
          <w:trHeight w:val="20"/>
        </w:trPr>
        <w:tc>
          <w:tcPr>
            <w:tcBorders>
              <w:top w:val="single" w:color="000000" w:sz="4" w:space="0"/>
              <w:left w:val="single" w:color="000000" w:sz="4" w:space="0"/>
              <w:bottom w:val="single" w:color="000000" w:sz="4" w:space="0"/>
              <w:right w:val="single" w:color="000000" w:sz="4" w:space="0"/>
            </w:tcBorders>
            <w:tcW w:w="7389" w:type="dxa"/>
            <w:vAlign w:val="center"/>
          </w:tcPr>
          <w:p>
            <w:pPr>
              <w:pStyle w:val="12385"/>
              <w:pBdr/>
              <w:spacing/>
              <w:ind/>
              <w:rPr/>
            </w:pPr>
            <w:r>
              <w:t xml:space="preserve">ИТОГО необходимая валовая выручка, тыс. руб.</w:t>
            </w:r>
            <w:r/>
          </w:p>
        </w:tc>
        <w:tc>
          <w:tcPr>
            <w:tcBorders>
              <w:top w:val="single" w:color="000000" w:sz="4" w:space="0"/>
              <w:left w:val="single" w:color="000000" w:sz="4" w:space="0"/>
              <w:bottom w:val="single" w:color="000000" w:sz="4" w:space="0"/>
              <w:right w:val="single" w:color="000000" w:sz="4" w:space="0"/>
            </w:tcBorders>
            <w:tcW w:w="7180" w:type="dxa"/>
            <w:vAlign w:val="center"/>
          </w:tcPr>
          <w:p>
            <w:pPr>
              <w:pStyle w:val="12385"/>
              <w:pBdr/>
              <w:spacing/>
              <w:ind/>
              <w:rPr/>
            </w:pPr>
            <w:r>
              <w:t xml:space="preserve">67220,56</w:t>
            </w:r>
            <w:r/>
          </w:p>
        </w:tc>
      </w:tr>
    </w:tbl>
    <w:p>
      <w:pPr>
        <w:pStyle w:val="12960"/>
        <w:pBdr/>
        <w:spacing/>
        <w:ind/>
        <w:rPr>
          <w:b/>
          <w:bCs w:val="0"/>
        </w:rPr>
      </w:pPr>
      <w:r>
        <w:rPr>
          <w:b/>
          <w:bCs w:val="0"/>
        </w:rPr>
      </w:r>
      <w:r>
        <w:rPr>
          <w:b/>
          <w:bCs w:val="0"/>
        </w:rPr>
      </w:r>
    </w:p>
    <w:p>
      <w:pPr>
        <w:pStyle w:val="12385"/>
        <w:pBdr/>
        <w:tabs>
          <w:tab w:val="clear" w:leader="none" w:pos="708"/>
          <w:tab w:val="left" w:leader="none" w:pos="1022"/>
          <w:tab w:val="left" w:leader="none" w:pos="5425"/>
          <w:tab w:val="left" w:leader="none" w:pos="6805"/>
        </w:tabs>
        <w:spacing/>
        <w:ind w:firstLine="0" w:left="5"/>
        <w:jc w:val="left"/>
        <w:rPr>
          <w:rFonts w:cs="Times New Roman"/>
        </w:rPr>
      </w:pPr>
      <w:r>
        <w:rPr>
          <w:rFonts w:cs="Times New Roman"/>
        </w:rPr>
        <w:tab/>
        <w:tab/>
      </w:r>
      <w:r>
        <w:rPr>
          <w:rFonts w:cs="Times New Roman"/>
        </w:rPr>
      </w:r>
    </w:p>
    <w:p>
      <w:pPr>
        <w:pStyle w:val="12960"/>
        <w:pBdr/>
        <w:spacing/>
        <w:ind/>
        <w:rPr/>
        <w:sectPr>
          <w:headerReference w:type="default" r:id="rId78"/>
          <w:headerReference w:type="first" r:id="rId79"/>
          <w:footerReference w:type="default" r:id="rId346"/>
          <w:footerReference w:type="first" r:id="rId347"/>
          <w:footnotePr/>
          <w:endnotePr/>
          <w:type w:val="nextPage"/>
          <w:pgSz w:h="11906" w:orient="landscape" w:w="16838"/>
          <w:pgMar w:top="1701" w:right="1134" w:bottom="851" w:left="1134" w:header="567" w:footer="454" w:gutter="0"/>
          <w:cols w:num="1" w:sep="0" w:space="1701" w:equalWidth="1"/>
        </w:sectPr>
      </w:pPr>
      <w:r/>
      <w:r/>
    </w:p>
    <w:p>
      <w:pPr>
        <w:pStyle w:val="10534"/>
        <w:widowControl w:val="true"/>
        <w:numPr>
          <w:ilvl w:val="0"/>
          <w:numId w:val="13"/>
        </w:numPr>
        <w:pBdr/>
        <w:bidi w:val="false"/>
        <w:spacing w:after="240" w:before="120" w:line="360" w:lineRule="auto"/>
        <w:ind w:right="0" w:hanging="340" w:left="340"/>
        <w:contextualSpacing w:val="true"/>
        <w:jc w:val="center"/>
        <w:rPr>
          <w:spacing w:val="0"/>
        </w:rPr>
      </w:pPr>
      <w:r/>
      <w:bookmarkStart w:id="496" w:name="_Toc198483550"/>
      <w:r/>
      <w:bookmarkStart w:id="497" w:name="_Toc166767210"/>
      <w:r/>
      <w:bookmarkStart w:id="498" w:name="_Toc84970994"/>
      <w:r/>
      <w:bookmarkStart w:id="499" w:name="_Toc78674757"/>
      <w:r>
        <w:rPr>
          <w:spacing w:val="0"/>
        </w:rPr>
        <w:t xml:space="preserve"> </w:t>
      </w:r>
      <w:r>
        <w:rPr>
          <w:rFonts w:eastAsia="Times New Roman" w:cs="Times New Roman"/>
          <w:b/>
          <w:smallCaps/>
          <w:spacing w:val="0"/>
          <w:sz w:val="28"/>
          <w:szCs w:val="36"/>
          <w:lang w:eastAsia="en-US" w:bidi="en-US"/>
        </w:rPr>
        <w:t xml:space="preserve">Цены (тарифы) в сфере теплоснабжения</w:t>
      </w:r>
      <w:bookmarkEnd w:id="496"/>
      <w:r/>
      <w:bookmarkEnd w:id="497"/>
      <w:r/>
      <w:bookmarkEnd w:id="498"/>
      <w:r/>
      <w:bookmarkEnd w:id="499"/>
      <w:r/>
      <w:r>
        <w:rPr>
          <w:spacing w:val="0"/>
        </w:rPr>
      </w:r>
    </w:p>
    <w:p>
      <w:pPr>
        <w:pStyle w:val="12960"/>
        <w:pBdr/>
        <w:spacing/>
        <w:ind/>
        <w:rPr/>
      </w:pPr>
      <w:r/>
      <w:bookmarkStart w:id="500" w:name="_Toc430079956"/>
      <w:r/>
      <w:bookmarkEnd w:id="500"/>
      <w:r>
        <w:t xml:space="preserve">Исполнительным органом государственной власти, уполномоченным осуществл</w:t>
      </w:r>
      <w:r>
        <w:t xml:space="preserve">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муниципального образования Астаповское является Комитет Тульской области по тарифам.</w:t>
      </w:r>
      <w:r/>
    </w:p>
    <w:p>
      <w:pPr>
        <w:pStyle w:val="10535"/>
        <w:keepNext w:val="true"/>
        <w:widowControl w:val="false"/>
        <w:numPr>
          <w:ilvl w:val="1"/>
          <w:numId w:val="118"/>
        </w:numPr>
        <w:pBdr/>
        <w:bidi w:val="false"/>
        <w:spacing w:after="240" w:before="240" w:line="240" w:lineRule="auto"/>
        <w:ind w:right="0" w:hanging="737" w:left="737"/>
        <w:jc w:val="center"/>
        <w:rPr>
          <w:rFonts w:cs="Times New Roman"/>
        </w:rPr>
      </w:pPr>
      <w:r/>
      <w:bookmarkStart w:id="501" w:name="_Toc198483551"/>
      <w:r/>
      <w:bookmarkStart w:id="502" w:name="_Toc78674758"/>
      <w:r/>
      <w:bookmarkStart w:id="503" w:name="_Toc84970995"/>
      <w:r/>
      <w:bookmarkStart w:id="504" w:name="_Toc166767211"/>
      <w:r>
        <w:rPr>
          <w:rFonts w:cs="Times New Roman"/>
        </w:rPr>
        <w:t xml:space="preserve">Утвержденные тарифы на тепловую энергию</w:t>
      </w:r>
      <w:bookmarkEnd w:id="501"/>
      <w:r/>
      <w:bookmarkEnd w:id="502"/>
      <w:r/>
      <w:bookmarkEnd w:id="503"/>
      <w:r/>
      <w:bookmarkEnd w:id="504"/>
      <w:r/>
      <w:r>
        <w:rPr>
          <w:rFonts w:cs="Times New Roman"/>
        </w:rPr>
      </w:r>
    </w:p>
    <w:p>
      <w:pPr>
        <w:pStyle w:val="12960"/>
        <w:pBdr/>
        <w:spacing/>
        <w:ind/>
        <w:rPr/>
      </w:pPr>
      <w:r/>
      <w:r/>
      <w:r>
        <w:t xml:space="preserve">Государственное регулирование цен (тарифов) на тепловую энергию (мощность</w:t>
      </w:r>
      <w:r>
        <w:t xml:space="preserve">) осуществляется на основе принципов, установленных Федеральным законом №190-ФЗ (ред. от 01.05.2023) «О теплоснабжении» от 27.07.2010 года, в соответствии с основами ценообразования в сфере теплоснабжения, правилами регулирования цен (тарифов) в сфере тепл</w:t>
      </w:r>
      <w:r>
        <w:t xml:space="preserve">оснабжения, утвержденными Правительством Российской Федерации, иными нормативными правовыми актами и методическими указаниями, утвержденными федеральным органом исполнительной власти в области государственного регулирования тарифов в сфере теплоснабжения. </w:t>
      </w:r>
      <w:r/>
    </w:p>
    <w:p>
      <w:pPr>
        <w:pStyle w:val="12960"/>
        <w:pBdr/>
        <w:spacing/>
        <w:ind/>
        <w:rPr/>
      </w:pPr>
      <w:r>
        <w:t xml:space="preserve">Регулирование цен (тарифов) в сфере теплоснабжения осуществляется в соответствии со следующими основными принципами: </w:t>
      </w:r>
      <w:r/>
    </w:p>
    <w:p>
      <w:pPr>
        <w:pStyle w:val="13832"/>
        <w:keepNext w:val="false"/>
        <w:widowControl w:val="true"/>
        <w:numPr>
          <w:ilvl w:val="0"/>
          <w:numId w:val="61"/>
        </w:numPr>
        <w:pBdr/>
        <w:bidi w:val="false"/>
        <w:spacing w:after="0" w:before="0" w:line="360" w:lineRule="auto"/>
        <w:ind w:right="0" w:firstLine="567" w:left="0"/>
        <w:jc w:val="both"/>
        <w:rPr/>
      </w:pPr>
      <w:r>
        <w:t xml:space="preserve">обеспечение доступности тепловой энергии (мощности), теплоносителя для потребителей; </w:t>
      </w:r>
      <w:r/>
    </w:p>
    <w:p>
      <w:pPr>
        <w:pStyle w:val="13832"/>
        <w:keepNext w:val="false"/>
        <w:widowControl w:val="true"/>
        <w:numPr>
          <w:ilvl w:val="0"/>
          <w:numId w:val="61"/>
        </w:numPr>
        <w:pBdr/>
        <w:bidi w:val="false"/>
        <w:spacing w:after="0" w:before="0" w:line="360" w:lineRule="auto"/>
        <w:ind w:right="0" w:firstLine="567" w:left="0"/>
        <w:jc w:val="both"/>
        <w:rPr/>
      </w:pPr>
      <w:r>
        <w:t xml:space="preserve">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 </w:t>
      </w:r>
      <w:r/>
    </w:p>
    <w:p>
      <w:pPr>
        <w:pStyle w:val="13832"/>
        <w:keepNext w:val="false"/>
        <w:widowControl w:val="true"/>
        <w:numPr>
          <w:ilvl w:val="0"/>
          <w:numId w:val="61"/>
        </w:numPr>
        <w:pBdr/>
        <w:bidi w:val="false"/>
        <w:spacing w:after="0" w:before="0" w:line="360" w:lineRule="auto"/>
        <w:ind w:right="0" w:firstLine="567" w:left="0"/>
        <w:jc w:val="both"/>
        <w:rPr/>
      </w:pPr>
      <w:r>
        <w:t xml:space="preserve">обеспечение достаточности средств для финансирования мероприятий по надежному функционированию и развитию систем теплоснабжения; </w:t>
      </w:r>
      <w:r/>
    </w:p>
    <w:p>
      <w:pPr>
        <w:pStyle w:val="13832"/>
        <w:keepNext w:val="false"/>
        <w:widowControl w:val="true"/>
        <w:numPr>
          <w:ilvl w:val="0"/>
          <w:numId w:val="61"/>
        </w:numPr>
        <w:pBdr/>
        <w:bidi w:val="false"/>
        <w:spacing w:after="0" w:before="0" w:line="360" w:lineRule="auto"/>
        <w:ind w:right="0" w:firstLine="567" w:left="0"/>
        <w:jc w:val="both"/>
        <w:rPr/>
      </w:pPr>
      <w:r>
        <w:t xml:space="preserve">стимулирование повышения экономической и энергетической эффективности при осуществлении деятельности в сфере теплоснабжения; </w:t>
      </w:r>
      <w:r/>
    </w:p>
    <w:p>
      <w:pPr>
        <w:pStyle w:val="13832"/>
        <w:keepNext w:val="false"/>
        <w:widowControl w:val="true"/>
        <w:numPr>
          <w:ilvl w:val="0"/>
          <w:numId w:val="61"/>
        </w:numPr>
        <w:pBdr/>
        <w:bidi w:val="false"/>
        <w:spacing w:after="0" w:before="0" w:line="360" w:lineRule="auto"/>
        <w:ind w:right="0" w:firstLine="567" w:left="0"/>
        <w:jc w:val="both"/>
        <w:rPr/>
      </w:pPr>
      <w:r>
        <w:t xml:space="preserve">обеспечение стабильности отношений между теплоснабжающими организациями и потребителями за счет установления долгосрочных тарифов; </w:t>
      </w:r>
      <w:r/>
    </w:p>
    <w:p>
      <w:pPr>
        <w:pStyle w:val="13832"/>
        <w:keepNext w:val="false"/>
        <w:widowControl w:val="true"/>
        <w:numPr>
          <w:ilvl w:val="0"/>
          <w:numId w:val="61"/>
        </w:numPr>
        <w:pBdr/>
        <w:bidi w:val="false"/>
        <w:spacing w:after="0" w:before="0" w:line="360" w:lineRule="auto"/>
        <w:ind w:right="0" w:firstLine="567" w:left="0"/>
        <w:jc w:val="both"/>
        <w:rPr/>
      </w:pPr>
      <w:r>
        <w:t xml:space="preserve">обеспечение открытости и доступности для потребителей, в том числе для населения, процесса регулирования цен (тарифов) в сфере теплоснабжения; </w:t>
      </w:r>
      <w:r/>
    </w:p>
    <w:p>
      <w:pPr>
        <w:pStyle w:val="13832"/>
        <w:numPr>
          <w:ilvl w:val="0"/>
          <w:numId w:val="61"/>
        </w:numPr>
        <w:pBdr/>
        <w:spacing/>
        <w:ind w:hanging="284" w:left="1135"/>
        <w:rPr/>
      </w:pPr>
      <w:r>
        <w:t xml:space="preserve">создание условий для привлечения инвестиций; </w:t>
      </w:r>
      <w:r/>
    </w:p>
    <w:p>
      <w:pPr>
        <w:pStyle w:val="13832"/>
        <w:keepNext w:val="false"/>
        <w:widowControl w:val="true"/>
        <w:numPr>
          <w:ilvl w:val="0"/>
          <w:numId w:val="61"/>
        </w:numPr>
        <w:pBdr/>
        <w:bidi w:val="false"/>
        <w:spacing w:after="0" w:before="0" w:line="360" w:lineRule="auto"/>
        <w:ind w:right="0" w:firstLine="567" w:left="0"/>
        <w:jc w:val="both"/>
        <w:rPr/>
      </w:pPr>
      <w:r>
        <w:t xml:space="preserve">определение размера средств, направляемых на оплату труда, в соответствии с отраслевыми тарифными соглашениями; </w:t>
      </w:r>
      <w:r/>
    </w:p>
    <w:p>
      <w:pPr>
        <w:pStyle w:val="13832"/>
        <w:keepNext w:val="false"/>
        <w:widowControl w:val="true"/>
        <w:numPr>
          <w:ilvl w:val="0"/>
          <w:numId w:val="61"/>
        </w:numPr>
        <w:pBdr/>
        <w:bidi w:val="false"/>
        <w:spacing w:after="0" w:before="0" w:line="360" w:lineRule="auto"/>
        <w:ind w:right="0" w:firstLine="567" w:left="0"/>
        <w:jc w:val="both"/>
        <w:rPr/>
      </w:pPr>
      <w:r>
        <w:t xml:space="preserve">обязательный р</w:t>
      </w:r>
      <w:r>
        <w:t xml:space="preserve">аздельный учет организациями, осуществляющими регулируемые виды деятельности в сфере теплоснабжения, объема производства тепловой энергии, теплоносителя, доходов и расходов, связанных с производством, передачей и со сбытом тепловой энергии, теплоносителя; </w:t>
      </w:r>
      <w:r/>
    </w:p>
    <w:p>
      <w:pPr>
        <w:pStyle w:val="13832"/>
        <w:keepNext w:val="false"/>
        <w:widowControl w:val="true"/>
        <w:numPr>
          <w:ilvl w:val="0"/>
          <w:numId w:val="61"/>
        </w:numPr>
        <w:pBdr/>
        <w:bidi w:val="false"/>
        <w:spacing w:after="0" w:before="0" w:line="360" w:lineRule="auto"/>
        <w:ind w:right="0" w:firstLine="567" w:left="0"/>
        <w:jc w:val="both"/>
        <w:rPr/>
      </w:pPr>
      <w:r>
        <w:t xml:space="preserve">контроль за соблюдением требований законодательства об энергосбережении и о повышении энергетической эффективности в </w:t>
      </w:r>
      <w:r>
        <w:t xml:space="preserve">целях сокращения потерь энергетических ресурсов, в том числе требований к разработке и реализации программ в области энергосбережения и повышения энергетической эффективности, требований к организации учета и контроля используемых энергетических ресурсов. </w:t>
      </w:r>
      <w:r/>
    </w:p>
    <w:p>
      <w:pPr>
        <w:pStyle w:val="12960"/>
        <w:pBdr/>
        <w:spacing/>
        <w:ind/>
        <w:rPr/>
      </w:pPr>
      <w:r>
        <w:t xml:space="preserve">Согласно пункту 5.5 «Основ ценообразования в сфере теплоснабжения» (в редакции постановления Правительства РФ от 18.10.2012 г. №1075) це</w:t>
      </w:r>
      <w:r>
        <w:t xml:space="preserve">на на тепловую энергию, поставляемую теплоснабжающей организацией с использованием источника тепловой энергии, установленная мощность которого составляет менее 10 Гкал/ч, не подлежит регулированию и определяется соглашением сторон договора теплоснабжения. </w:t>
      </w:r>
      <w:bookmarkStart w:id="507" w:name="_Toc84970996"/>
      <w:r/>
      <w:bookmarkStart w:id="508" w:name="_Toc78674759"/>
      <w:r/>
      <w:bookmarkStart w:id="509" w:name="sub_10201"/>
      <w:r/>
      <w:r/>
    </w:p>
    <w:p>
      <w:pPr>
        <w:pStyle w:val="12960"/>
        <w:pBdr/>
        <w:spacing/>
        <w:ind/>
        <w:rPr/>
      </w:pPr>
      <w:r/>
      <w:r/>
    </w:p>
    <w:p>
      <w:pPr>
        <w:pStyle w:val="10533"/>
        <w:widowControl w:val="false"/>
        <w:numPr>
          <w:ilvl w:val="1"/>
          <w:numId w:val="13"/>
        </w:numPr>
        <w:pBdr/>
        <w:spacing/>
        <w:ind w:firstLine="0" w:left="0"/>
        <w:jc w:val="center"/>
        <w:outlineLvl w:val="1"/>
        <w:rPr>
          <w:b/>
          <w:sz w:val="28"/>
          <w:szCs w:val="28"/>
        </w:rPr>
      </w:pPr>
      <w:r/>
      <w:bookmarkStart w:id="510" w:name="_Toc430079960"/>
      <w:r/>
      <w:bookmarkStart w:id="511" w:name="_Toc423512190"/>
      <w:r/>
      <w:bookmarkStart w:id="512" w:name="_Toc198483552"/>
      <w:r/>
      <w:bookmarkStart w:id="513" w:name="_Toc166767212"/>
      <w:r/>
      <w:bookmarkEnd w:id="509"/>
      <w:r>
        <w:rPr>
          <w:b/>
          <w:sz w:val="28"/>
          <w:szCs w:val="28"/>
        </w:rPr>
        <w:t xml:space="preserve">Структура тарифов, установленных на момент разработки схемы теплоснабжени</w:t>
      </w:r>
      <w:bookmarkEnd w:id="510"/>
      <w:r/>
      <w:bookmarkEnd w:id="511"/>
      <w:r>
        <w:rPr>
          <w:b/>
          <w:sz w:val="28"/>
          <w:szCs w:val="28"/>
        </w:rPr>
        <w:t xml:space="preserve">я</w:t>
      </w:r>
      <w:bookmarkEnd w:id="507"/>
      <w:r/>
      <w:bookmarkEnd w:id="508"/>
      <w:r/>
      <w:bookmarkEnd w:id="512"/>
      <w:r/>
      <w:bookmarkEnd w:id="513"/>
      <w:r/>
      <w:r>
        <w:rPr>
          <w:b/>
          <w:sz w:val="28"/>
          <w:szCs w:val="28"/>
        </w:rPr>
      </w:r>
    </w:p>
    <w:p>
      <w:pPr>
        <w:pStyle w:val="12960"/>
        <w:pBdr/>
        <w:spacing/>
        <w:ind/>
        <w:rPr/>
      </w:pPr>
      <w:r>
        <w:t xml:space="preserve">Данные о структуре тарифов на те</w:t>
      </w:r>
      <w:r>
        <w:t xml:space="preserve">пловую энергию (услуги по передаче тепловой энергии) и теплоноситель, установленных на 2025 г., сформированы на основе данных, опубликованных на портале раскрытия информации, подлежащих свободному доступу департамента края по ценам и регулированию тарифов.</w:t>
      </w:r>
      <w:r/>
    </w:p>
    <w:p>
      <w:pPr>
        <w:pStyle w:val="12960"/>
        <w:pBdr/>
        <w:spacing/>
        <w:ind/>
        <w:rPr/>
      </w:pPr>
      <w:r>
        <w:t xml:space="preserve">В структуре себестоимости тепловой энергии наибольший вес занимают следующие статьи расходов:</w:t>
      </w:r>
      <w:r/>
    </w:p>
    <w:p>
      <w:pPr>
        <w:pStyle w:val="13832"/>
        <w:numPr>
          <w:ilvl w:val="0"/>
          <w:numId w:val="61"/>
        </w:numPr>
        <w:pBdr/>
        <w:spacing/>
        <w:ind w:hanging="284" w:left="1135"/>
        <w:rPr>
          <w:rFonts w:eastAsia="Calibri"/>
        </w:rPr>
      </w:pPr>
      <w:r>
        <w:rPr>
          <w:rFonts w:eastAsia="Calibri"/>
        </w:rPr>
        <w:t xml:space="preserve">«Топливо» - 30-37 % от общей суммы расходов;</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«Расходы на оплату труда» и «Отчисления на социальные нужды»- 32-36 % от общей суммы расходов;</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rFonts w:eastAsia="Calibri"/>
        </w:rPr>
      </w:pPr>
      <w:r>
        <w:rPr>
          <w:rFonts w:eastAsia="Calibri"/>
        </w:rPr>
        <w:t xml:space="preserve">«Прочие расходы» (включая «Цеховые расходы» и «Общехозяйственные расходы») – 23-27 % от общей суммы расходов;</w:t>
      </w:r>
      <w:r>
        <w:rPr>
          <w:rFonts w:eastAsia="Calibri"/>
        </w:rPr>
      </w:r>
    </w:p>
    <w:p>
      <w:pPr>
        <w:pStyle w:val="13832"/>
        <w:numPr>
          <w:ilvl w:val="0"/>
          <w:numId w:val="61"/>
        </w:numPr>
        <w:pBdr/>
        <w:spacing/>
        <w:ind w:hanging="284" w:left="1135"/>
        <w:rPr>
          <w:rFonts w:eastAsia="Calibri"/>
        </w:rPr>
      </w:pPr>
      <w:r>
        <w:rPr>
          <w:rFonts w:eastAsia="Calibri"/>
        </w:rPr>
        <w:t xml:space="preserve">«Электроэнергия» - 5-7 % от общей суммы расходов. </w:t>
      </w:r>
      <w:r>
        <w:rPr>
          <w:rFonts w:eastAsia="Calibri"/>
        </w:rPr>
      </w:r>
    </w:p>
    <w:p>
      <w:pPr>
        <w:pStyle w:val="13832"/>
        <w:keepNext w:val="false"/>
        <w:widowControl w:val="true"/>
        <w:numPr>
          <w:ilvl w:val="0"/>
          <w:numId w:val="61"/>
        </w:numPr>
        <w:pBdr/>
        <w:bidi w:val="false"/>
        <w:spacing w:after="0" w:before="0" w:line="360" w:lineRule="auto"/>
        <w:ind w:right="0" w:firstLine="567" w:left="0"/>
        <w:jc w:val="both"/>
        <w:rPr>
          <w:lang w:eastAsia="ru-RU"/>
        </w:rPr>
      </w:pPr>
      <w:r>
        <w:rPr>
          <w:lang w:eastAsia="ru-RU"/>
        </w:rPr>
        <w:t xml:space="preserve">Структура себестоимости, где наибольший удельный вес занимают расходы на топливо, является характерной для теплоснабжающей организации.</w:t>
      </w:r>
      <w:r>
        <w:rPr>
          <w:lang w:eastAsia="ru-RU"/>
        </w:rPr>
      </w:r>
    </w:p>
    <w:p>
      <w:pPr>
        <w:pStyle w:val="10533"/>
        <w:widowControl w:val="false"/>
        <w:numPr>
          <w:ilvl w:val="1"/>
          <w:numId w:val="13"/>
        </w:numPr>
        <w:pBdr/>
        <w:spacing w:after="240" w:before="240"/>
        <w:ind w:firstLine="0" w:left="0"/>
        <w:jc w:val="center"/>
        <w:outlineLvl w:val="1"/>
        <w:rPr>
          <w:b/>
          <w:sz w:val="28"/>
          <w:szCs w:val="28"/>
        </w:rPr>
      </w:pPr>
      <w:r/>
      <w:bookmarkStart w:id="514" w:name="_Toc198483553"/>
      <w:r/>
      <w:bookmarkStart w:id="515" w:name="_Toc84970997"/>
      <w:r/>
      <w:bookmarkStart w:id="516" w:name="_Toc78674760"/>
      <w:r/>
      <w:bookmarkStart w:id="517" w:name="_Toc166767213"/>
      <w:r>
        <w:rPr>
          <w:b/>
          <w:sz w:val="28"/>
          <w:szCs w:val="28"/>
        </w:rPr>
        <w:t xml:space="preserve">Плата за подключение к системе теплоснабжения и поступления денежных средств от осуществления указанной деятельности</w:t>
      </w:r>
      <w:bookmarkEnd w:id="514"/>
      <w:r/>
      <w:bookmarkEnd w:id="515"/>
      <w:r/>
      <w:bookmarkEnd w:id="516"/>
      <w:r/>
      <w:bookmarkEnd w:id="517"/>
      <w:r/>
      <w:r>
        <w:rPr>
          <w:b/>
          <w:sz w:val="28"/>
          <w:szCs w:val="28"/>
        </w:rPr>
      </w:r>
    </w:p>
    <w:p>
      <w:pPr>
        <w:pStyle w:val="12960"/>
        <w:pBdr/>
        <w:spacing/>
        <w:ind/>
        <w:rPr/>
      </w:pPr>
      <w:r>
        <w:t xml:space="preserve">В соответствии с пунктом 7 Постановления Правительства РФ от 13.02.2006 г. №83 «Правила определения и предо</w:t>
      </w:r>
      <w:r>
        <w:t xml:space="preserve">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w:t>
      </w:r>
      <w:r>
        <w:t xml:space="preserve">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муниципального образования Астаповское </w:t>
      </w:r>
      <w:r>
        <w:t xml:space="preserve">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r/>
    </w:p>
    <w:p>
      <w:pPr>
        <w:pStyle w:val="10533"/>
        <w:widowControl w:val="false"/>
        <w:numPr>
          <w:ilvl w:val="1"/>
          <w:numId w:val="13"/>
        </w:numPr>
        <w:pBdr/>
        <w:spacing w:after="240" w:before="240"/>
        <w:ind w:firstLine="0" w:left="0"/>
        <w:jc w:val="center"/>
        <w:outlineLvl w:val="1"/>
        <w:rPr>
          <w:b/>
          <w:sz w:val="28"/>
          <w:szCs w:val="28"/>
        </w:rPr>
      </w:pPr>
      <w:r/>
      <w:bookmarkStart w:id="518" w:name="_Toc430079956"/>
      <w:r/>
      <w:bookmarkStart w:id="519" w:name="_Toc430079959"/>
      <w:r/>
      <w:bookmarkStart w:id="520" w:name="_Toc198483554"/>
      <w:r/>
      <w:bookmarkStart w:id="521" w:name="_Toc166767214"/>
      <w:r/>
      <w:bookmarkStart w:id="522" w:name="_Toc84970998"/>
      <w:r/>
      <w:bookmarkStart w:id="523" w:name="_Toc78674761"/>
      <w:r/>
      <w:bookmarkEnd w:id="518"/>
      <w:r/>
      <w:bookmarkEnd w:id="519"/>
      <w:r>
        <w:rPr>
          <w:b/>
          <w:sz w:val="28"/>
          <w:szCs w:val="28"/>
        </w:rPr>
        <w:t xml:space="preserve">Плата за услуги по поддержанию резервной тепловой мощности, в том числе для социально значимых категорий потребителей</w:t>
      </w:r>
      <w:bookmarkEnd w:id="520"/>
      <w:r/>
      <w:bookmarkEnd w:id="521"/>
      <w:r/>
      <w:bookmarkEnd w:id="522"/>
      <w:r/>
      <w:bookmarkEnd w:id="523"/>
      <w:r/>
      <w:r>
        <w:rPr>
          <w:b/>
          <w:sz w:val="28"/>
          <w:szCs w:val="28"/>
        </w:rPr>
      </w:r>
    </w:p>
    <w:p>
      <w:pPr>
        <w:pStyle w:val="12960"/>
        <w:pBdr/>
        <w:spacing/>
        <w:ind/>
        <w:rPr/>
      </w:pPr>
      <w:r>
        <w:t xml:space="preserve">В соответствии с требованиями Федерального Закона Российской Федерации от 27.07.2010 №190-ФЗ (ред. от 01.05.2023) «О теплоснабж</w:t>
      </w:r>
      <w:r>
        <w:t xml:space="preserve">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r/>
    </w:p>
    <w:p>
      <w:pPr>
        <w:pStyle w:val="12960"/>
        <w:pBdr/>
        <w:spacing/>
        <w:ind/>
        <w:rPr/>
      </w:pPr>
      <w:r>
        <w:t xml:space="preserve">В Муниципальном образовании Астаповское, 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r/>
    </w:p>
    <w:p>
      <w:pPr>
        <w:pStyle w:val="10535"/>
        <w:keepNext w:val="true"/>
        <w:widowControl w:val="true"/>
        <w:numPr>
          <w:ilvl w:val="1"/>
          <w:numId w:val="13"/>
        </w:numPr>
        <w:pBdr/>
        <w:bidi w:val="false"/>
        <w:spacing w:after="240" w:before="360" w:line="360" w:lineRule="auto"/>
        <w:ind w:right="0" w:hanging="737" w:left="737"/>
        <w:jc w:val="center"/>
        <w:rPr>
          <w:rFonts w:eastAsia="Calibri" w:cs="Times New Roman"/>
          <w:lang w:bidi="ar-SA"/>
        </w:rPr>
      </w:pPr>
      <w:r/>
      <w:bookmarkStart w:id="524" w:name="_Toc198483555"/>
      <w:r/>
      <w:bookmarkStart w:id="525" w:name="_Toc78674762"/>
      <w:r/>
      <w:bookmarkStart w:id="526" w:name="_Toc84970999"/>
      <w:r/>
      <w:bookmarkStart w:id="527" w:name="_Toc166767215"/>
      <w:r>
        <w:rPr>
          <w:rFonts w:eastAsia="Calibri" w:cs="Times New Roman"/>
          <w:lang w:bidi="ar-SA"/>
        </w:rPr>
        <w:t xml:space="preserve">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24"/>
      <w:r/>
      <w:bookmarkEnd w:id="525"/>
      <w:r/>
      <w:bookmarkEnd w:id="526"/>
      <w:r/>
      <w:bookmarkEnd w:id="527"/>
      <w:r/>
      <w:r>
        <w:rPr>
          <w:rFonts w:eastAsia="Calibri" w:cs="Times New Roman"/>
          <w:lang w:bidi="ar-SA"/>
        </w:rPr>
      </w:r>
    </w:p>
    <w:p>
      <w:pPr>
        <w:pStyle w:val="12960"/>
        <w:pBdr/>
        <w:spacing/>
        <w:ind/>
        <w:rPr/>
      </w:pPr>
      <w:r>
        <w:t xml:space="preserve">Динамика предельных уровней цен на тепловую энергию (мощность), поставляемую потребителям, утверждаемых в ценовых зонах теплоснабжения отсутствует.</w:t>
      </w:r>
      <w:r/>
    </w:p>
    <w:p>
      <w:pPr>
        <w:pStyle w:val="10535"/>
        <w:keepNext w:val="true"/>
        <w:widowControl w:val="true"/>
        <w:numPr>
          <w:ilvl w:val="1"/>
          <w:numId w:val="13"/>
        </w:numPr>
        <w:pBdr/>
        <w:bidi w:val="false"/>
        <w:spacing w:after="240" w:before="360" w:line="360" w:lineRule="auto"/>
        <w:ind w:right="0" w:hanging="737" w:left="737"/>
        <w:jc w:val="center"/>
        <w:rPr>
          <w:rFonts w:eastAsia="Calibri" w:cs="Times New Roman"/>
          <w:lang w:bidi="ar-SA"/>
        </w:rPr>
      </w:pPr>
      <w:r/>
      <w:bookmarkStart w:id="528" w:name="_Toc198483556"/>
      <w:r/>
      <w:bookmarkStart w:id="529" w:name="_Toc166767216"/>
      <w:r/>
      <w:bookmarkStart w:id="530" w:name="_Toc84971000"/>
      <w:r/>
      <w:bookmarkStart w:id="531" w:name="_Toc78674763"/>
      <w:r>
        <w:rPr>
          <w:rFonts w:eastAsia="Calibri" w:cs="Times New Roman"/>
          <w:lang w:bidi="ar-SA"/>
        </w:rPr>
        <w:t xml:space="preserve">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528"/>
      <w:r/>
      <w:bookmarkEnd w:id="529"/>
      <w:r/>
      <w:bookmarkEnd w:id="530"/>
      <w:r/>
      <w:bookmarkEnd w:id="531"/>
      <w:r/>
      <w:r>
        <w:rPr>
          <w:rFonts w:eastAsia="Calibri" w:cs="Times New Roman"/>
          <w:lang w:bidi="ar-SA"/>
        </w:rPr>
      </w:r>
    </w:p>
    <w:p>
      <w:pPr>
        <w:pStyle w:val="12960"/>
        <w:pBdr/>
        <w:spacing/>
        <w:ind/>
        <w:rPr/>
      </w:pPr>
      <w:r>
        <w:t xml:space="preserve">Ценовые зоны теплоснабжения в муниципальном образовании не установлены, предельные уровни цен на тепловую энергию (мощность), поставляемую потребителям муниципального образования, не применяются.</w:t>
      </w:r>
      <w:r/>
    </w:p>
    <w:p>
      <w:pPr>
        <w:pStyle w:val="12960"/>
        <w:pBdr/>
        <w:spacing/>
        <w:ind/>
        <w:rPr/>
      </w:pPr>
      <w:r/>
      <w:r>
        <w:br w:type="page" w:clear="all"/>
      </w:r>
      <w:r/>
    </w:p>
    <w:p>
      <w:pPr>
        <w:pStyle w:val="10534"/>
        <w:numPr>
          <w:ilvl w:val="0"/>
          <w:numId w:val="13"/>
        </w:numPr>
        <w:pBdr/>
        <w:spacing/>
        <w:ind/>
        <w:rPr>
          <w:rFonts w:ascii="Times New Roman" w:hAnsi="Times New Roman" w:eastAsia="Times New Roman" w:cs="Times New Roman"/>
          <w:b/>
          <w:smallCaps/>
          <w:spacing w:val="0"/>
          <w:sz w:val="28"/>
          <w:szCs w:val="36"/>
          <w:lang w:eastAsia="en-US" w:bidi="en-US"/>
        </w:rPr>
      </w:pPr>
      <w:r/>
      <w:bookmarkStart w:id="532" w:name="_Toc197265874"/>
      <w:r/>
      <w:bookmarkStart w:id="533" w:name="_Toc200315936"/>
      <w:r/>
      <w:bookmarkStart w:id="534" w:name="_Toc200316191"/>
      <w:r/>
      <w:bookmarkStart w:id="535" w:name="_Toc200316695"/>
      <w:r/>
      <w:bookmarkStart w:id="536" w:name="_Toc200501035"/>
      <w:r/>
      <w:bookmarkStart w:id="537" w:name="_Toc200501692"/>
      <w:r/>
      <w:bookmarkStart w:id="538" w:name="_Toc200316440"/>
      <w:r>
        <w:rPr>
          <w:rFonts w:eastAsia="Times New Roman" w:cs="Times New Roman"/>
          <w:b/>
          <w:smallCaps/>
          <w:spacing w:val="0"/>
          <w:sz w:val="28"/>
          <w:szCs w:val="36"/>
          <w:lang w:eastAsia="en-US" w:bidi="en-US"/>
        </w:rPr>
        <w:t xml:space="preserve">Экологическая безопасность теплоснабжения</w:t>
      </w:r>
      <w:bookmarkEnd w:id="532"/>
      <w:r/>
      <w:bookmarkEnd w:id="533"/>
      <w:r/>
      <w:bookmarkEnd w:id="534"/>
      <w:r/>
      <w:bookmarkEnd w:id="535"/>
      <w:r/>
      <w:bookmarkEnd w:id="536"/>
      <w:r/>
      <w:bookmarkEnd w:id="537"/>
      <w:r/>
      <w:bookmarkEnd w:id="538"/>
      <w:r/>
      <w:r>
        <w:rPr>
          <w:rFonts w:ascii="Times New Roman" w:hAnsi="Times New Roman" w:eastAsia="Times New Roman" w:cs="Times New Roman"/>
          <w:b/>
          <w:smallCaps/>
          <w:spacing w:val="0"/>
          <w:sz w:val="28"/>
          <w:szCs w:val="36"/>
          <w:lang w:eastAsia="en-US" w:bidi="en-US"/>
        </w:rPr>
      </w:r>
    </w:p>
    <w:p>
      <w:pPr>
        <w:pStyle w:val="12960"/>
        <w:pBdr/>
        <w:spacing/>
        <w:ind/>
        <w:rPr>
          <w:lang w:bidi="en-US"/>
        </w:rPr>
      </w:pPr>
      <w:r>
        <w:rPr>
          <w:lang w:bidi="en-US"/>
        </w:rPr>
        <w:t xml:space="preserve">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w:t>
      </w:r>
      <w:r>
        <w:rPr>
          <w:lang w:bidi="en-US"/>
        </w:rPr>
        <w:t xml:space="preserve">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w:t>
      </w:r>
      <w:r>
        <w:rPr>
          <w:lang w:bidi="en-US"/>
        </w:rPr>
        <w:t xml:space="preserve">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r>
        <w:rPr>
          <w:lang w:bidi="en-US"/>
        </w:rPr>
      </w:r>
    </w:p>
    <w:p>
      <w:pPr>
        <w:pStyle w:val="12960"/>
        <w:pBdr/>
        <w:spacing/>
        <w:ind/>
        <w:rPr>
          <w:lang w:bidi="en-US"/>
        </w:rPr>
      </w:pPr>
      <w:r>
        <w:rPr>
          <w:lang w:bidi="en-US"/>
        </w:rPr>
        <w:t xml:space="preserve">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w:t>
      </w:r>
      <w:r>
        <w:rPr>
          <w:lang w:bidi="en-US"/>
        </w:rPr>
        <w:t xml:space="preserve">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r>
        <w:rPr>
          <w:lang w:bidi="en-US"/>
        </w:rPr>
      </w:r>
    </w:p>
    <w:p>
      <w:pPr>
        <w:pStyle w:val="10535"/>
        <w:keepNext w:val="true"/>
        <w:widowControl w:val="true"/>
        <w:numPr>
          <w:ilvl w:val="1"/>
          <w:numId w:val="13"/>
        </w:numPr>
        <w:pBdr/>
        <w:bidi w:val="false"/>
        <w:spacing w:after="240" w:before="360" w:line="360" w:lineRule="auto"/>
        <w:ind w:right="0" w:hanging="737" w:left="680"/>
        <w:jc w:val="center"/>
        <w:rPr>
          <w:rStyle w:val="10545"/>
          <w:rFonts w:cs="Times New Roman"/>
          <w:b/>
        </w:rPr>
      </w:pPr>
      <w:r/>
      <w:bookmarkStart w:id="539" w:name="_Toc200501693"/>
      <w:r/>
      <w:bookmarkStart w:id="540" w:name="_Toc200501036"/>
      <w:r/>
      <w:bookmarkStart w:id="541" w:name="_Toc200316696"/>
      <w:r/>
      <w:bookmarkStart w:id="542" w:name="_Toc200316441"/>
      <w:r/>
      <w:bookmarkStart w:id="543" w:name="_Toc200316192"/>
      <w:r/>
      <w:bookmarkStart w:id="544" w:name="_Toc200315937"/>
      <w:r/>
      <w:bookmarkStart w:id="545" w:name="_Toc197265875"/>
      <w:r>
        <w:rPr>
          <w:rFonts w:cs="Times New Roman"/>
        </w:rPr>
        <w:t xml:space="preserve">Электронная карта территории муниципального </w:t>
      </w:r>
      <w:r>
        <w:rPr>
          <w:rStyle w:val="10545"/>
          <w:rFonts w:cs="Times New Roman"/>
          <w:b/>
        </w:rPr>
        <w:t xml:space="preserve">образования с размещением на ней всех существующих объектов теплоснабжения</w:t>
      </w:r>
      <w:bookmarkEnd w:id="539"/>
      <w:r/>
      <w:bookmarkEnd w:id="540"/>
      <w:r/>
      <w:bookmarkEnd w:id="541"/>
      <w:r/>
      <w:bookmarkEnd w:id="542"/>
      <w:r/>
      <w:bookmarkEnd w:id="543"/>
      <w:r/>
      <w:bookmarkEnd w:id="544"/>
      <w:r/>
      <w:bookmarkEnd w:id="545"/>
      <w:r/>
      <w:r>
        <w:rPr>
          <w:rStyle w:val="10545"/>
          <w:rFonts w:cs="Times New Roman"/>
          <w:b/>
        </w:rPr>
      </w:r>
    </w:p>
    <w:p>
      <w:pPr>
        <w:pStyle w:val="12960"/>
        <w:pBdr/>
        <w:spacing/>
        <w:ind/>
        <w:rPr>
          <w:color w:val="0000cc"/>
        </w:rPr>
        <w:sectPr>
          <w:headerReference w:type="default" r:id="rId80"/>
          <w:headerReference w:type="first" r:id="rId81"/>
          <w:footerReference w:type="default" r:id="rId348"/>
          <w:footerReference w:type="first" r:id="rId349"/>
          <w:footnotePr/>
          <w:endnotePr/>
          <w:type w:val="nextPage"/>
          <w:pgSz w:h="16838" w:orient="portrait" w:w="11906"/>
          <w:pgMar w:top="1134" w:right="850" w:bottom="1134" w:left="1701" w:header="567" w:footer="454" w:gutter="0"/>
          <w:cols w:num="1" w:sep="0" w:space="1701" w:equalWidth="1"/>
        </w:sectPr>
      </w:pPr>
      <w:r>
        <w:t xml:space="preserve">Карты территории муниципального образования с подведомственной территорией представлены на рисунке</w:t>
      </w:r>
      <w:r>
        <w:rPr>
          <w:color w:val="0000cc"/>
        </w:rPr>
        <w:t xml:space="preserve">.</w:t>
      </w:r>
      <w:r>
        <w:rPr>
          <w:color w:val="0000cc"/>
        </w:rPr>
      </w:r>
    </w:p>
    <w:p>
      <w:pPr>
        <w:pStyle w:val="10533"/>
        <w:pBdr/>
        <w:spacing/>
        <w:ind/>
        <w:jc w:val="center"/>
        <w:rPr>
          <w:iCs/>
          <w:lang w:eastAsia="ar-SA"/>
        </w:rPr>
      </w:pPr>
      <w:r>
        <mc:AlternateContent>
          <mc:Choice Requires="wpg">
            <w:drawing>
              <wp:inline xmlns:wp="http://schemas.openxmlformats.org/drawingml/2006/wordprocessingDrawing" distT="0" distB="0" distL="0" distR="0">
                <wp:extent cx="7448550" cy="5387340"/>
                <wp:effectExtent l="0" t="0" r="0" b="0"/>
                <wp:docPr id="50" name="Изображение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14" descr=""/>
                        <pic:cNvPicPr>
                          <a:picLocks noChangeAspect="1"/>
                        </pic:cNvPicPr>
                        <pic:nvPr/>
                      </pic:nvPicPr>
                      <pic:blipFill rotWithShape="1">
                        <a:blip r:embed="rId623"/>
                        <a:srcRect l="25121" t="7957" r="16093" b="13786"/>
                        <a:stretch/>
                      </pic:blipFill>
                      <pic:spPr bwMode="auto">
                        <a:xfrm>
                          <a:off x="0" y="0"/>
                          <a:ext cx="7448550" cy="538734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1" o:spid="_x0000_s51" type="#_x0000_t75" style="width:586.50pt;height:424.20pt;mso-wrap-distance-left:0.00pt;mso-wrap-distance-top:0.00pt;mso-wrap-distance-right:0.00pt;mso-wrap-distance-bottom:0.00pt;z-index:1;" stroked="false">
                <v:imagedata r:id="rId623" o:title="" croptop="5215f" cropleft="16463f" cropbottom="9035f" cropright="10547f"/>
                <o:lock v:ext="edit" rotation="t"/>
              </v:shape>
            </w:pict>
          </mc:Fallback>
        </mc:AlternateContent>
      </w:r>
      <w:r>
        <w:rPr>
          <w:iCs/>
          <w:lang w:eastAsia="ar-SA"/>
        </w:rPr>
      </w:r>
    </w:p>
    <w:p>
      <w:pPr>
        <w:pStyle w:val="10533"/>
        <w:pBdr/>
        <w:spacing/>
        <w:ind/>
        <w:jc w:val="center"/>
        <w:rPr>
          <w:iCs/>
          <w:lang w:eastAsia="ar-SA"/>
        </w:rPr>
        <w:sectPr>
          <w:headerReference w:type="default" r:id="rId82"/>
          <w:headerReference w:type="first" r:id="rId83"/>
          <w:footerReference w:type="default" r:id="rId350"/>
          <w:footerReference w:type="first" r:id="rId351"/>
          <w:footnotePr/>
          <w:endnotePr/>
          <w:type w:val="nextPage"/>
          <w:pgSz w:h="11906" w:orient="landscape" w:w="16838"/>
          <w:pgMar w:top="1701" w:right="1134" w:bottom="851" w:left="1134" w:header="567" w:footer="454" w:gutter="0"/>
          <w:cols w:num="1" w:sep="0" w:space="1701" w:equalWidth="1"/>
        </w:sectPr>
      </w:pPr>
      <w:r>
        <w:rPr>
          <w:iCs/>
          <w:lang w:eastAsia="ar-SA"/>
        </w:rPr>
        <w:t xml:space="preserve">Рисунок 1.12.1.1. - Карта территории муниципального образования с размещением на ней всех существующих объектов теплоснабжения</w:t>
      </w:r>
      <w:r>
        <w:rPr>
          <w:iCs/>
          <w:lang w:eastAsia="ar-SA"/>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46" w:name="_Toc200316442"/>
      <w:r/>
      <w:bookmarkStart w:id="547" w:name="_Toc197265876"/>
      <w:r/>
      <w:bookmarkStart w:id="548" w:name="_Toc200315938"/>
      <w:r/>
      <w:bookmarkStart w:id="549" w:name="_Toc200316193"/>
      <w:r/>
      <w:bookmarkStart w:id="550" w:name="_Toc200316697"/>
      <w:r/>
      <w:bookmarkStart w:id="551" w:name="_Toc200501037"/>
      <w:r/>
      <w:bookmarkStart w:id="552" w:name="_Toc200501694"/>
      <w:r>
        <w:rPr>
          <w:rStyle w:val="10545"/>
          <w:rFonts w:cs="Times New Roman"/>
          <w:b/>
        </w:rPr>
        <w:t xml:space="preserve">Описание фоновых или сводных расчетов концентраций загрязняющих веществ на терри</w:t>
      </w:r>
      <w:r>
        <w:rPr>
          <w:rFonts w:cs="Times New Roman"/>
        </w:rPr>
        <w:t xml:space="preserve">тории муниципального образования</w:t>
      </w:r>
      <w:bookmarkEnd w:id="546"/>
      <w:r/>
      <w:bookmarkEnd w:id="547"/>
      <w:r/>
      <w:bookmarkEnd w:id="548"/>
      <w:r/>
      <w:bookmarkEnd w:id="549"/>
      <w:r/>
      <w:bookmarkEnd w:id="550"/>
      <w:r/>
      <w:bookmarkEnd w:id="551"/>
      <w:r/>
      <w:bookmarkEnd w:id="552"/>
      <w:r/>
      <w:r>
        <w:rPr>
          <w:rFonts w:cs="Times New Roman"/>
        </w:rPr>
      </w:r>
    </w:p>
    <w:p>
      <w:pPr>
        <w:pStyle w:val="12960"/>
        <w:pBdr/>
        <w:spacing/>
        <w:ind/>
        <w:rPr/>
      </w:pPr>
      <w:r>
        <w:t xml:space="preserve">Оценк</w:t>
      </w:r>
      <w:r>
        <w:t xml:space="preserve">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 атмосферного воздуха и вод суши - являются предел</w:t>
      </w:r>
      <w:r>
        <w:t xml:space="preserve">ьно-допустимые концентрации (ПДК) вредных веществ в названных средах. Нормативы ПДК различных веществ, утвержденные Минздравом России, едины для всего государства. В России установлены ПДК для более 600 различных атмосферных примесей (СанПиН 1.2.3685- 21).</w:t>
      </w:r>
      <w:r/>
    </w:p>
    <w:p>
      <w:pPr>
        <w:pStyle w:val="12960"/>
        <w:pBdr/>
        <w:spacing/>
        <w:ind/>
        <w:rPr/>
      </w:pPr>
      <w:r>
        <w:t xml:space="preserve">Наблюдения за качеством атмосферного воздуха на территории муниципального образования Астаповское с подведомственной территорией не проводятся.</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53" w:name="_Toc200315939"/>
      <w:r/>
      <w:bookmarkStart w:id="554" w:name="_Toc200501038"/>
      <w:r/>
      <w:bookmarkStart w:id="555" w:name="_Toc200316443"/>
      <w:r/>
      <w:bookmarkStart w:id="556" w:name="_Toc200501695"/>
      <w:r/>
      <w:bookmarkStart w:id="557" w:name="_Toc200316698"/>
      <w:r/>
      <w:bookmarkStart w:id="558" w:name="_Toc200316194"/>
      <w:r/>
      <w:bookmarkStart w:id="559" w:name="_Toc197265877"/>
      <w:r>
        <w:rPr>
          <w:rFonts w:cs="Times New Roman"/>
        </w:rPr>
        <w:t xml:space="preserve">Описание </w:t>
      </w:r>
      <w:r>
        <w:rPr>
          <w:rStyle w:val="10545"/>
          <w:rFonts w:cs="Times New Roman"/>
          <w:b/>
        </w:rPr>
        <w:t xml:space="preserve">характеристик и объёмов сжигаемых видов топлив</w:t>
      </w:r>
      <w:r>
        <w:rPr>
          <w:rStyle w:val="10545"/>
          <w:rFonts w:cs="Times New Roman"/>
          <w:b/>
        </w:rPr>
        <w:t xml:space="preserve">а</w:t>
      </w:r>
      <w:r>
        <w:rPr>
          <w:rStyle w:val="10545"/>
          <w:rFonts w:cs="Times New Roman"/>
          <w:b/>
        </w:rPr>
        <w:t xml:space="preserve"> на каждом объекте теплоснабжении</w:t>
      </w:r>
      <w:bookmarkEnd w:id="553"/>
      <w:r/>
      <w:bookmarkEnd w:id="554"/>
      <w:r/>
      <w:bookmarkEnd w:id="555"/>
      <w:r/>
      <w:bookmarkEnd w:id="556"/>
      <w:r/>
      <w:bookmarkEnd w:id="557"/>
      <w:r/>
      <w:bookmarkEnd w:id="558"/>
      <w:r/>
      <w:bookmarkEnd w:id="559"/>
      <w:r/>
      <w:r>
        <w:rPr>
          <w:rFonts w:cs="Times New Roman"/>
        </w:rPr>
      </w:r>
    </w:p>
    <w:p>
      <w:pPr>
        <w:pStyle w:val="12960"/>
        <w:pBdr/>
        <w:spacing/>
        <w:ind/>
        <w:rPr/>
      </w:pPr>
      <w:r>
        <w:t xml:space="preserve">На территории муниципального образования Астаповское функционируют 3 котельных. На котельных основным топливом является природный газ со средней теплотворной способностью 8312 Ккал/кг.</w:t>
      </w:r>
      <w:r/>
    </w:p>
    <w:p>
      <w:pPr>
        <w:pStyle w:val="12960"/>
        <w:pBdr/>
        <w:spacing/>
        <w:ind/>
        <w:rPr>
          <w:b/>
          <w:bCs w:val="0"/>
        </w:rPr>
      </w:pPr>
      <w:r>
        <w:rPr>
          <w:b/>
          <w:bCs w:val="0"/>
        </w:rPr>
        <w:t xml:space="preserve">Таблица 1.12.3.1 – Характеристика </w:t>
      </w:r>
      <w:r>
        <w:rPr>
          <w:b/>
          <w:bCs w:val="0"/>
        </w:rPr>
        <w:t xml:space="preserve">видов </w:t>
      </w:r>
      <w:r>
        <w:rPr>
          <w:b/>
          <w:bCs w:val="0"/>
        </w:rPr>
        <w:t xml:space="preserve">топлив</w:t>
      </w:r>
      <w:r>
        <w:rPr>
          <w:b/>
          <w:bCs w:val="0"/>
        </w:rPr>
        <w:t xml:space="preserve">а</w:t>
      </w:r>
      <w:r>
        <w:rPr>
          <w:b/>
          <w:bCs w:val="0"/>
        </w:rPr>
        <w:t xml:space="preserve">, используем</w:t>
      </w:r>
      <w:r>
        <w:rPr>
          <w:b/>
          <w:bCs w:val="0"/>
        </w:rPr>
        <w:t xml:space="preserve">ого</w:t>
      </w:r>
      <w:r>
        <w:rPr>
          <w:b/>
          <w:bCs w:val="0"/>
        </w:rPr>
        <w:t xml:space="preserve"> на источниках теплоснабжения. </w:t>
      </w:r>
      <w:r>
        <w:rPr>
          <w:b/>
          <w:bCs w:val="0"/>
        </w:rPr>
      </w:r>
    </w:p>
    <w:tbl>
      <w:tblPr>
        <w:tblInd w:w="0" w:type="dxa"/>
        <w:tblW w:w="5000" w:type="pct"/>
        <w:tblCellMar>
          <w:left w:w="40" w:type="dxa"/>
          <w:top w:w="0" w:type="dxa"/>
          <w:right w:w="40" w:type="dxa"/>
          <w:bottom w:w="0" w:type="dxa"/>
        </w:tblCellMar>
        <w:tblBorders/>
        <w:tblLayout w:type="fixed"/>
        <w:tblLook w:val="0000" w:firstRow="0" w:lastRow="0" w:firstColumn="0" w:lastColumn="0" w:noHBand="0" w:noVBand="0"/>
      </w:tblPr>
      <w:tblGrid>
        <w:gridCol w:w="3182"/>
        <w:gridCol w:w="2058"/>
        <w:gridCol w:w="2058"/>
        <w:gridCol w:w="2056"/>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Показатели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Основное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color w:val="000000"/>
                <w:szCs w:val="20"/>
              </w:rPr>
              <w:t xml:space="preserve">Резервное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rPr>
            </w:pPr>
            <w:r>
              <w:rPr>
                <w:rFonts w:cs="Times New Roman"/>
                <w:color w:val="000000"/>
                <w:szCs w:val="20"/>
              </w:rPr>
              <w:t xml:space="preserve">Аварийное топливо</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Вид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szCs w:val="20"/>
              </w:rPr>
              <w:t xml:space="preserve">природный газ</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нет</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нет</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Марка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Поставщик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Способ доставки на котельную</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Откуда осуществляется поставка (место)</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Периодичность поставки</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rPr>
            </w:pPr>
            <w: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tcPr>
          <w:p>
            <w:pPr>
              <w:pStyle w:val="12385"/>
              <w:pBdr/>
              <w:spacing/>
              <w:ind/>
              <w:rPr>
                <w:rFonts w:cs="Times New Roman"/>
                <w:color w:val="000000"/>
                <w:szCs w:val="20"/>
              </w:rPr>
            </w:pPr>
            <w: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tcPr>
          <w:p>
            <w:pPr>
              <w:pStyle w:val="12385"/>
              <w:pBdr/>
              <w:spacing/>
              <w:ind/>
              <w:rPr>
                <w:rFonts w:cs="Times New Roman"/>
                <w:color w:val="000000"/>
                <w:szCs w:val="20"/>
              </w:rPr>
            </w:pPr>
            <w:r>
              <w:t xml:space="preserve">н/д</w:t>
            </w:r>
            <w:r>
              <w:rPr>
                <w:rFonts w:cs="Times New Roman"/>
                <w:color w:val="000000"/>
                <w:szCs w:val="20"/>
              </w:rPr>
            </w:r>
          </w:p>
        </w:tc>
      </w:tr>
    </w:tbl>
    <w:p>
      <w:pPr>
        <w:pBdr/>
        <w:spacing/>
        <w:ind/>
        <w:rPr/>
        <w:sectPr>
          <w:headerReference w:type="default" r:id="rId84"/>
          <w:headerReference w:type="first" r:id="rId85"/>
          <w:footerReference w:type="default" r:id="rId352"/>
          <w:footerReference w:type="first" r:id="rId353"/>
          <w:footnotePr/>
          <w:endnotePr/>
          <w:type w:val="nextPage"/>
          <w:pgSz w:h="16838" w:orient="portrait" w:w="11906"/>
          <w:pgMar w:top="1134" w:right="850" w:bottom="1134" w:left="1701" w:header="567" w:footer="454" w:gutter="0"/>
          <w:cols w:num="1" w:sep="0" w:space="1701" w:equalWidth="1"/>
        </w:sectPr>
      </w:pPr>
      <w:r/>
      <w:r/>
    </w:p>
    <w:p>
      <w:pPr>
        <w:pStyle w:val="12960"/>
        <w:pBdr/>
        <w:spacing/>
        <w:ind/>
        <w:rPr>
          <w:b/>
          <w:bCs w:val="0"/>
        </w:rPr>
      </w:pPr>
      <w:r>
        <w:rPr>
          <w:b/>
          <w:bCs w:val="0"/>
        </w:rPr>
        <w:t xml:space="preserve">Таблица 1.12.3.2 – Расход основного топлива от выработки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266"/>
        <w:gridCol w:w="1705"/>
        <w:gridCol w:w="1678"/>
        <w:gridCol w:w="1393"/>
        <w:gridCol w:w="1244"/>
        <w:gridCol w:w="1373"/>
        <w:gridCol w:w="1396"/>
        <w:gridCol w:w="1119"/>
        <w:gridCol w:w="1394"/>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266"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1705" w:type="dxa"/>
            <w:vAlign w:val="center"/>
          </w:tcPr>
          <w:p>
            <w:pPr>
              <w:pStyle w:val="12385"/>
              <w:pBdr/>
              <w:spacing/>
              <w:ind/>
              <w:rPr/>
            </w:pPr>
            <w:r>
              <w:t xml:space="preserve">Тепловая нагрузка с учетом потерь при транспортировке и СН, Гкал/час</w:t>
            </w:r>
            <w:r/>
          </w:p>
        </w:tc>
        <w:tc>
          <w:tcPr>
            <w:shd w:val="clear" w:color="000000" w:fill="d9d9d9"/>
            <w:tcBorders>
              <w:top w:val="single" w:color="000000" w:sz="4" w:space="0"/>
              <w:bottom w:val="single" w:color="000000" w:sz="4" w:space="0"/>
              <w:right w:val="single" w:color="000000" w:sz="4" w:space="0"/>
            </w:tcBorders>
            <w:tcW w:w="1678" w:type="dxa"/>
            <w:vAlign w:val="center"/>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393" w:type="dxa"/>
            <w:vAlign w:val="center"/>
          </w:tcPr>
          <w:p>
            <w:pPr>
              <w:pStyle w:val="12385"/>
              <w:pBdr/>
              <w:spacing/>
              <w:ind/>
              <w:rPr/>
            </w:pPr>
            <w:r>
              <w:t xml:space="preserve">Объем производства тепловой энергии в год, Гкал</w:t>
            </w:r>
            <w:r/>
          </w:p>
        </w:tc>
        <w:tc>
          <w:tcPr>
            <w:shd w:val="clear" w:color="000000" w:fill="d9d9d9"/>
            <w:tcBorders>
              <w:top w:val="single" w:color="000000" w:sz="4" w:space="0"/>
              <w:bottom w:val="single" w:color="000000" w:sz="4" w:space="0"/>
              <w:right w:val="single" w:color="000000" w:sz="4" w:space="0"/>
            </w:tcBorders>
            <w:tcW w:w="1244" w:type="dxa"/>
            <w:vAlign w:val="center"/>
          </w:tcPr>
          <w:p>
            <w:pPr>
              <w:pStyle w:val="12385"/>
              <w:pBdr/>
              <w:spacing/>
              <w:ind/>
              <w:rPr/>
            </w:pPr>
            <w:r>
              <w:t xml:space="preserve">Основное топливо</w:t>
            </w:r>
            <w:r/>
          </w:p>
        </w:tc>
        <w:tc>
          <w:tcPr>
            <w:shd w:val="clear" w:color="000000" w:fill="d9d9d9"/>
            <w:tcBorders>
              <w:top w:val="single" w:color="000000" w:sz="4" w:space="0"/>
              <w:bottom w:val="single" w:color="000000" w:sz="4" w:space="0"/>
              <w:right w:val="single" w:color="000000" w:sz="4" w:space="0"/>
            </w:tcBorders>
            <w:tcW w:w="1373" w:type="dxa"/>
            <w:vAlign w:val="center"/>
          </w:tcPr>
          <w:p>
            <w:pPr>
              <w:pStyle w:val="12385"/>
              <w:pBdr/>
              <w:spacing/>
              <w:ind/>
              <w:rPr/>
            </w:pPr>
            <w:r>
              <w:t xml:space="preserve">Фактический удельный расход удельного топлива, кг.у.т./Гкал</w:t>
            </w:r>
            <w:r/>
          </w:p>
        </w:tc>
        <w:tc>
          <w:tcPr>
            <w:shd w:val="clear" w:color="000000" w:fill="d9d9d9"/>
            <w:tcBorders>
              <w:top w:val="single" w:color="000000" w:sz="4" w:space="0"/>
              <w:bottom w:val="single" w:color="000000" w:sz="4" w:space="0"/>
              <w:right w:val="single" w:color="000000" w:sz="4" w:space="0"/>
            </w:tcBorders>
            <w:tcW w:w="1396" w:type="dxa"/>
            <w:vAlign w:val="center"/>
          </w:tcPr>
          <w:p>
            <w:pPr>
              <w:pStyle w:val="12385"/>
              <w:pBdr/>
              <w:spacing/>
              <w:ind/>
              <w:rPr/>
            </w:pPr>
            <w:r>
              <w:t xml:space="preserve">Средняя теплотворная способность топлива, ккал/кг</w:t>
            </w:r>
            <w:r/>
          </w:p>
        </w:tc>
        <w:tc>
          <w:tcPr>
            <w:shd w:val="clear" w:color="000000" w:fill="d9d9d9"/>
            <w:tcBorders>
              <w:top w:val="single" w:color="000000" w:sz="4" w:space="0"/>
              <w:bottom w:val="single" w:color="000000" w:sz="4" w:space="0"/>
              <w:right w:val="single" w:color="000000" w:sz="4" w:space="0"/>
            </w:tcBorders>
            <w:tcW w:w="1119" w:type="dxa"/>
            <w:vAlign w:val="center"/>
          </w:tcPr>
          <w:p>
            <w:pPr>
              <w:pStyle w:val="12385"/>
              <w:pBdr/>
              <w:spacing/>
              <w:ind/>
              <w:rPr/>
            </w:pPr>
            <w:r>
              <w:t xml:space="preserve">Годовой расход основного топлива, т.у.т.</w:t>
            </w:r>
            <w:r/>
          </w:p>
        </w:tc>
        <w:tc>
          <w:tcPr>
            <w:shd w:val="clear" w:color="000000" w:fill="d9d9d9"/>
            <w:tcBorders>
              <w:top w:val="single" w:color="000000" w:sz="4" w:space="0"/>
              <w:bottom w:val="single" w:color="000000" w:sz="4" w:space="0"/>
              <w:right w:val="single" w:color="000000" w:sz="4" w:space="0"/>
            </w:tcBorders>
            <w:tcW w:w="1394" w:type="dxa"/>
            <w:vAlign w:val="center"/>
          </w:tcPr>
          <w:p>
            <w:pPr>
              <w:pStyle w:val="12385"/>
              <w:pBdr/>
              <w:spacing/>
              <w:ind/>
              <w:rPr>
                <w:color w:val="000000"/>
              </w:rPr>
            </w:pPr>
            <w:r>
              <w:rPr>
                <w:color w:val="000000"/>
              </w:rPr>
              <w:t xml:space="preserve">Годовой расход натурального топлива, т (тыс. м</w:t>
            </w:r>
            <w:r>
              <w:rPr>
                <w:color w:val="000000"/>
                <w:vertAlign w:val="superscript"/>
              </w:rPr>
              <w:t xml:space="preserve">3</w:t>
            </w:r>
            <w:r>
              <w:rPr>
                <w:color w:val="000000"/>
              </w:rPr>
              <w:t xml:space="preserve">, тыс. кВт*ч)</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3266"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1705" w:type="dxa"/>
            <w:vAlign w:val="center"/>
          </w:tcPr>
          <w:p>
            <w:pPr>
              <w:pStyle w:val="12385"/>
              <w:pBdr/>
              <w:spacing/>
              <w:ind/>
              <w:rPr/>
            </w:pPr>
            <w:r/>
            <w:r/>
          </w:p>
        </w:tc>
        <w:tc>
          <w:tcPr>
            <w:shd w:val="clear" w:color="000000" w:fill="ffffff"/>
            <w:tcBorders>
              <w:bottom w:val="single" w:color="000000" w:sz="4" w:space="0"/>
              <w:right w:val="single" w:color="000000" w:sz="4" w:space="0"/>
            </w:tcBorders>
            <w:tcW w:w="1678" w:type="dxa"/>
            <w:vAlign w:val="center"/>
          </w:tcPr>
          <w:p>
            <w:pPr>
              <w:pStyle w:val="12385"/>
              <w:pBdr/>
              <w:spacing/>
              <w:ind/>
              <w:rPr/>
            </w:pPr>
            <w:r/>
            <w:r/>
          </w:p>
        </w:tc>
        <w:tc>
          <w:tcPr>
            <w:shd w:val="clear" w:color="000000" w:fill="ffffff"/>
            <w:tcBorders>
              <w:bottom w:val="single" w:color="000000" w:sz="4" w:space="0"/>
              <w:right w:val="single" w:color="000000" w:sz="4" w:space="0"/>
            </w:tcBorders>
            <w:tcW w:w="1393" w:type="dxa"/>
            <w:vAlign w:val="center"/>
          </w:tcPr>
          <w:p>
            <w:pPr>
              <w:pStyle w:val="12385"/>
              <w:pBdr/>
              <w:spacing/>
              <w:ind/>
              <w:rPr/>
            </w:pPr>
            <w:r/>
            <w:r/>
          </w:p>
        </w:tc>
        <w:tc>
          <w:tcPr>
            <w:shd w:val="clear" w:color="000000" w:fill="ffffff"/>
            <w:tcBorders>
              <w:bottom w:val="single" w:color="000000" w:sz="4" w:space="0"/>
              <w:right w:val="single" w:color="000000" w:sz="4" w:space="0"/>
            </w:tcBorders>
            <w:tcW w:w="1244"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373" w:type="dxa"/>
            <w:vAlign w:val="center"/>
          </w:tcPr>
          <w:p>
            <w:pPr>
              <w:pStyle w:val="12385"/>
              <w:pBdr/>
              <w:spacing/>
              <w:ind/>
              <w:rPr/>
            </w:pPr>
            <w:r/>
            <w:r/>
          </w:p>
        </w:tc>
        <w:tc>
          <w:tcPr>
            <w:shd w:val="clear" w:color="000000" w:fill="ffffff"/>
            <w:tcBorders>
              <w:bottom w:val="single" w:color="000000" w:sz="4" w:space="0"/>
              <w:right w:val="single" w:color="000000" w:sz="4" w:space="0"/>
            </w:tcBorders>
            <w:tcW w:w="1396" w:type="dxa"/>
            <w:vAlign w:val="center"/>
          </w:tcPr>
          <w:p>
            <w:pPr>
              <w:pStyle w:val="12385"/>
              <w:pBdr/>
              <w:spacing/>
              <w:ind/>
              <w:rPr/>
            </w:pPr>
            <w:r/>
            <w:r/>
          </w:p>
        </w:tc>
        <w:tc>
          <w:tcPr>
            <w:shd w:val="clear" w:color="000000" w:fill="ffffff"/>
            <w:tcBorders>
              <w:right w:val="single" w:color="000000" w:sz="4" w:space="0"/>
            </w:tcBorders>
            <w:tcW w:w="1119" w:type="dxa"/>
            <w:vAlign w:val="center"/>
          </w:tcPr>
          <w:p>
            <w:pPr>
              <w:pStyle w:val="12385"/>
              <w:pBdr/>
              <w:spacing/>
              <w:ind/>
              <w:rPr/>
            </w:pPr>
            <w:r/>
            <w:r/>
          </w:p>
        </w:tc>
        <w:tc>
          <w:tcPr>
            <w:shd w:val="clear" w:color="000000" w:fill="ffffff"/>
            <w:tcBorders>
              <w:bottom w:val="single" w:color="000000" w:sz="4" w:space="0"/>
              <w:right w:val="single" w:color="000000" w:sz="4" w:space="0"/>
            </w:tcBorders>
            <w:tcW w:w="1394"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266" w:type="dxa"/>
            <w:vAlign w:val="center"/>
          </w:tcPr>
          <w:p>
            <w:pPr>
              <w:pStyle w:val="12385"/>
              <w:pBdr/>
              <w:spacing/>
              <w:ind/>
              <w:rPr/>
            </w:pPr>
            <w:r>
              <w:rPr>
                <w:szCs w:val="20"/>
              </w:rPr>
              <w:t xml:space="preserve">Котельная №5 д. Ясенки</w:t>
            </w:r>
            <w:r/>
          </w:p>
        </w:tc>
        <w:tc>
          <w:tcPr>
            <w:shd w:val="clear" w:color="000000" w:fill="ffffff"/>
            <w:tcBorders>
              <w:bottom w:val="single" w:color="000000" w:sz="4" w:space="0"/>
              <w:right w:val="single" w:color="000000" w:sz="4" w:space="0"/>
            </w:tcBorders>
            <w:tcW w:w="1705" w:type="dxa"/>
            <w:vAlign w:val="center"/>
          </w:tcPr>
          <w:p>
            <w:pPr>
              <w:pStyle w:val="12385"/>
              <w:pBdr/>
              <w:spacing/>
              <w:ind/>
              <w:rPr/>
            </w:pPr>
            <w:r>
              <w:rPr>
                <w:szCs w:val="20"/>
              </w:rPr>
              <w:t xml:space="preserve">0,055</w:t>
            </w:r>
            <w:r/>
          </w:p>
        </w:tc>
        <w:tc>
          <w:tcPr>
            <w:shd w:val="clear" w:color="000000" w:fill="ffffff"/>
            <w:tcBorders>
              <w:bottom w:val="single" w:color="000000" w:sz="4" w:space="0"/>
              <w:right w:val="single" w:color="000000" w:sz="4" w:space="0"/>
            </w:tcBorders>
            <w:tcW w:w="1678" w:type="dxa"/>
            <w:vAlign w:val="center"/>
          </w:tcPr>
          <w:p>
            <w:pPr>
              <w:pStyle w:val="12385"/>
              <w:pBdr/>
              <w:spacing/>
              <w:ind/>
              <w:rPr/>
            </w:pPr>
            <w:r>
              <w:rPr>
                <w:szCs w:val="20"/>
              </w:rPr>
              <w:t xml:space="preserve">0,050</w:t>
            </w:r>
            <w:r/>
          </w:p>
        </w:tc>
        <w:tc>
          <w:tcPr>
            <w:shd w:val="clear" w:color="000000" w:fill="ffffff"/>
            <w:tcBorders>
              <w:bottom w:val="single" w:color="000000" w:sz="4" w:space="0"/>
              <w:right w:val="single" w:color="000000" w:sz="4" w:space="0"/>
            </w:tcBorders>
            <w:tcW w:w="1393" w:type="dxa"/>
            <w:vAlign w:val="center"/>
          </w:tcPr>
          <w:p>
            <w:pPr>
              <w:pStyle w:val="12385"/>
              <w:pBdr/>
              <w:spacing/>
              <w:ind/>
              <w:rPr/>
            </w:pPr>
            <w:r>
              <w:rPr>
                <w:szCs w:val="20"/>
              </w:rPr>
              <w:t xml:space="preserve">118,577</w:t>
            </w:r>
            <w:r/>
          </w:p>
        </w:tc>
        <w:tc>
          <w:tcPr>
            <w:tcBorders>
              <w:bottom w:val="single" w:color="000000" w:sz="4" w:space="0"/>
              <w:right w:val="single" w:color="000000" w:sz="4" w:space="0"/>
            </w:tcBorders>
            <w:tcW w:w="1244" w:type="dxa"/>
            <w:vAlign w:val="center"/>
          </w:tcPr>
          <w:p>
            <w:pPr>
              <w:pStyle w:val="12385"/>
              <w:pBdr/>
              <w:spacing/>
              <w:ind/>
              <w:rPr/>
            </w:pPr>
            <w:r>
              <w:rPr>
                <w:szCs w:val="20"/>
              </w:rPr>
              <w:t xml:space="preserve">Природный газ</w:t>
            </w:r>
            <w:r/>
          </w:p>
        </w:tc>
        <w:tc>
          <w:tcPr>
            <w:tcBorders>
              <w:bottom w:val="single" w:color="000000" w:sz="4" w:space="0"/>
              <w:right w:val="single" w:color="000000" w:sz="4" w:space="0"/>
            </w:tcBorders>
            <w:tcW w:w="1373" w:type="dxa"/>
            <w:vAlign w:val="center"/>
          </w:tcPr>
          <w:p>
            <w:pPr>
              <w:pStyle w:val="12385"/>
              <w:pBdr/>
              <w:spacing/>
              <w:ind/>
              <w:rPr/>
            </w:pPr>
            <w:r>
              <w:rPr>
                <w:szCs w:val="20"/>
              </w:rPr>
              <w:t xml:space="preserve">112,42</w:t>
            </w:r>
            <w:r/>
          </w:p>
        </w:tc>
        <w:tc>
          <w:tcPr>
            <w:tcBorders>
              <w:bottom w:val="single" w:color="000000" w:sz="4" w:space="0"/>
              <w:right w:val="single" w:color="000000" w:sz="4" w:space="0"/>
            </w:tcBorders>
            <w:tcW w:w="1396" w:type="dxa"/>
            <w:vAlign w:val="center"/>
          </w:tcPr>
          <w:p>
            <w:pPr>
              <w:pStyle w:val="12385"/>
              <w:pBdr/>
              <w:spacing/>
              <w:ind/>
              <w:rPr/>
            </w:pPr>
            <w:r>
              <w:t xml:space="preserve">8312</w:t>
            </w:r>
            <w:r/>
          </w:p>
        </w:tc>
        <w:tc>
          <w:tcPr>
            <w:tcBorders>
              <w:top w:val="single" w:color="000000" w:sz="4" w:space="0"/>
              <w:bottom w:val="single" w:color="000000" w:sz="4" w:space="0"/>
              <w:right w:val="single" w:color="000000" w:sz="4" w:space="0"/>
            </w:tcBorders>
            <w:tcW w:w="1119" w:type="dxa"/>
            <w:vAlign w:val="center"/>
          </w:tcPr>
          <w:p>
            <w:pPr>
              <w:pStyle w:val="12385"/>
              <w:pBdr/>
              <w:spacing/>
              <w:ind/>
              <w:rPr/>
            </w:pPr>
            <w:r>
              <w:rPr>
                <w:szCs w:val="20"/>
              </w:rPr>
              <w:t xml:space="preserve">13,32995</w:t>
            </w:r>
            <w:r/>
          </w:p>
        </w:tc>
        <w:tc>
          <w:tcPr>
            <w:tcBorders>
              <w:bottom w:val="single" w:color="000000" w:sz="4" w:space="0"/>
              <w:right w:val="single" w:color="000000" w:sz="4" w:space="0"/>
            </w:tcBorders>
            <w:tcW w:w="1394" w:type="dxa"/>
            <w:vAlign w:val="center"/>
          </w:tcPr>
          <w:p>
            <w:pPr>
              <w:pStyle w:val="12385"/>
              <w:pBdr/>
              <w:spacing/>
              <w:ind/>
              <w:rPr/>
            </w:pPr>
            <w:r>
              <w:rPr>
                <w:szCs w:val="20"/>
              </w:rPr>
              <w:t xml:space="preserve">11,23100</w:t>
            </w:r>
            <w:r/>
          </w:p>
        </w:tc>
      </w:tr>
      <w:tr>
        <w:trPr>
          <w:trHeight w:val="20"/>
        </w:trPr>
        <w:tc>
          <w:tcPr>
            <w:shd w:val="clear" w:color="000000" w:fill="ffffff"/>
            <w:tcBorders>
              <w:left w:val="single" w:color="000000" w:sz="4" w:space="0"/>
              <w:bottom w:val="single" w:color="000000" w:sz="4" w:space="0"/>
              <w:right w:val="single" w:color="000000" w:sz="4" w:space="0"/>
            </w:tcBorders>
            <w:tcW w:w="3266" w:type="dxa"/>
            <w:vAlign w:val="center"/>
          </w:tcPr>
          <w:p>
            <w:pPr>
              <w:pStyle w:val="12385"/>
              <w:pBdr/>
              <w:spacing/>
              <w:ind/>
              <w:rPr/>
            </w:pPr>
            <w:r>
              <w:rPr>
                <w:szCs w:val="20"/>
              </w:rPr>
              <w:t xml:space="preserve">Котельная №6 п. Первомайский</w:t>
            </w:r>
            <w:r/>
          </w:p>
        </w:tc>
        <w:tc>
          <w:tcPr>
            <w:shd w:val="clear" w:color="000000" w:fill="ffffff"/>
            <w:tcBorders>
              <w:bottom w:val="single" w:color="000000" w:sz="4" w:space="0"/>
              <w:right w:val="single" w:color="000000" w:sz="4" w:space="0"/>
            </w:tcBorders>
            <w:tcW w:w="1705" w:type="dxa"/>
            <w:vAlign w:val="center"/>
          </w:tcPr>
          <w:p>
            <w:pPr>
              <w:pStyle w:val="12385"/>
              <w:pBdr/>
              <w:spacing/>
              <w:ind/>
              <w:rPr/>
            </w:pPr>
            <w:r>
              <w:rPr>
                <w:szCs w:val="20"/>
              </w:rPr>
              <w:t xml:space="preserve">0,131</w:t>
            </w:r>
            <w:r/>
          </w:p>
        </w:tc>
        <w:tc>
          <w:tcPr>
            <w:shd w:val="clear" w:color="000000" w:fill="ffffff"/>
            <w:tcBorders>
              <w:bottom w:val="single" w:color="000000" w:sz="4" w:space="0"/>
              <w:right w:val="single" w:color="000000" w:sz="4" w:space="0"/>
            </w:tcBorders>
            <w:tcW w:w="1678" w:type="dxa"/>
            <w:vAlign w:val="center"/>
          </w:tcPr>
          <w:p>
            <w:pPr>
              <w:pStyle w:val="12385"/>
              <w:pBdr/>
              <w:spacing/>
              <w:ind/>
              <w:rPr/>
            </w:pPr>
            <w:r>
              <w:rPr>
                <w:szCs w:val="20"/>
              </w:rPr>
              <w:t xml:space="preserve">0,120</w:t>
            </w:r>
            <w:r/>
          </w:p>
        </w:tc>
        <w:tc>
          <w:tcPr>
            <w:shd w:val="clear" w:color="000000" w:fill="ffffff"/>
            <w:tcBorders>
              <w:bottom w:val="single" w:color="000000" w:sz="4" w:space="0"/>
              <w:right w:val="single" w:color="000000" w:sz="4" w:space="0"/>
            </w:tcBorders>
            <w:tcW w:w="1393" w:type="dxa"/>
            <w:vAlign w:val="center"/>
          </w:tcPr>
          <w:p>
            <w:pPr>
              <w:pStyle w:val="12385"/>
              <w:pBdr/>
              <w:spacing/>
              <w:ind/>
              <w:rPr/>
            </w:pPr>
            <w:r>
              <w:rPr>
                <w:szCs w:val="20"/>
              </w:rPr>
              <w:t xml:space="preserve">316,156</w:t>
            </w:r>
            <w:r/>
          </w:p>
        </w:tc>
        <w:tc>
          <w:tcPr>
            <w:tcBorders>
              <w:bottom w:val="single" w:color="000000" w:sz="4" w:space="0"/>
              <w:right w:val="single" w:color="000000" w:sz="4" w:space="0"/>
            </w:tcBorders>
            <w:tcW w:w="1244" w:type="dxa"/>
            <w:vAlign w:val="center"/>
          </w:tcPr>
          <w:p>
            <w:pPr>
              <w:pStyle w:val="12385"/>
              <w:pBdr/>
              <w:spacing/>
              <w:ind/>
              <w:rPr/>
            </w:pPr>
            <w:r>
              <w:rPr>
                <w:szCs w:val="20"/>
              </w:rPr>
              <w:t xml:space="preserve">Природный газ</w:t>
            </w:r>
            <w:r/>
          </w:p>
        </w:tc>
        <w:tc>
          <w:tcPr>
            <w:tcBorders>
              <w:bottom w:val="single" w:color="000000" w:sz="4" w:space="0"/>
              <w:right w:val="single" w:color="000000" w:sz="4" w:space="0"/>
            </w:tcBorders>
            <w:tcW w:w="1373" w:type="dxa"/>
            <w:vAlign w:val="center"/>
          </w:tcPr>
          <w:p>
            <w:pPr>
              <w:pStyle w:val="12385"/>
              <w:pBdr/>
              <w:spacing/>
              <w:ind/>
              <w:rPr/>
            </w:pPr>
            <w:r>
              <w:rPr>
                <w:szCs w:val="20"/>
              </w:rPr>
              <w:t xml:space="preserve">139,53</w:t>
            </w:r>
            <w:r/>
          </w:p>
        </w:tc>
        <w:tc>
          <w:tcPr>
            <w:tcBorders>
              <w:bottom w:val="single" w:color="000000" w:sz="4" w:space="0"/>
              <w:right w:val="single" w:color="000000" w:sz="4" w:space="0"/>
            </w:tcBorders>
            <w:tcW w:w="1396" w:type="dxa"/>
            <w:vAlign w:val="center"/>
          </w:tcPr>
          <w:p>
            <w:pPr>
              <w:pStyle w:val="12385"/>
              <w:pBdr/>
              <w:spacing/>
              <w:ind/>
              <w:rPr/>
            </w:pPr>
            <w:r>
              <w:t xml:space="preserve">8312</w:t>
            </w:r>
            <w:r/>
          </w:p>
        </w:tc>
        <w:tc>
          <w:tcPr>
            <w:tcBorders>
              <w:bottom w:val="single" w:color="000000" w:sz="4" w:space="0"/>
              <w:right w:val="single" w:color="000000" w:sz="4" w:space="0"/>
            </w:tcBorders>
            <w:tcW w:w="1119" w:type="dxa"/>
            <w:vAlign w:val="center"/>
          </w:tcPr>
          <w:p>
            <w:pPr>
              <w:pStyle w:val="12385"/>
              <w:pBdr/>
              <w:spacing/>
              <w:ind/>
              <w:rPr/>
            </w:pPr>
            <w:r>
              <w:rPr>
                <w:szCs w:val="20"/>
              </w:rPr>
              <w:t xml:space="preserve">44,11332</w:t>
            </w:r>
            <w:r/>
          </w:p>
        </w:tc>
        <w:tc>
          <w:tcPr>
            <w:tcBorders>
              <w:bottom w:val="single" w:color="000000" w:sz="4" w:space="0"/>
              <w:right w:val="single" w:color="000000" w:sz="4" w:space="0"/>
            </w:tcBorders>
            <w:tcW w:w="1394" w:type="dxa"/>
            <w:vAlign w:val="center"/>
          </w:tcPr>
          <w:p>
            <w:pPr>
              <w:pStyle w:val="12385"/>
              <w:pBdr/>
              <w:spacing/>
              <w:ind/>
              <w:rPr/>
            </w:pPr>
            <w:r>
              <w:rPr>
                <w:szCs w:val="20"/>
              </w:rPr>
              <w:t xml:space="preserve">37,17200</w:t>
            </w:r>
            <w:r/>
          </w:p>
        </w:tc>
      </w:tr>
      <w:tr>
        <w:trPr>
          <w:trHeight w:val="20"/>
        </w:trPr>
        <w:tc>
          <w:tcPr>
            <w:shd w:val="clear" w:color="000000" w:fill="ffffff"/>
            <w:tcBorders>
              <w:left w:val="single" w:color="000000" w:sz="4" w:space="0"/>
              <w:bottom w:val="single" w:color="000000" w:sz="4" w:space="0"/>
              <w:right w:val="single" w:color="000000" w:sz="4" w:space="0"/>
            </w:tcBorders>
            <w:tcW w:w="3266" w:type="dxa"/>
            <w:vAlign w:val="center"/>
          </w:tcPr>
          <w:p>
            <w:pPr>
              <w:pStyle w:val="12385"/>
              <w:pBdr/>
              <w:spacing/>
              <w:ind/>
              <w:rPr/>
            </w:pPr>
            <w:r>
              <w:rPr>
                <w:szCs w:val="20"/>
              </w:rPr>
              <w:t xml:space="preserve">Котельная №7 с. Белый Колодезь</w:t>
            </w:r>
            <w:r/>
          </w:p>
        </w:tc>
        <w:tc>
          <w:tcPr>
            <w:shd w:val="clear" w:color="000000" w:fill="ffffff"/>
            <w:tcBorders>
              <w:bottom w:val="single" w:color="000000" w:sz="4" w:space="0"/>
              <w:right w:val="single" w:color="000000" w:sz="4" w:space="0"/>
            </w:tcBorders>
            <w:tcW w:w="1705" w:type="dxa"/>
            <w:vAlign w:val="center"/>
          </w:tcPr>
          <w:p>
            <w:pPr>
              <w:pStyle w:val="12385"/>
              <w:pBdr/>
              <w:spacing/>
              <w:ind/>
              <w:rPr/>
            </w:pPr>
            <w:r>
              <w:rPr>
                <w:szCs w:val="20"/>
              </w:rPr>
              <w:t xml:space="preserve">0,074</w:t>
            </w:r>
            <w:r/>
          </w:p>
        </w:tc>
        <w:tc>
          <w:tcPr>
            <w:shd w:val="clear" w:color="000000" w:fill="ffffff"/>
            <w:tcBorders>
              <w:bottom w:val="single" w:color="000000" w:sz="4" w:space="0"/>
              <w:right w:val="single" w:color="000000" w:sz="4" w:space="0"/>
            </w:tcBorders>
            <w:tcW w:w="1678" w:type="dxa"/>
            <w:vAlign w:val="center"/>
          </w:tcPr>
          <w:p>
            <w:pPr>
              <w:pStyle w:val="12385"/>
              <w:pBdr/>
              <w:spacing/>
              <w:ind/>
              <w:rPr/>
            </w:pPr>
            <w:r>
              <w:rPr>
                <w:szCs w:val="20"/>
              </w:rPr>
              <w:t xml:space="preserve">0,070</w:t>
            </w:r>
            <w:r/>
          </w:p>
        </w:tc>
        <w:tc>
          <w:tcPr>
            <w:shd w:val="clear" w:color="000000" w:fill="ffffff"/>
            <w:tcBorders>
              <w:bottom w:val="single" w:color="000000" w:sz="4" w:space="0"/>
              <w:right w:val="single" w:color="000000" w:sz="4" w:space="0"/>
            </w:tcBorders>
            <w:tcW w:w="1393" w:type="dxa"/>
            <w:vAlign w:val="center"/>
          </w:tcPr>
          <w:p>
            <w:pPr>
              <w:pStyle w:val="12385"/>
              <w:pBdr/>
              <w:spacing/>
              <w:ind/>
              <w:rPr/>
            </w:pPr>
            <w:r>
              <w:rPr>
                <w:szCs w:val="20"/>
              </w:rPr>
              <w:t xml:space="preserve">159,960</w:t>
            </w:r>
            <w:r/>
          </w:p>
        </w:tc>
        <w:tc>
          <w:tcPr>
            <w:tcBorders>
              <w:bottom w:val="single" w:color="000000" w:sz="4" w:space="0"/>
              <w:right w:val="single" w:color="000000" w:sz="4" w:space="0"/>
            </w:tcBorders>
            <w:tcW w:w="1244" w:type="dxa"/>
            <w:vAlign w:val="center"/>
          </w:tcPr>
          <w:p>
            <w:pPr>
              <w:pStyle w:val="12385"/>
              <w:pBdr/>
              <w:spacing/>
              <w:ind/>
              <w:rPr/>
            </w:pPr>
            <w:r>
              <w:rPr>
                <w:szCs w:val="20"/>
              </w:rPr>
              <w:t xml:space="preserve">Природный газ</w:t>
            </w:r>
            <w:r/>
          </w:p>
        </w:tc>
        <w:tc>
          <w:tcPr>
            <w:tcBorders>
              <w:bottom w:val="single" w:color="000000" w:sz="4" w:space="0"/>
              <w:right w:val="single" w:color="000000" w:sz="4" w:space="0"/>
            </w:tcBorders>
            <w:tcW w:w="1373" w:type="dxa"/>
            <w:vAlign w:val="center"/>
          </w:tcPr>
          <w:p>
            <w:pPr>
              <w:pStyle w:val="12385"/>
              <w:pBdr/>
              <w:spacing/>
              <w:ind/>
              <w:rPr/>
            </w:pPr>
            <w:r>
              <w:rPr>
                <w:szCs w:val="20"/>
              </w:rPr>
              <w:t xml:space="preserve">153,52</w:t>
            </w:r>
            <w:r/>
          </w:p>
        </w:tc>
        <w:tc>
          <w:tcPr>
            <w:tcBorders>
              <w:bottom w:val="single" w:color="000000" w:sz="4" w:space="0"/>
              <w:right w:val="single" w:color="000000" w:sz="4" w:space="0"/>
            </w:tcBorders>
            <w:tcW w:w="1396" w:type="dxa"/>
            <w:vAlign w:val="center"/>
          </w:tcPr>
          <w:p>
            <w:pPr>
              <w:pStyle w:val="12385"/>
              <w:pBdr/>
              <w:spacing/>
              <w:ind/>
              <w:rPr/>
            </w:pPr>
            <w:r>
              <w:t xml:space="preserve">8312</w:t>
            </w:r>
            <w:r/>
          </w:p>
        </w:tc>
        <w:tc>
          <w:tcPr>
            <w:tcBorders>
              <w:bottom w:val="single" w:color="000000" w:sz="4" w:space="0"/>
              <w:right w:val="single" w:color="000000" w:sz="4" w:space="0"/>
            </w:tcBorders>
            <w:tcW w:w="1119" w:type="dxa"/>
            <w:vAlign w:val="center"/>
          </w:tcPr>
          <w:p>
            <w:pPr>
              <w:pStyle w:val="12385"/>
              <w:pBdr/>
              <w:spacing/>
              <w:ind/>
              <w:rPr/>
            </w:pPr>
            <w:r>
              <w:rPr>
                <w:szCs w:val="20"/>
              </w:rPr>
              <w:t xml:space="preserve">24,55639</w:t>
            </w:r>
            <w:r/>
          </w:p>
        </w:tc>
        <w:tc>
          <w:tcPr>
            <w:tcBorders>
              <w:bottom w:val="single" w:color="000000" w:sz="4" w:space="0"/>
              <w:right w:val="single" w:color="000000" w:sz="4" w:space="0"/>
            </w:tcBorders>
            <w:tcW w:w="1394" w:type="dxa"/>
            <w:vAlign w:val="center"/>
          </w:tcPr>
          <w:p>
            <w:pPr>
              <w:pStyle w:val="12385"/>
              <w:pBdr/>
              <w:spacing/>
              <w:ind/>
              <w:rPr/>
            </w:pPr>
            <w:r>
              <w:rPr>
                <w:szCs w:val="20"/>
              </w:rPr>
              <w:t xml:space="preserve">20,68800</w:t>
            </w:r>
            <w:r/>
          </w:p>
        </w:tc>
      </w:tr>
    </w:tbl>
    <w:p>
      <w:pPr>
        <w:pBdr/>
        <w:spacing/>
        <w:ind/>
        <w:rPr/>
        <w:sectPr>
          <w:headerReference w:type="default" r:id="rId86"/>
          <w:headerReference w:type="first" r:id="rId87"/>
          <w:footerReference w:type="default" r:id="rId354"/>
          <w:footerReference w:type="first" r:id="rId355"/>
          <w:footnotePr/>
          <w:endnotePr/>
          <w:type w:val="nextPage"/>
          <w:pgSz w:h="11906" w:orient="landscape" w:w="16838"/>
          <w:pgMar w:top="1701" w:right="1134" w:bottom="851" w:left="1134" w:header="567" w:footer="454" w:gutter="0"/>
          <w:cols w:num="1" w:sep="0" w:space="1701" w:equalWidth="1"/>
        </w:sectPr>
      </w:pPr>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60" w:name="_Toc200501696"/>
      <w:r/>
      <w:bookmarkStart w:id="561" w:name="_Toc197265878"/>
      <w:r/>
      <w:bookmarkStart w:id="562" w:name="_Toc200315940"/>
      <w:r/>
      <w:bookmarkStart w:id="563" w:name="_Toc200316195"/>
      <w:r/>
      <w:bookmarkStart w:id="564" w:name="_Toc200316699"/>
      <w:r/>
      <w:bookmarkStart w:id="565" w:name="_Toc200501039"/>
      <w:r/>
      <w:bookmarkStart w:id="566" w:name="_Toc200316444"/>
      <w:r>
        <w:rPr>
          <w:rFonts w:cs="Times New Roman"/>
        </w:rPr>
        <w:t xml:space="preserve">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560"/>
      <w:r/>
      <w:bookmarkEnd w:id="561"/>
      <w:r/>
      <w:bookmarkEnd w:id="562"/>
      <w:r/>
      <w:bookmarkEnd w:id="563"/>
      <w:r/>
      <w:bookmarkEnd w:id="564"/>
      <w:r/>
      <w:bookmarkEnd w:id="565"/>
      <w:r/>
      <w:bookmarkEnd w:id="566"/>
      <w:r/>
      <w:r>
        <w:rPr>
          <w:rFonts w:cs="Times New Roman"/>
        </w:rPr>
      </w:r>
    </w:p>
    <w:p>
      <w:pPr>
        <w:pStyle w:val="12960"/>
        <w:pBdr/>
        <w:spacing/>
        <w:ind/>
        <w:rPr>
          <w:lang w:bidi="en-US"/>
        </w:rPr>
        <w:sectPr>
          <w:headerReference w:type="default" r:id="rId88"/>
          <w:headerReference w:type="first" r:id="rId89"/>
          <w:footerReference w:type="default" r:id="rId356"/>
          <w:footerReference w:type="first" r:id="rId357"/>
          <w:footnotePr/>
          <w:endnotePr/>
          <w:type w:val="nextPage"/>
          <w:pgSz w:h="16838" w:orient="portrait" w:w="11906"/>
          <w:pgMar w:top="1134" w:right="850" w:bottom="1134" w:left="1701" w:header="567" w:footer="454" w:gutter="0"/>
          <w:cols w:num="1" w:sep="0" w:space="1701" w:equalWidth="1"/>
        </w:sectPr>
      </w:pPr>
      <w:r>
        <w:rPr>
          <w:lang w:bidi="en-US"/>
        </w:rPr>
        <w:t xml:space="preserve">Технические характеристики котлоагрегатов источников теплоснабжения с добавлением описания технических характеристик дымовых труб и устройств очистки продуктов сгорания от вредных выбросов приведены в таблицах.</w:t>
      </w:r>
      <w:r>
        <w:rPr>
          <w:lang w:bidi="en-US"/>
        </w:rPr>
      </w:r>
    </w:p>
    <w:p>
      <w:pPr>
        <w:pStyle w:val="12960"/>
        <w:pBdr/>
        <w:spacing/>
        <w:ind/>
        <w:rPr>
          <w:b/>
          <w:bCs w:val="0"/>
        </w:rPr>
      </w:pPr>
      <w:r>
        <w:rPr>
          <w:b/>
          <w:bCs w:val="0"/>
        </w:rPr>
        <w:t xml:space="preserve">Таблица 1.12.4.1 – Состав и технические характеристики основного оборудования котельных</w:t>
      </w:r>
      <w:r>
        <w:rPr>
          <w:b/>
          <w:bCs w:val="0"/>
        </w:rPr>
      </w:r>
    </w:p>
    <w:tbl>
      <w:tblPr>
        <w:jc w:val="center"/>
        <w:tblInd w:w="0" w:type="dxa"/>
        <w:tblW w:w="5000" w:type="pct"/>
        <w:tblCellMar>
          <w:left w:w="28" w:type="dxa"/>
          <w:top w:w="0" w:type="dxa"/>
          <w:right w:w="28" w:type="dxa"/>
          <w:bottom w:w="0" w:type="dxa"/>
        </w:tblCellMar>
        <w:tblBorders/>
        <w:tblLayout w:type="fixed"/>
        <w:tblpPr w:horzAnchor="page" w:tblpXSpec="center" w:vertAnchor="text" w:tblpY="-50" w:leftFromText="180" w:topFromText="0" w:rightFromText="180" w:bottomFromText="0"/>
        <w:tblLook w:val="0000" w:firstRow="0" w:lastRow="0" w:firstColumn="0" w:lastColumn="0" w:noHBand="0" w:noVBand="0"/>
      </w:tblPr>
      <w:tblGrid>
        <w:gridCol w:w="720"/>
        <w:gridCol w:w="1469"/>
        <w:gridCol w:w="1358"/>
        <w:gridCol w:w="1208"/>
        <w:gridCol w:w="1276"/>
        <w:gridCol w:w="1309"/>
        <w:gridCol w:w="1349"/>
        <w:gridCol w:w="1606"/>
        <w:gridCol w:w="1253"/>
        <w:gridCol w:w="1398"/>
        <w:gridCol w:w="1622"/>
      </w:tblGrid>
      <w:tr>
        <w:trPr>
          <w:trHeight w:val="132"/>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 </w:t>
            </w:r>
            <w:r>
              <w:t xml:space="preserve">п/п</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w:t>
            </w:r>
            <w:r>
              <w:t xml:space="preserve">, адрес котельной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Тип котла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Кол-во котлов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Год установки котла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Мощность котла, Гкал/ч</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Мощность котельной, Гкал/ч</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Удельный расход топлива по котлам, кг у.т./ Гкал</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КПД котлов, %</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Удельный расход топлива по котельной, кг у.т./Гкал</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Дата обследования котлов</w:t>
            </w:r>
            <w:r/>
          </w:p>
        </w:tc>
      </w:tr>
      <w:tr>
        <w:trPr/>
        <w:tc>
          <w:tcPr>
            <w:gridSpan w:val="11"/>
            <w:tcBorders>
              <w:top w:val="single" w:color="000000" w:sz="4" w:space="0"/>
              <w:left w:val="single" w:color="000000" w:sz="4" w:space="0"/>
              <w:bottom w:val="single" w:color="000000" w:sz="4" w:space="0"/>
              <w:right w:val="single" w:color="000000" w:sz="4" w:space="0"/>
            </w:tcBorders>
            <w:tcW w:w="14568" w:type="dxa"/>
            <w:vAlign w:val="center"/>
          </w:tcPr>
          <w:p>
            <w:pPr>
              <w:pStyle w:val="12385"/>
              <w:pBdr/>
              <w:spacing/>
              <w:ind/>
              <w:rPr/>
            </w:pPr>
            <w:r>
              <w:t xml:space="preserve">Основное топливо - природный газ</w:t>
            </w:r>
            <w:r/>
          </w:p>
        </w:tc>
      </w:tr>
      <w:tr>
        <w:trPr/>
        <w:tc>
          <w:tcPr>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Котельная №5</w:t>
            </w:r>
            <w:r/>
          </w:p>
          <w:p>
            <w:pPr>
              <w:pStyle w:val="12385"/>
              <w:pBdr/>
              <w:spacing/>
              <w:ind/>
              <w:rPr/>
            </w:pPr>
            <w:r>
              <w:t xml:space="preserve">Арсеньевский р-н, н.п. Ясенки, ул. Центральная 24</w:t>
            </w:r>
            <w:r/>
          </w:p>
        </w:tc>
        <w:tc>
          <w:tcPr>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Prothermgrizzly 100 klor</w:t>
            </w:r>
            <w:r/>
          </w:p>
        </w:tc>
        <w:tc>
          <w:tcPr>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2007</w:t>
            </w:r>
            <w:r/>
          </w:p>
        </w:tc>
        <w:tc>
          <w:tcPr>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0,085</w:t>
            </w:r>
            <w:r/>
          </w:p>
        </w:tc>
        <w:tc>
          <w:tcPr>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0,172</w:t>
            </w:r>
            <w:r/>
          </w:p>
        </w:tc>
        <w:tc>
          <w:tcPr>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157,2</w:t>
            </w:r>
            <w:r/>
          </w:p>
        </w:tc>
        <w:tc>
          <w:tcPr>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89,26</w:t>
            </w:r>
            <w:r/>
          </w:p>
        </w:tc>
        <w:tc>
          <w:tcPr>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160,05</w:t>
            </w:r>
            <w:r/>
          </w:p>
        </w:tc>
        <w:tc>
          <w:tcPr>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08.2025</w:t>
            </w:r>
            <w:r/>
          </w:p>
        </w:tc>
      </w:tr>
      <w:tr>
        <w:trPr/>
        <w:tc>
          <w:tcPr>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Котельная №6</w:t>
            </w:r>
            <w:r/>
          </w:p>
          <w:p>
            <w:pPr>
              <w:pStyle w:val="12385"/>
              <w:pBdr/>
              <w:spacing/>
              <w:ind/>
              <w:rPr/>
            </w:pPr>
            <w:r>
              <w:t xml:space="preserve">Арсеньевский р-н, н.п. Первомайский, Школьная 3а</w:t>
            </w:r>
            <w:r/>
          </w:p>
        </w:tc>
        <w:tc>
          <w:tcPr>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ПВ-100</w:t>
            </w:r>
            <w:r/>
          </w:p>
        </w:tc>
        <w:tc>
          <w:tcPr>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4</w:t>
            </w:r>
            <w:r/>
          </w:p>
        </w:tc>
        <w:tc>
          <w:tcPr>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2022,2007</w:t>
            </w:r>
            <w:r/>
          </w:p>
        </w:tc>
        <w:tc>
          <w:tcPr>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0,085</w:t>
            </w:r>
            <w:r/>
          </w:p>
        </w:tc>
        <w:tc>
          <w:tcPr>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0,344</w:t>
            </w:r>
            <w:r/>
          </w:p>
        </w:tc>
        <w:tc>
          <w:tcPr>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155,4</w:t>
            </w:r>
            <w:r/>
          </w:p>
        </w:tc>
        <w:tc>
          <w:tcPr>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92,02</w:t>
            </w:r>
            <w:r/>
          </w:p>
        </w:tc>
        <w:tc>
          <w:tcPr>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155,25</w:t>
            </w:r>
            <w:r/>
          </w:p>
        </w:tc>
        <w:tc>
          <w:tcPr>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08.2025</w:t>
            </w:r>
            <w:r/>
          </w:p>
        </w:tc>
      </w:tr>
      <w:tr>
        <w:trPr/>
        <w:tc>
          <w:tcPr>
            <w:tcBorders>
              <w:top w:val="single" w:color="000000" w:sz="4" w:space="0"/>
              <w:left w:val="single" w:color="000000" w:sz="4" w:space="0"/>
              <w:bottom w:val="single" w:color="000000" w:sz="4" w:space="0"/>
              <w:right w:val="single" w:color="000000" w:sz="4" w:space="0"/>
            </w:tcBorders>
            <w:tcW w:w="720"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1469" w:type="dxa"/>
            <w:vAlign w:val="center"/>
          </w:tcPr>
          <w:p>
            <w:pPr>
              <w:pStyle w:val="12385"/>
              <w:pBdr/>
              <w:spacing/>
              <w:ind/>
              <w:rPr/>
            </w:pPr>
            <w:r>
              <w:t xml:space="preserve">Котельная №7</w:t>
            </w:r>
            <w:r/>
          </w:p>
          <w:p>
            <w:pPr>
              <w:pStyle w:val="12385"/>
              <w:pBdr/>
              <w:spacing/>
              <w:ind/>
              <w:rPr/>
            </w:pPr>
            <w:r>
              <w:t xml:space="preserve">Арсеньевский р-н, н.с. Белый Колодезь, ул. Школьная 24</w:t>
            </w:r>
            <w:r/>
          </w:p>
        </w:tc>
        <w:tc>
          <w:tcPr>
            <w:tcBorders>
              <w:top w:val="single" w:color="000000" w:sz="4" w:space="0"/>
              <w:left w:val="single" w:color="000000" w:sz="4" w:space="0"/>
              <w:bottom w:val="single" w:color="000000" w:sz="4" w:space="0"/>
              <w:right w:val="single" w:color="000000" w:sz="4" w:space="0"/>
            </w:tcBorders>
            <w:tcW w:w="1358" w:type="dxa"/>
            <w:vAlign w:val="center"/>
          </w:tcPr>
          <w:p>
            <w:pPr>
              <w:pStyle w:val="12385"/>
              <w:pBdr/>
              <w:spacing/>
              <w:ind/>
              <w:rPr/>
            </w:pPr>
            <w:r>
              <w:t xml:space="preserve">Хопер-100</w:t>
            </w:r>
            <w:r/>
          </w:p>
        </w:tc>
        <w:tc>
          <w:tcPr>
            <w:tcBorders>
              <w:top w:val="single" w:color="000000" w:sz="4" w:space="0"/>
              <w:left w:val="single" w:color="000000" w:sz="4" w:space="0"/>
              <w:bottom w:val="single" w:color="000000" w:sz="4" w:space="0"/>
              <w:right w:val="single" w:color="000000" w:sz="4" w:space="0"/>
            </w:tcBorders>
            <w:tcW w:w="1208"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276" w:type="dxa"/>
            <w:vAlign w:val="center"/>
          </w:tcPr>
          <w:p>
            <w:pPr>
              <w:pStyle w:val="12385"/>
              <w:pBdr/>
              <w:spacing/>
              <w:ind/>
              <w:rPr/>
            </w:pPr>
            <w:r>
              <w:t xml:space="preserve">2014, 2015</w:t>
            </w:r>
            <w:r/>
          </w:p>
        </w:tc>
        <w:tc>
          <w:tcPr>
            <w:tcBorders>
              <w:top w:val="single" w:color="000000" w:sz="4" w:space="0"/>
              <w:left w:val="single" w:color="000000" w:sz="4" w:space="0"/>
              <w:bottom w:val="single" w:color="000000" w:sz="4" w:space="0"/>
              <w:right w:val="single" w:color="000000" w:sz="4" w:space="0"/>
            </w:tcBorders>
            <w:tcW w:w="1309" w:type="dxa"/>
            <w:vAlign w:val="center"/>
          </w:tcPr>
          <w:p>
            <w:pPr>
              <w:pStyle w:val="12385"/>
              <w:pBdr/>
              <w:spacing/>
              <w:ind/>
              <w:rPr/>
            </w:pPr>
            <w:r>
              <w:t xml:space="preserve">0,085</w:t>
            </w:r>
            <w:r/>
          </w:p>
        </w:tc>
        <w:tc>
          <w:tcPr>
            <w:tcBorders>
              <w:top w:val="single" w:color="000000" w:sz="4" w:space="0"/>
              <w:left w:val="single" w:color="000000" w:sz="4" w:space="0"/>
              <w:bottom w:val="single" w:color="000000" w:sz="4" w:space="0"/>
              <w:right w:val="single" w:color="000000" w:sz="4" w:space="0"/>
            </w:tcBorders>
            <w:tcW w:w="1349" w:type="dxa"/>
            <w:vAlign w:val="center"/>
          </w:tcPr>
          <w:p>
            <w:pPr>
              <w:pStyle w:val="12385"/>
              <w:pBdr/>
              <w:spacing/>
              <w:ind/>
              <w:rPr/>
            </w:pPr>
            <w:r>
              <w:t xml:space="preserve">0,172</w:t>
            </w:r>
            <w:r/>
          </w:p>
        </w:tc>
        <w:tc>
          <w:tcPr>
            <w:tcBorders>
              <w:top w:val="single" w:color="000000" w:sz="4" w:space="0"/>
              <w:left w:val="single" w:color="000000" w:sz="4" w:space="0"/>
              <w:bottom w:val="single" w:color="000000" w:sz="4" w:space="0"/>
              <w:right w:val="single" w:color="000000" w:sz="4" w:space="0"/>
            </w:tcBorders>
            <w:tcW w:w="1606" w:type="dxa"/>
            <w:vAlign w:val="center"/>
          </w:tcPr>
          <w:p>
            <w:pPr>
              <w:pStyle w:val="12385"/>
              <w:pBdr/>
              <w:spacing/>
              <w:ind/>
              <w:rPr/>
            </w:pPr>
            <w:r>
              <w:t xml:space="preserve">165,9</w:t>
            </w:r>
            <w:r/>
          </w:p>
        </w:tc>
        <w:tc>
          <w:tcPr>
            <w:tcBorders>
              <w:top w:val="single" w:color="000000" w:sz="4" w:space="0"/>
              <w:left w:val="single" w:color="000000" w:sz="4" w:space="0"/>
              <w:bottom w:val="single" w:color="000000" w:sz="4" w:space="0"/>
              <w:right w:val="single" w:color="000000" w:sz="4" w:space="0"/>
            </w:tcBorders>
            <w:tcW w:w="1253" w:type="dxa"/>
            <w:vAlign w:val="center"/>
          </w:tcPr>
          <w:p>
            <w:pPr>
              <w:pStyle w:val="12385"/>
              <w:pBdr/>
              <w:spacing/>
              <w:ind/>
              <w:rPr/>
            </w:pPr>
            <w:r>
              <w:t xml:space="preserve">84,45</w:t>
            </w:r>
            <w:r/>
          </w:p>
        </w:tc>
        <w:tc>
          <w:tcPr>
            <w:tcBorders>
              <w:top w:val="single" w:color="000000" w:sz="4" w:space="0"/>
              <w:left w:val="single" w:color="000000" w:sz="4" w:space="0"/>
              <w:bottom w:val="single" w:color="000000" w:sz="4" w:space="0"/>
              <w:right w:val="single" w:color="000000" w:sz="4" w:space="0"/>
            </w:tcBorders>
            <w:tcW w:w="1398" w:type="dxa"/>
            <w:vAlign w:val="center"/>
          </w:tcPr>
          <w:p>
            <w:pPr>
              <w:pStyle w:val="12385"/>
              <w:pBdr/>
              <w:spacing/>
              <w:ind/>
              <w:rPr/>
            </w:pPr>
            <w:r>
              <w:t xml:space="preserve">169,17</w:t>
            </w:r>
            <w:r/>
          </w:p>
        </w:tc>
        <w:tc>
          <w:tcPr>
            <w:tcBorders>
              <w:top w:val="single" w:color="000000" w:sz="4" w:space="0"/>
              <w:left w:val="single" w:color="000000" w:sz="4" w:space="0"/>
              <w:bottom w:val="single" w:color="000000" w:sz="4" w:space="0"/>
              <w:right w:val="single" w:color="000000" w:sz="4" w:space="0"/>
            </w:tcBorders>
            <w:tcW w:w="1622" w:type="dxa"/>
            <w:vAlign w:val="center"/>
          </w:tcPr>
          <w:p>
            <w:pPr>
              <w:pStyle w:val="12385"/>
              <w:pBdr/>
              <w:spacing/>
              <w:ind/>
              <w:rPr/>
            </w:pPr>
            <w:r>
              <w:t xml:space="preserve">08.2025</w:t>
            </w:r>
            <w:r/>
          </w:p>
        </w:tc>
      </w:tr>
    </w:tbl>
    <w:p>
      <w:pPr>
        <w:pStyle w:val="12960"/>
        <w:pBdr/>
        <w:spacing/>
        <w:ind/>
        <w:rPr>
          <w:lang w:bidi="en-US"/>
        </w:rPr>
        <w:sectPr>
          <w:headerReference w:type="default" r:id="rId90"/>
          <w:headerReference w:type="first" r:id="rId91"/>
          <w:footerReference w:type="default" r:id="rId358"/>
          <w:footerReference w:type="first" r:id="rId359"/>
          <w:footnotePr/>
          <w:endnotePr/>
          <w:type w:val="nextPage"/>
          <w:pgSz w:h="11906" w:orient="landscape" w:w="16838"/>
          <w:pgMar w:top="1701" w:right="1134" w:bottom="851" w:left="1134" w:header="567" w:footer="454" w:gutter="0"/>
          <w:cols w:num="1" w:sep="0" w:space="1701" w:equalWidth="1"/>
        </w:sectPr>
      </w:pPr>
      <w:r>
        <w:rPr>
          <w:lang w:bidi="en-US"/>
        </w:rPr>
      </w:r>
      <w:r>
        <w:rPr>
          <w:lang w:bidi="en-US"/>
        </w:rPr>
      </w:r>
    </w:p>
    <w:p>
      <w:pPr>
        <w:pStyle w:val="12960"/>
        <w:pBdr/>
        <w:spacing/>
        <w:ind/>
        <w:rPr>
          <w:lang w:bidi="en-US"/>
        </w:rPr>
      </w:pPr>
      <w:r>
        <w:rPr>
          <w:lang w:bidi="en-US"/>
        </w:rPr>
      </w:r>
      <w:r>
        <w:rPr>
          <w:lang w:bidi="en-US"/>
        </w:rPr>
      </w:r>
    </w:p>
    <w:p>
      <w:pPr>
        <w:pStyle w:val="12960"/>
        <w:pBdr/>
        <w:spacing/>
        <w:ind/>
        <w:rPr>
          <w:lang w:bidi="en-US"/>
        </w:rPr>
      </w:pPr>
      <w:r>
        <w:rPr>
          <w:lang w:bidi="en-US"/>
        </w:rPr>
        <w:t xml:space="preserve">Устройства очистки продуктов сгорания на источниках тепловой энергии на территории муниципального образования представлены в таблице</w:t>
      </w:r>
      <w:r>
        <w:t xml:space="preserve">.</w:t>
      </w:r>
      <w:r>
        <w:rPr>
          <w:lang w:bidi="en-US"/>
        </w:rPr>
      </w:r>
    </w:p>
    <w:p>
      <w:pPr>
        <w:pStyle w:val="12960"/>
        <w:pBdr/>
        <w:spacing/>
        <w:ind/>
        <w:rPr>
          <w:b/>
          <w:bCs w:val="0"/>
          <w:lang w:bidi="en-US"/>
        </w:rPr>
      </w:pPr>
      <w:r>
        <w:rPr>
          <w:b/>
          <w:bCs w:val="0"/>
          <w:lang w:bidi="en-US"/>
        </w:rPr>
        <w:t xml:space="preserve">Таблица 1.12.4.2 – Описание технических характеристик дымовых труб</w:t>
      </w:r>
      <w:bookmarkStart w:id="567" w:name="_Hlk212673545"/>
      <w:r/>
      <w:r>
        <w:rPr>
          <w:b/>
          <w:bCs w:val="0"/>
          <w:lang w:bidi="en-US"/>
        </w:rPr>
      </w:r>
    </w:p>
    <w:tbl>
      <w:tblPr>
        <w:tblInd w:w="0" w:type="dxa"/>
        <w:tblW w:w="5000" w:type="pct"/>
        <w:tblCellMar>
          <w:left w:w="28" w:type="dxa"/>
          <w:top w:w="0" w:type="dxa"/>
          <w:right w:w="28" w:type="dxa"/>
          <w:bottom w:w="0" w:type="dxa"/>
        </w:tblCellMar>
        <w:tblBorders/>
        <w:tblLayout w:type="fixed"/>
        <w:tblLook w:val="0000" w:firstRow="0" w:lastRow="0" w:firstColumn="0" w:lastColumn="0" w:noHBand="0" w:noVBand="0"/>
      </w:tblPr>
      <w:tblGrid>
        <w:gridCol w:w="1872"/>
        <w:gridCol w:w="1752"/>
        <w:gridCol w:w="1034"/>
        <w:gridCol w:w="1525"/>
        <w:gridCol w:w="1562"/>
        <w:gridCol w:w="1609"/>
      </w:tblGrid>
      <w:tr>
        <w:trPr>
          <w:trHeight w:val="907"/>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w:t>
            </w:r>
            <w:r>
              <w:t xml:space="preserve">, адрес котельной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Источники выделения загрязняющих веществ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Кол-во котлов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Наименование источника выброса вредных веществ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Высота источника выброса, м</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Диаметр устья трубы, м</w:t>
            </w:r>
            <w:r/>
          </w:p>
        </w:tc>
      </w:tr>
      <w:tr>
        <w:trPr>
          <w:trHeight w:val="907"/>
        </w:trPr>
        <w:tc>
          <w:tcPr>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Котельная №5</w:t>
            </w:r>
            <w:r/>
          </w:p>
          <w:p>
            <w:pPr>
              <w:pStyle w:val="12385"/>
              <w:pBdr/>
              <w:spacing/>
              <w:ind/>
              <w:rPr/>
            </w:pPr>
            <w:r>
              <w:t xml:space="preserve">Арсеньевский р-н, н.п. Ясенки, ул. Центральная 24</w:t>
            </w:r>
            <w:r/>
          </w:p>
        </w:tc>
        <w:tc>
          <w:tcPr>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Котлы</w:t>
            </w:r>
            <w:r/>
          </w:p>
        </w:tc>
        <w:tc>
          <w:tcPr>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Дымовые трубы</w:t>
            </w:r>
            <w:r/>
          </w:p>
        </w:tc>
        <w:tc>
          <w:tcPr>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7</w:t>
            </w:r>
            <w:r/>
          </w:p>
        </w:tc>
        <w:tc>
          <w:tcPr>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0,22</w:t>
            </w:r>
            <w:r/>
          </w:p>
        </w:tc>
      </w:tr>
      <w:tr>
        <w:trPr>
          <w:trHeight w:val="907"/>
        </w:trPr>
        <w:tc>
          <w:tcPr>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Котельная №6</w:t>
            </w:r>
            <w:r/>
          </w:p>
          <w:p>
            <w:pPr>
              <w:pStyle w:val="12385"/>
              <w:pBdr/>
              <w:spacing/>
              <w:ind/>
              <w:rPr/>
            </w:pPr>
            <w:r>
              <w:t xml:space="preserve">Арсеньевский р-н, н.п. Первомайский, Школьная 3а</w:t>
            </w:r>
            <w:r/>
          </w:p>
        </w:tc>
        <w:tc>
          <w:tcPr>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Котлы</w:t>
            </w:r>
            <w:r/>
          </w:p>
        </w:tc>
        <w:tc>
          <w:tcPr>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4</w:t>
            </w:r>
            <w:r/>
          </w:p>
        </w:tc>
        <w:tc>
          <w:tcPr>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Дымовые трубы</w:t>
            </w:r>
            <w:r/>
          </w:p>
        </w:tc>
        <w:tc>
          <w:tcPr>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6</w:t>
            </w:r>
            <w:r/>
          </w:p>
        </w:tc>
        <w:tc>
          <w:tcPr>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0,89</w:t>
            </w:r>
            <w:r/>
          </w:p>
        </w:tc>
      </w:tr>
      <w:tr>
        <w:trPr>
          <w:trHeight w:val="907"/>
        </w:trPr>
        <w:tc>
          <w:tcPr>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Котельная №7</w:t>
            </w:r>
            <w:r/>
          </w:p>
          <w:p>
            <w:pPr>
              <w:pStyle w:val="12385"/>
              <w:pBdr/>
              <w:spacing/>
              <w:ind/>
              <w:rPr/>
            </w:pPr>
            <w:r>
              <w:t xml:space="preserve">Арсеньевский р-н, н.п. Белый Колодезь, ул. Школьная 24</w:t>
            </w:r>
            <w:r/>
          </w:p>
        </w:tc>
        <w:tc>
          <w:tcPr>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Котлы</w:t>
            </w:r>
            <w:r/>
          </w:p>
        </w:tc>
        <w:tc>
          <w:tcPr>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Дымовые трубы</w:t>
            </w:r>
            <w:r/>
          </w:p>
        </w:tc>
        <w:tc>
          <w:tcPr>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5</w:t>
            </w:r>
            <w:r/>
          </w:p>
        </w:tc>
        <w:tc>
          <w:tcPr>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0,22</w:t>
            </w:r>
            <w:r/>
          </w:p>
        </w:tc>
      </w:tr>
    </w:tbl>
    <w:p>
      <w:pPr>
        <w:pStyle w:val="12960"/>
        <w:pBdr/>
        <w:spacing/>
        <w:ind/>
        <w:rPr>
          <w:b/>
          <w:bCs w:val="0"/>
          <w:lang w:bidi="en-US"/>
        </w:rPr>
      </w:pPr>
      <w:r>
        <w:rPr>
          <w:b/>
          <w:bCs w:val="0"/>
          <w:lang w:bidi="en-US"/>
        </w:rPr>
      </w:r>
      <w:r>
        <w:rPr>
          <w:b/>
          <w:bCs w:val="0"/>
          <w:lang w:bidi="en-US"/>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68" w:name="_Toc197265879"/>
      <w:r/>
      <w:bookmarkStart w:id="569" w:name="_Toc200315941"/>
      <w:r/>
      <w:bookmarkStart w:id="570" w:name="_Toc200316196"/>
      <w:r/>
      <w:bookmarkStart w:id="571" w:name="_Toc200316445"/>
      <w:r/>
      <w:bookmarkStart w:id="572" w:name="_Toc200316700"/>
      <w:r/>
      <w:bookmarkStart w:id="573" w:name="_Toc200501040"/>
      <w:r/>
      <w:bookmarkStart w:id="574" w:name="_Toc200501697"/>
      <w:r/>
      <w:bookmarkEnd w:id="567"/>
      <w:r>
        <w:rPr>
          <w:rFonts w:cs="Times New Roman"/>
        </w:rPr>
        <w:t xml:space="preserve">Описание валовых и максимальных разовых выбросов загрязняющих веществ в атмосферный воздух на каждом источнике тепловой энергии (мощности)</w:t>
      </w:r>
      <w:bookmarkEnd w:id="568"/>
      <w:r/>
      <w:bookmarkEnd w:id="569"/>
      <w:r/>
      <w:bookmarkEnd w:id="570"/>
      <w:r/>
      <w:bookmarkEnd w:id="571"/>
      <w:r/>
      <w:bookmarkEnd w:id="572"/>
      <w:r/>
      <w:bookmarkEnd w:id="573"/>
      <w:r/>
      <w:bookmarkEnd w:id="574"/>
      <w:r/>
      <w:r>
        <w:rPr>
          <w:rFonts w:cs="Times New Roman"/>
        </w:rPr>
      </w:r>
    </w:p>
    <w:p>
      <w:pPr>
        <w:pStyle w:val="12960"/>
        <w:pBdr/>
        <w:spacing/>
        <w:ind/>
        <w:rPr>
          <w:lang w:bidi="en-US"/>
        </w:rPr>
      </w:pPr>
      <w:r>
        <w:rPr>
          <w:lang w:bidi="en-US"/>
        </w:rPr>
        <w:t xml:space="preserve">Описание валовых и максимальных разовых выбросов загрязняющих веществ в атмосферный воздух на источниках тепловой энергии муниципального образования отсутствует. </w:t>
      </w:r>
      <w:r>
        <w:rPr>
          <w:lang w:bidi="en-US"/>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75" w:name="_Toc197265880"/>
      <w:r/>
      <w:bookmarkStart w:id="576" w:name="_Toc200316446"/>
      <w:r/>
      <w:bookmarkStart w:id="577" w:name="_Toc200501698"/>
      <w:r/>
      <w:bookmarkStart w:id="578" w:name="_Toc200315942"/>
      <w:r/>
      <w:bookmarkStart w:id="579" w:name="_Toc200501041"/>
      <w:r/>
      <w:bookmarkStart w:id="580" w:name="_Toc200316701"/>
      <w:r/>
      <w:bookmarkStart w:id="581" w:name="_Toc200316197"/>
      <w:r>
        <w:rPr>
          <w:rFonts w:cs="Times New Roman"/>
        </w:rPr>
        <w:t xml:space="preserve">Описание результатов расчётов средних за год концентраций вредных (загрязняющих) веществ в приземном слое атмосферного воздуха от объектов теплоснабжения</w:t>
      </w:r>
      <w:bookmarkEnd w:id="575"/>
      <w:r/>
      <w:bookmarkEnd w:id="576"/>
      <w:r/>
      <w:bookmarkEnd w:id="577"/>
      <w:r/>
      <w:bookmarkEnd w:id="578"/>
      <w:r/>
      <w:bookmarkEnd w:id="579"/>
      <w:r/>
      <w:bookmarkEnd w:id="580"/>
      <w:r/>
      <w:bookmarkEnd w:id="581"/>
      <w:r/>
      <w:r>
        <w:rPr>
          <w:rFonts w:cs="Times New Roman"/>
        </w:rPr>
      </w:r>
    </w:p>
    <w:p>
      <w:pPr>
        <w:pStyle w:val="12960"/>
        <w:pBdr/>
        <w:spacing/>
        <w:ind/>
        <w:rPr>
          <w:lang w:bidi="en-US"/>
        </w:rPr>
      </w:pPr>
      <w:r>
        <w:rPr>
          <w:lang w:bidi="en-US"/>
        </w:rPr>
        <w:t xml:space="preserve">Результаты расчетов средних за год концентраций вредных (загрязняющих) веществ в приземном слое атмосферного воздуха от объектов теплоснабжения муниципального образования отсутствует. </w:t>
      </w:r>
      <w:r>
        <w:t xml:space="preserve">Данные не предоставлены.</w:t>
      </w:r>
      <w:r>
        <w:rPr>
          <w:lang w:bidi="en-US"/>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82" w:name="_Toc200316198"/>
      <w:r/>
      <w:bookmarkStart w:id="583" w:name="_Toc197265881"/>
      <w:r/>
      <w:bookmarkStart w:id="584" w:name="_Toc200315943"/>
      <w:r/>
      <w:bookmarkStart w:id="585" w:name="_Toc200316447"/>
      <w:r/>
      <w:bookmarkStart w:id="586" w:name="_Toc200501699"/>
      <w:r/>
      <w:bookmarkStart w:id="587" w:name="_Toc200501042"/>
      <w:r/>
      <w:bookmarkStart w:id="588" w:name="_Toc200316702"/>
      <w:r>
        <w:rPr>
          <w:rFonts w:cs="Times New Roman"/>
        </w:rPr>
        <w:t xml:space="preserve">Описание результатов расчётов максимальных разовых концентраций вредных (загрязняющих) веществ в приземном слое атмосферного воздуха от объектов теплоснабжения</w:t>
      </w:r>
      <w:bookmarkEnd w:id="582"/>
      <w:r/>
      <w:bookmarkEnd w:id="583"/>
      <w:r/>
      <w:bookmarkEnd w:id="584"/>
      <w:r/>
      <w:bookmarkEnd w:id="585"/>
      <w:r/>
      <w:bookmarkEnd w:id="586"/>
      <w:r/>
      <w:bookmarkEnd w:id="587"/>
      <w:r/>
      <w:bookmarkEnd w:id="588"/>
      <w:r/>
      <w:r>
        <w:rPr>
          <w:rFonts w:cs="Times New Roman"/>
        </w:rPr>
      </w:r>
    </w:p>
    <w:p>
      <w:pPr>
        <w:pStyle w:val="12960"/>
        <w:pBdr/>
        <w:spacing/>
        <w:ind/>
        <w:rPr>
          <w:lang w:bidi="en-US"/>
        </w:rPr>
      </w:pPr>
      <w:r>
        <w:rPr>
          <w:lang w:bidi="en-US"/>
        </w:rPr>
        <w:t xml:space="preserve">Максимальные разовые концентрации вре</w:t>
      </w:r>
      <w:r>
        <w:rPr>
          <w:lang w:bidi="en-US"/>
        </w:rPr>
        <w:t xml:space="preserve">дных (загрязняющих) веществ в приземном слое атмосферного воздуха (См) определяются для каждого из источников загрязнения атмосферного воздуха (в частности, дымовых труб котельных) с учетом их технических параметров и климатических характеристик местности.</w:t>
      </w:r>
      <w:r>
        <w:rPr>
          <w:lang w:bidi="en-US"/>
        </w:rPr>
      </w:r>
    </w:p>
    <w:p>
      <w:pPr>
        <w:pStyle w:val="12960"/>
        <w:pBdr/>
        <w:spacing/>
        <w:ind/>
        <w:rPr>
          <w:lang w:bidi="en-US"/>
        </w:rPr>
      </w:pPr>
      <w:r>
        <w:rPr>
          <w:lang w:bidi="en-US"/>
        </w:rPr>
        <w:t xml:space="preserve">Максимальные разовые концентрации загрязняющих веществ в приземном слое атмосферного воздуха достигаются при опасной скорости ветра Um на расстоянии Xm от источника выброса.</w:t>
      </w:r>
      <w:r>
        <w:rPr>
          <w:lang w:bidi="en-US"/>
        </w:rPr>
      </w:r>
    </w:p>
    <w:p>
      <w:pPr>
        <w:pStyle w:val="12960"/>
        <w:pBdr/>
        <w:spacing/>
        <w:ind/>
        <w:rPr>
          <w:lang w:bidi="en-US"/>
        </w:rPr>
      </w:pPr>
      <w:r>
        <w:rPr>
          <w:lang w:bidi="en-US"/>
        </w:rPr>
        <w:t xml:space="preserve">Результаты оценки с указанием Um и Xm для каждого из источников выбросов на территории муниципального образования отсутствует.</w:t>
      </w:r>
      <w:r>
        <w:t xml:space="preserve"> Данные не предоставлены.</w:t>
      </w:r>
      <w:r>
        <w:rPr>
          <w:lang w:bidi="en-US"/>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89" w:name="_Toc200501043"/>
      <w:r/>
      <w:bookmarkStart w:id="590" w:name="_Toc200315944"/>
      <w:r/>
      <w:bookmarkStart w:id="591" w:name="_Toc200316199"/>
      <w:r/>
      <w:bookmarkStart w:id="592" w:name="_Toc197265882"/>
      <w:r/>
      <w:bookmarkStart w:id="593" w:name="_Toc200501700"/>
      <w:r/>
      <w:bookmarkStart w:id="594" w:name="_Toc200316703"/>
      <w:r/>
      <w:bookmarkStart w:id="595" w:name="_Toc200316448"/>
      <w:r>
        <w:rPr>
          <w:rFonts w:cs="Times New Roman"/>
        </w:rPr>
        <w:t xml:space="preserve">Описание объёма (массы) образования и размещения отходов сжигания топлива</w:t>
      </w:r>
      <w:bookmarkEnd w:id="589"/>
      <w:r/>
      <w:bookmarkEnd w:id="590"/>
      <w:r/>
      <w:bookmarkEnd w:id="591"/>
      <w:r/>
      <w:bookmarkEnd w:id="592"/>
      <w:r/>
      <w:bookmarkEnd w:id="593"/>
      <w:r/>
      <w:bookmarkEnd w:id="594"/>
      <w:r/>
      <w:bookmarkEnd w:id="595"/>
      <w:r/>
      <w:r>
        <w:rPr>
          <w:rFonts w:cs="Times New Roman"/>
        </w:rPr>
      </w:r>
    </w:p>
    <w:p>
      <w:pPr>
        <w:pStyle w:val="12960"/>
        <w:pBdr/>
        <w:spacing/>
        <w:ind/>
        <w:rPr>
          <w:lang w:bidi="en-US"/>
        </w:rPr>
      </w:pPr>
      <w:r>
        <w:rPr>
          <w:lang w:bidi="en-US"/>
        </w:rPr>
        <w:t xml:space="preserve">Описание объема (массы) образования и размещения отходов сжигания топлива отсутствует. </w:t>
      </w:r>
      <w:r>
        <w:rPr>
          <w:lang w:bidi="en-US"/>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596" w:name="_Toc197265883"/>
      <w:r/>
      <w:bookmarkStart w:id="597" w:name="_Toc200315945"/>
      <w:r/>
      <w:bookmarkStart w:id="598" w:name="_Toc200316200"/>
      <w:r/>
      <w:bookmarkStart w:id="599" w:name="_Toc200316449"/>
      <w:r/>
      <w:bookmarkStart w:id="600" w:name="_Toc200316704"/>
      <w:r/>
      <w:bookmarkStart w:id="601" w:name="_Toc200501044"/>
      <w:r/>
      <w:bookmarkStart w:id="602" w:name="_Toc200501701"/>
      <w:r>
        <w:rPr>
          <w:rFonts w:cs="Times New Roman"/>
        </w:rPr>
        <w:t xml:space="preserve">Данные расчётов рассеивания вредных (загрязняющих) веществ от существующих объектов теплоснабжения, представленные на карте-схеме поселения</w:t>
      </w:r>
      <w:bookmarkEnd w:id="596"/>
      <w:r/>
      <w:bookmarkEnd w:id="597"/>
      <w:r/>
      <w:bookmarkEnd w:id="598"/>
      <w:r/>
      <w:bookmarkEnd w:id="599"/>
      <w:r/>
      <w:bookmarkEnd w:id="600"/>
      <w:r/>
      <w:bookmarkEnd w:id="601"/>
      <w:r/>
      <w:bookmarkEnd w:id="602"/>
      <w:r/>
      <w:r>
        <w:rPr>
          <w:rFonts w:cs="Times New Roman"/>
        </w:rPr>
      </w:r>
    </w:p>
    <w:p>
      <w:pPr>
        <w:pStyle w:val="12960"/>
        <w:pBdr/>
        <w:spacing/>
        <w:ind/>
        <w:rPr/>
      </w:pPr>
      <w:r>
        <w:t xml:space="preserve">Данные расчётов рассеивания вредных (загрязняющих) веществ от существующих объектов теплоснабжения, представленные на карте-схеме поселения отсутствуют. Данные не предоставлены.</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92"/>
          <w:headerReference w:type="first" r:id="rId93"/>
          <w:footerReference w:type="default" r:id="rId360"/>
          <w:footerReference w:type="first" r:id="rId361"/>
          <w:footnotePr/>
          <w:endnotePr/>
          <w:type w:val="nextPage"/>
          <w:pgSz w:h="16838" w:orient="portrait" w:w="11906"/>
          <w:pgMar w:top="1134" w:right="850" w:bottom="1134" w:left="1701" w:header="567" w:footer="454" w:gutter="0"/>
          <w:cols w:num="1" w:sep="0" w:space="1701" w:equalWidth="1"/>
        </w:sectPr>
      </w:pPr>
      <w:r/>
      <w:r/>
    </w:p>
    <w:p>
      <w:pPr>
        <w:pStyle w:val="10534"/>
        <w:widowControl w:val="true"/>
        <w:numPr>
          <w:ilvl w:val="0"/>
          <w:numId w:val="13"/>
        </w:numPr>
        <w:pBdr/>
        <w:bidi w:val="false"/>
        <w:spacing w:after="240" w:before="120" w:line="360" w:lineRule="auto"/>
        <w:ind w:right="0" w:hanging="340" w:left="340"/>
        <w:contextualSpacing w:val="true"/>
        <w:jc w:val="center"/>
        <w:rPr>
          <w:spacing w:val="0"/>
        </w:rPr>
      </w:pPr>
      <w:r/>
      <w:bookmarkStart w:id="603" w:name="_Toc430079959"/>
      <w:r/>
      <w:bookmarkStart w:id="604" w:name="_Toc166767217"/>
      <w:r/>
      <w:bookmarkStart w:id="605" w:name="_Toc78674764"/>
      <w:r/>
      <w:bookmarkStart w:id="606" w:name="_Toc84971001"/>
      <w:r/>
      <w:bookmarkStart w:id="607" w:name="_Toc198483557"/>
      <w:r/>
      <w:bookmarkEnd w:id="603"/>
      <w:r>
        <w:rPr>
          <w:spacing w:val="0"/>
        </w:rPr>
        <w:t xml:space="preserve"> </w:t>
      </w:r>
      <w:r>
        <w:rPr>
          <w:rFonts w:eastAsia="Times New Roman" w:cs="Times New Roman"/>
          <w:b/>
          <w:smallCaps/>
          <w:spacing w:val="0"/>
          <w:sz w:val="28"/>
          <w:szCs w:val="36"/>
          <w:lang w:eastAsia="en-US" w:bidi="en-US"/>
        </w:rPr>
        <w:t xml:space="preserve">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bookmarkEnd w:id="604"/>
      <w:r/>
      <w:bookmarkEnd w:id="605"/>
      <w:r/>
      <w:bookmarkEnd w:id="606"/>
      <w:r/>
      <w:bookmarkEnd w:id="607"/>
      <w:r/>
      <w:r>
        <w:rPr>
          <w:spacing w:val="0"/>
        </w:rPr>
      </w:r>
    </w:p>
    <w:p>
      <w:pPr>
        <w:pStyle w:val="10535"/>
        <w:keepNext w:val="false"/>
        <w:widowControl w:val="false"/>
        <w:numPr>
          <w:ilvl w:val="1"/>
          <w:numId w:val="119"/>
        </w:numPr>
        <w:pBdr/>
        <w:bidi w:val="false"/>
        <w:spacing w:after="240" w:before="240" w:line="240" w:lineRule="auto"/>
        <w:ind w:right="0" w:hanging="737" w:left="737"/>
        <w:jc w:val="center"/>
        <w:rPr>
          <w:rFonts w:cs="Times New Roman"/>
        </w:rPr>
      </w:pPr>
      <w:r/>
      <w:bookmarkStart w:id="608" w:name="_Toc198483558"/>
      <w:r/>
      <w:bookmarkStart w:id="609" w:name="_Toc84971002"/>
      <w:r/>
      <w:bookmarkStart w:id="610" w:name="_Toc166767218"/>
      <w:r/>
      <w:bookmarkStart w:id="611" w:name="_Hlk194282744"/>
      <w:r/>
      <w:bookmarkStart w:id="612" w:name="_Toc373151697"/>
      <w:r/>
      <w:bookmarkStart w:id="613" w:name="_Toc515271655"/>
      <w:r/>
      <w:bookmarkStart w:id="614" w:name="_Toc78674765"/>
      <w:r/>
      <w:bookmarkStart w:id="615" w:name="_Toc372809745"/>
      <w:r>
        <w:rPr>
          <w:rFonts w:cs="Times New Roman"/>
        </w:rPr>
        <w:t xml:space="preserve">О</w:t>
      </w:r>
      <w:bookmarkEnd w:id="612"/>
      <w:r/>
      <w:bookmarkEnd w:id="615"/>
      <w:r>
        <w:rPr>
          <w:rFonts w:cs="Times New Roman"/>
        </w:rPr>
        <w:t xml:space="preserve">писание существующих проблем организации качественного теплоснабжения</w:t>
      </w:r>
      <w:bookmarkEnd w:id="608"/>
      <w:r/>
      <w:bookmarkEnd w:id="609"/>
      <w:r/>
      <w:bookmarkEnd w:id="610"/>
      <w:r/>
      <w:bookmarkEnd w:id="613"/>
      <w:r/>
      <w:bookmarkEnd w:id="614"/>
      <w:r/>
      <w:r>
        <w:rPr>
          <w:rFonts w:cs="Times New Roman"/>
        </w:rPr>
      </w:r>
    </w:p>
    <w:p>
      <w:pPr>
        <w:pStyle w:val="12960"/>
        <w:pBdr/>
        <w:spacing/>
        <w:ind/>
        <w:rPr/>
      </w:pPr>
      <w:r/>
      <w:r>
        <w:t xml:space="preserve">В ходе анализа системы теплоснабжения выявлены следующие основные технические и технологические проблемы:</w:t>
      </w:r>
      <w:r/>
    </w:p>
    <w:p>
      <w:pPr>
        <w:pStyle w:val="13832"/>
        <w:numPr>
          <w:ilvl w:val="0"/>
          <w:numId w:val="61"/>
        </w:numPr>
        <w:pBdr/>
        <w:spacing/>
        <w:ind w:hanging="284" w:left="1135"/>
        <w:rPr/>
      </w:pPr>
      <w:r>
        <w:t xml:space="preserve">Малый охват населения централизованной системой теплоснабжения.</w:t>
      </w:r>
      <w:r/>
    </w:p>
    <w:p>
      <w:pPr>
        <w:pStyle w:val="13832"/>
        <w:numPr>
          <w:ilvl w:val="0"/>
          <w:numId w:val="61"/>
        </w:numPr>
        <w:pBdr/>
        <w:spacing/>
        <w:ind w:hanging="284" w:left="1135"/>
        <w:rPr>
          <w:rFonts w:eastAsia="Calibri"/>
          <w:iCs/>
          <w:color w:val="0a0a0c"/>
          <w:szCs w:val="24"/>
        </w:rPr>
      </w:pPr>
      <w:r>
        <w:rPr>
          <w:rFonts w:eastAsia="Calibri"/>
          <w:iCs/>
          <w:color w:val="0a0a0c"/>
          <w:szCs w:val="24"/>
        </w:rPr>
        <w:t xml:space="preserve">Отсутствие ХВО на источниках теплоснабжения;</w:t>
      </w:r>
      <w:r>
        <w:rPr>
          <w:rFonts w:eastAsia="Calibri"/>
          <w:iCs/>
          <w:color w:val="0a0a0c"/>
          <w:szCs w:val="24"/>
        </w:rPr>
      </w:r>
    </w:p>
    <w:p>
      <w:pPr>
        <w:pStyle w:val="13832"/>
        <w:numPr>
          <w:ilvl w:val="0"/>
          <w:numId w:val="61"/>
        </w:numPr>
        <w:pBdr/>
        <w:spacing/>
        <w:ind w:hanging="284" w:left="1135"/>
        <w:rPr>
          <w:rFonts w:eastAsia="Calibri"/>
        </w:rPr>
      </w:pPr>
      <w:r>
        <w:rPr>
          <w:rFonts w:eastAsia="Calibri"/>
        </w:rPr>
        <w:t xml:space="preserve">Высокий износ сетей теплоснабжения;</w:t>
      </w:r>
      <w:r>
        <w:rPr>
          <w:rFonts w:eastAsia="Calibri"/>
        </w:rPr>
      </w:r>
    </w:p>
    <w:p>
      <w:pPr>
        <w:pStyle w:val="10533"/>
        <w:pBdr/>
        <w:spacing/>
        <w:ind/>
        <w:rPr>
          <w:lang w:eastAsia="en-US"/>
        </w:rPr>
      </w:pPr>
      <w:r>
        <w:rPr>
          <w:lang w:eastAsia="en-US"/>
        </w:rPr>
      </w:r>
      <w:r>
        <w:rPr>
          <w:lang w:eastAsia="en-US"/>
        </w:rPr>
      </w:r>
    </w:p>
    <w:p>
      <w:pPr>
        <w:pStyle w:val="10535"/>
        <w:keepNext w:val="true"/>
        <w:widowControl w:val="false"/>
        <w:numPr>
          <w:ilvl w:val="1"/>
          <w:numId w:val="13"/>
        </w:numPr>
        <w:pBdr/>
        <w:bidi w:val="false"/>
        <w:spacing w:after="240" w:before="240" w:line="240" w:lineRule="auto"/>
        <w:ind w:right="0" w:hanging="737" w:left="737"/>
        <w:jc w:val="center"/>
        <w:rPr>
          <w:rFonts w:cs="Times New Roman"/>
        </w:rPr>
      </w:pPr>
      <w:r/>
      <w:bookmarkStart w:id="617" w:name="_Toc515271656"/>
      <w:r/>
      <w:bookmarkStart w:id="618" w:name="_Toc198483559"/>
      <w:r/>
      <w:bookmarkStart w:id="619" w:name="_Toc166767219"/>
      <w:r/>
      <w:bookmarkStart w:id="620" w:name="_Toc84971003"/>
      <w:r/>
      <w:bookmarkStart w:id="621" w:name="_Toc78674766"/>
      <w:r>
        <w:rPr>
          <w:rFonts w:cs="Times New Roman"/>
        </w:rPr>
        <w:t xml:space="preserve">Описание существующих проблем организации надежного и безопасного теплоснабжения</w:t>
      </w:r>
      <w:bookmarkEnd w:id="617"/>
      <w:r/>
      <w:bookmarkEnd w:id="618"/>
      <w:r/>
      <w:bookmarkEnd w:id="619"/>
      <w:r/>
      <w:bookmarkEnd w:id="620"/>
      <w:r/>
      <w:bookmarkEnd w:id="621"/>
      <w:r/>
      <w:r>
        <w:rPr>
          <w:rFonts w:cs="Times New Roman"/>
        </w:rPr>
      </w:r>
    </w:p>
    <w:p>
      <w:pPr>
        <w:pStyle w:val="12960"/>
        <w:pBdr/>
        <w:spacing/>
        <w:ind/>
        <w:rPr/>
      </w:pPr>
      <w:r/>
      <w:r>
        <w:t xml:space="preserve">Проблемы в организации надежного и безопасного теплоснабжения на данный момент обусловлены высоким износом тепловых сетей и малой их резервируемостью. Решение данной проблемы возможно путем капитального ремонта тепловых сетей.</w:t>
      </w:r>
      <w:r/>
    </w:p>
    <w:p>
      <w:pPr>
        <w:pStyle w:val="12960"/>
        <w:pBdr/>
        <w:spacing/>
        <w:ind/>
        <w:rPr/>
      </w:pPr>
      <w:r>
        <w:t xml:space="preserve">Надежность всей системы теплоснабжения определяется надежностью ее элементов (источника тепла, тепловых сетей, вводов, систем отопления).</w:t>
      </w:r>
      <w:r/>
    </w:p>
    <w:p>
      <w:pPr>
        <w:pStyle w:val="12960"/>
        <w:pBdr/>
        <w:spacing/>
        <w:ind/>
        <w:rPr/>
      </w:pPr>
      <w:r>
        <w:t xml:space="preserve">Однако основной </w:t>
      </w:r>
      <w:r>
        <w:t xml:space="preserve">причиной технологических нарушений в тепловых сетях является высокий износ сетевого хозяйства. Большинство сетей уже выработали свой ресурс. В основном они имеют теплоизоляцию невысокого качества, теплопотери через которую составляют около 10-30 процентов.</w:t>
      </w:r>
      <w:r/>
    </w:p>
    <w:p>
      <w:pPr>
        <w:pStyle w:val="12960"/>
        <w:pBdr/>
        <w:spacing/>
        <w:ind/>
        <w:rPr/>
      </w:pPr>
      <w:r>
        <w:t xml:space="preserve">Проблемы организации надежного и безопасного теплоснабжения развития теплоснабжения потребителей:</w:t>
      </w:r>
      <w:r/>
    </w:p>
    <w:p>
      <w:pPr>
        <w:pStyle w:val="13832"/>
        <w:numPr>
          <w:ilvl w:val="0"/>
          <w:numId w:val="61"/>
        </w:numPr>
        <w:pBdr/>
        <w:spacing/>
        <w:ind w:hanging="284" w:left="1135"/>
        <w:rPr>
          <w:rFonts w:eastAsia="Calibri"/>
          <w:iCs/>
          <w:color w:val="0a0a0c"/>
          <w:szCs w:val="24"/>
        </w:rPr>
      </w:pPr>
      <w:r>
        <w:rPr>
          <w:rFonts w:eastAsia="Calibri"/>
          <w:iCs/>
          <w:color w:val="0a0a0c"/>
          <w:szCs w:val="24"/>
        </w:rPr>
        <w:t xml:space="preserve">отсутствие автоматизации технологических процессов;</w:t>
      </w:r>
      <w:r>
        <w:rPr>
          <w:rFonts w:eastAsia="Calibri"/>
          <w:iCs/>
          <w:color w:val="0a0a0c"/>
          <w:szCs w:val="24"/>
        </w:rPr>
      </w:r>
    </w:p>
    <w:p>
      <w:pPr>
        <w:pStyle w:val="13832"/>
        <w:numPr>
          <w:ilvl w:val="0"/>
          <w:numId w:val="61"/>
        </w:numPr>
        <w:pBdr/>
        <w:spacing/>
        <w:ind w:hanging="284" w:left="1135"/>
        <w:rPr>
          <w:rFonts w:eastAsia="Calibri"/>
        </w:rPr>
      </w:pPr>
      <w:r>
        <w:rPr>
          <w:rFonts w:eastAsia="Calibri"/>
        </w:rPr>
        <w:t xml:space="preserve">потери теплоэнергии при транспортировке</w:t>
      </w:r>
      <w:r>
        <w:rPr>
          <w:rFonts w:eastAsia="Calibri"/>
        </w:rPr>
      </w:r>
    </w:p>
    <w:p>
      <w:pPr>
        <w:pStyle w:val="10533"/>
        <w:pBdr/>
        <w:spacing/>
        <w:ind/>
        <w:rPr>
          <w:rFonts w:eastAsia="Calibri"/>
          <w:lang w:eastAsia="en-US"/>
        </w:rPr>
      </w:pPr>
      <w:r>
        <w:rPr>
          <w:rFonts w:eastAsia="Calibri"/>
          <w:lang w:eastAsia="en-US"/>
        </w:rPr>
      </w:r>
      <w:r>
        <w:rPr>
          <w:rFonts w:eastAsia="Calibri"/>
          <w:lang w:eastAsia="en-US"/>
        </w:rPr>
      </w:r>
    </w:p>
    <w:p>
      <w:pPr>
        <w:pStyle w:val="10533"/>
        <w:pBdr/>
        <w:spacing/>
        <w:ind/>
        <w:rPr>
          <w:rFonts w:eastAsia="Calibri"/>
          <w:lang w:eastAsia="en-US"/>
        </w:rPr>
      </w:pPr>
      <w:r>
        <w:rPr>
          <w:rFonts w:eastAsia="Calibri"/>
          <w:lang w:eastAsia="en-US"/>
        </w:rPr>
      </w:r>
      <w:r>
        <w:rPr>
          <w:rFonts w:eastAsia="Calibri"/>
          <w:lang w:eastAsia="en-US"/>
        </w:rPr>
      </w:r>
    </w:p>
    <w:p>
      <w:pPr>
        <w:pStyle w:val="10533"/>
        <w:pBdr/>
        <w:spacing/>
        <w:ind/>
        <w:rPr>
          <w:rFonts w:eastAsia="Calibri"/>
          <w:lang w:eastAsia="en-US"/>
        </w:rPr>
      </w:pPr>
      <w:r>
        <w:rPr>
          <w:rFonts w:eastAsia="Calibri"/>
          <w:lang w:eastAsia="en-US"/>
        </w:rPr>
      </w:r>
      <w:r>
        <w:rPr>
          <w:rFonts w:eastAsia="Calibri"/>
          <w:lang w:eastAsia="en-US"/>
        </w:rPr>
      </w:r>
    </w:p>
    <w:p>
      <w:pPr>
        <w:pStyle w:val="10533"/>
        <w:pBdr/>
        <w:spacing/>
        <w:ind/>
        <w:rPr>
          <w:rFonts w:eastAsia="Calibri"/>
          <w:lang w:eastAsia="en-US"/>
        </w:rPr>
      </w:pPr>
      <w:r>
        <w:rPr>
          <w:rFonts w:eastAsia="Calibri"/>
          <w:lang w:eastAsia="en-US"/>
        </w:rPr>
      </w:r>
      <w:r>
        <w:rPr>
          <w:rFonts w:eastAsia="Calibri"/>
          <w:lang w:eastAsia="en-US"/>
        </w:rP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623" w:name="_Toc515271657"/>
      <w:r/>
      <w:bookmarkStart w:id="624" w:name="_Toc198483560"/>
      <w:r/>
      <w:bookmarkStart w:id="625" w:name="_Toc78674767"/>
      <w:r/>
      <w:bookmarkStart w:id="626" w:name="_Toc84971004"/>
      <w:r/>
      <w:bookmarkStart w:id="627" w:name="_Toc166767220"/>
      <w:r>
        <w:rPr>
          <w:rFonts w:cs="Times New Roman"/>
        </w:rPr>
        <w:t xml:space="preserve">Описание существующих проблем развития систем теплоснабжения</w:t>
      </w:r>
      <w:bookmarkEnd w:id="623"/>
      <w:r/>
      <w:bookmarkEnd w:id="624"/>
      <w:r/>
      <w:bookmarkEnd w:id="625"/>
      <w:r/>
      <w:bookmarkEnd w:id="626"/>
      <w:r/>
      <w:bookmarkEnd w:id="627"/>
      <w:r/>
      <w:r>
        <w:rPr>
          <w:rFonts w:cs="Times New Roman"/>
        </w:rPr>
      </w:r>
    </w:p>
    <w:p>
      <w:pPr>
        <w:pStyle w:val="12960"/>
        <w:pBdr/>
        <w:spacing/>
        <w:ind/>
        <w:rPr/>
      </w:pPr>
      <w:r>
        <w:t xml:space="preserve">Существуют проблемы, которые сдерживают развитие системы теплоснабжения муниципального образования Астаповское. </w:t>
      </w:r>
      <w:r/>
    </w:p>
    <w:p>
      <w:pPr>
        <w:pStyle w:val="12960"/>
        <w:pBdr/>
        <w:spacing/>
        <w:ind/>
        <w:rPr/>
      </w:pPr>
      <w:r>
        <w:t xml:space="preserve">Этими проблемами являются: </w:t>
      </w: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Низкий процент замены сетей теплоснабжения из-за недостатка финансовых средств. Необходимо выделение дополнительных целевых бюджетных средств на замену сетей теплоснабжения. </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Необходима модернизация тепловой изоляции сетей ТВС надземной прокладки с применением передовых технологий. </w:t>
      </w:r>
      <w:r>
        <w:rPr>
          <w:lang w:bidi="en-US"/>
        </w:rPr>
      </w:r>
    </w:p>
    <w:p>
      <w:pPr>
        <w:pStyle w:val="13832"/>
        <w:numPr>
          <w:ilvl w:val="0"/>
          <w:numId w:val="61"/>
        </w:numPr>
        <w:pBdr/>
        <w:spacing/>
        <w:ind w:hanging="284" w:left="1135"/>
        <w:rPr>
          <w:lang w:bidi="en-US"/>
        </w:rPr>
      </w:pPr>
      <w:r>
        <w:rPr>
          <w:lang w:bidi="en-US"/>
        </w:rPr>
        <w:t xml:space="preserve">Необходимо проведение наладки тепловых сетей в поселении. </w:t>
      </w:r>
      <w:r>
        <w:rPr>
          <w:lang w:bidi="en-US"/>
        </w:rPr>
      </w:r>
    </w:p>
    <w:p>
      <w:pPr>
        <w:pStyle w:val="12960"/>
        <w:pBdr/>
        <w:spacing/>
        <w:ind/>
        <w:rPr/>
      </w:pPr>
      <w:r>
        <w:t xml:space="preserve">Для решения проблем требуется разработка, финансирование и реализация инвестиционных программ в области энергосбережения и повышения энергетической</w:t>
      </w:r>
      <w:r>
        <w:rPr>
          <w:rFonts w:eastAsia="宋体" w:eastAsiaTheme="minorEastAsia"/>
          <w:color w:val="auto"/>
          <w:sz w:val="22"/>
          <w:szCs w:val="22"/>
          <w:lang w:eastAsia="ru-RU"/>
        </w:rPr>
        <w:t xml:space="preserve"> </w:t>
      </w:r>
      <w:r>
        <w:t xml:space="preserve">эффективности.</w:t>
      </w:r>
      <w:r/>
    </w:p>
    <w:p>
      <w:pPr>
        <w:pStyle w:val="10535"/>
        <w:keepNext w:val="true"/>
        <w:widowControl w:val="false"/>
        <w:numPr>
          <w:ilvl w:val="1"/>
          <w:numId w:val="13"/>
        </w:numPr>
        <w:pBdr/>
        <w:bidi w:val="false"/>
        <w:spacing w:after="240" w:before="240" w:line="240" w:lineRule="auto"/>
        <w:ind w:right="0" w:hanging="737" w:left="737"/>
        <w:jc w:val="center"/>
        <w:rPr>
          <w:rFonts w:cs="Times New Roman"/>
        </w:rPr>
      </w:pPr>
      <w:r/>
      <w:bookmarkStart w:id="628" w:name="_Toc84971005"/>
      <w:r/>
      <w:bookmarkStart w:id="629" w:name="_Toc78674768"/>
      <w:r/>
      <w:bookmarkStart w:id="630" w:name="_Toc515271658"/>
      <w:r/>
      <w:bookmarkStart w:id="631" w:name="_Toc198483561"/>
      <w:r/>
      <w:bookmarkStart w:id="632" w:name="_Toc166767221"/>
      <w:r>
        <w:rPr>
          <w:rFonts w:cs="Times New Roman"/>
        </w:rPr>
        <w:t xml:space="preserve">Описание существующих проблем надежного и эффективного снабжения топливом действующих систем теплоснабжения</w:t>
      </w:r>
      <w:bookmarkEnd w:id="628"/>
      <w:r/>
      <w:bookmarkEnd w:id="629"/>
      <w:r/>
      <w:bookmarkEnd w:id="630"/>
      <w:r/>
      <w:bookmarkEnd w:id="631"/>
      <w:r/>
      <w:bookmarkEnd w:id="632"/>
      <w:r/>
      <w:r>
        <w:rPr>
          <w:rFonts w:cs="Times New Roman"/>
        </w:rPr>
      </w:r>
    </w:p>
    <w:p>
      <w:pPr>
        <w:pStyle w:val="12960"/>
        <w:pBdr/>
        <w:spacing/>
        <w:ind/>
        <w:rPr/>
      </w:pPr>
      <w:r>
        <w:t xml:space="preserve">В качестве основного топлива на существующих источниках тепловой энергии с</w:t>
      </w:r>
      <w:r>
        <w:t xml:space="preserve">истемы теплоснабжения муниципального образования Астаповское используется природный газ. 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пиковые периоды.</w:t>
      </w:r>
      <w:r/>
    </w:p>
    <w:p>
      <w:pPr>
        <w:pStyle w:val="12960"/>
        <w:pBdr/>
        <w:spacing/>
        <w:ind/>
        <w:rPr/>
      </w:pPr>
      <w:r>
        <w:t xml:space="preserve">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периоды резких похолоданий.</w:t>
      </w:r>
      <w:r/>
    </w:p>
    <w:p>
      <w:pPr>
        <w:pStyle w:val="12960"/>
        <w:pBdr/>
        <w:spacing/>
        <w:ind/>
        <w:rPr/>
      </w:pPr>
      <w: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w:t>
      </w:r>
      <w:r/>
    </w:p>
    <w:p>
      <w:pPr>
        <w:pStyle w:val="10535"/>
        <w:keepNext w:val="false"/>
        <w:widowControl w:val="false"/>
        <w:numPr>
          <w:ilvl w:val="1"/>
          <w:numId w:val="13"/>
        </w:numPr>
        <w:pBdr/>
        <w:bidi w:val="false"/>
        <w:spacing w:after="240" w:before="240" w:line="240" w:lineRule="auto"/>
        <w:ind w:right="0" w:hanging="737" w:left="737"/>
        <w:jc w:val="center"/>
        <w:rPr>
          <w:rFonts w:cs="Times New Roman"/>
        </w:rPr>
      </w:pPr>
      <w:r/>
      <w:bookmarkStart w:id="633" w:name="_Toc515271659"/>
      <w:r/>
      <w:bookmarkStart w:id="634" w:name="_Toc78674769"/>
      <w:r/>
      <w:bookmarkStart w:id="635" w:name="_Toc166767222"/>
      <w:r/>
      <w:bookmarkStart w:id="636" w:name="_Toc84971006"/>
      <w:r/>
      <w:bookmarkStart w:id="637" w:name="_Toc198483562"/>
      <w:r>
        <w:rPr>
          <w:rFonts w:cs="Times New Roman"/>
        </w:rPr>
        <w:t xml:space="preserve">Анализ предписаний надзорных органов об устранении нарушений, влияющих на безопасность и надежность системы теплоснабжения</w:t>
      </w:r>
      <w:bookmarkEnd w:id="633"/>
      <w:r/>
      <w:bookmarkEnd w:id="634"/>
      <w:r/>
      <w:bookmarkEnd w:id="635"/>
      <w:r/>
      <w:bookmarkEnd w:id="636"/>
      <w:r/>
      <w:bookmarkEnd w:id="637"/>
      <w:r/>
      <w:r>
        <w:rPr>
          <w:rFonts w:cs="Times New Roman"/>
        </w:rPr>
      </w:r>
    </w:p>
    <w:p>
      <w:pPr>
        <w:pStyle w:val="12960"/>
        <w:pBdr/>
        <w:spacing/>
        <w:ind/>
        <w:rPr/>
      </w:pPr>
      <w:r>
        <w:rPr>
          <w:rStyle w:val="11000"/>
          <w:bCs/>
          <w:iCs/>
        </w:rPr>
        <w:t xml:space="preserve">Предписания надзорных органов об устранении нарушений, влияющих на безопасность и н</w:t>
      </w:r>
      <w:r>
        <w:t xml:space="preserve">адежность системы теплоснабжения, не выявлены.</w:t>
      </w:r>
      <w:bookmarkEnd w:id="611"/>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94"/>
          <w:headerReference w:type="first" r:id="rId95"/>
          <w:footerReference w:type="default" r:id="rId362"/>
          <w:footerReference w:type="first" r:id="rId363"/>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pPr>
      <w:r/>
      <w:bookmarkStart w:id="638" w:name="_Toc9154861"/>
      <w:r/>
      <w:bookmarkStart w:id="639" w:name="_Toc84971007"/>
      <w:r/>
      <w:bookmarkStart w:id="640" w:name="_Toc521411570"/>
      <w:r/>
      <w:bookmarkStart w:id="641" w:name="_Toc166767223"/>
      <w:r/>
      <w:bookmarkStart w:id="642" w:name="_Toc198483563"/>
      <w:r/>
      <w:bookmarkEnd w:id="640"/>
      <w:r>
        <w:rPr>
          <w:spacing w:val="0"/>
        </w:rPr>
        <w:t xml:space="preserve">ГЛАВА 2 СУЩЕСТВУЮЩЕЕ И ПЕРСПЕКТИВНОЕ ПОТРЕБЛЕНИЕ ТЕПЛОВОЙ ЭНЕРГИИ НА ЦЕЛИ ТЕПЛОСНАБЖЕНИЯ</w:t>
      </w:r>
      <w:bookmarkEnd w:id="638"/>
      <w:r/>
      <w:bookmarkEnd w:id="639"/>
      <w:r/>
      <w:bookmarkEnd w:id="641"/>
      <w:r/>
      <w:bookmarkEnd w:id="642"/>
      <w:r/>
      <w:r>
        <w:rPr>
          <w:spacing w:val="0"/>
        </w:rPr>
      </w:r>
    </w:p>
    <w:p>
      <w:pPr>
        <w:pStyle w:val="10534"/>
        <w:numPr>
          <w:ilvl w:val="0"/>
          <w:numId w:val="0"/>
        </w:numPr>
        <w:pBdr/>
        <w:spacing/>
        <w:ind w:firstLine="0" w:left="0"/>
        <w:rPr>
          <w:spacing w:val="0"/>
        </w:rPr>
      </w:pPr>
      <w:r/>
      <w:bookmarkStart w:id="643" w:name="_Toc198483564"/>
      <w:r/>
      <w:bookmarkStart w:id="644" w:name="_Toc166767224"/>
      <w:r/>
      <w:bookmarkStart w:id="645" w:name="_Toc84971008"/>
      <w:r/>
      <w:bookmarkStart w:id="646" w:name="_Toc9154862"/>
      <w:r>
        <w:rPr>
          <w:rFonts w:eastAsia="Calibri"/>
          <w:spacing w:val="0"/>
        </w:rPr>
        <w:t xml:space="preserve">Данные базового уровня потребления тепла на цели теплоснабжения</w:t>
      </w:r>
      <w:bookmarkEnd w:id="643"/>
      <w:r/>
      <w:bookmarkEnd w:id="644"/>
      <w:r/>
      <w:bookmarkEnd w:id="645"/>
      <w:r/>
      <w:bookmarkEnd w:id="646"/>
      <w:r/>
      <w:r>
        <w:rPr>
          <w:spacing w:val="0"/>
        </w:rPr>
      </w:r>
    </w:p>
    <w:p>
      <w:pPr>
        <w:pStyle w:val="12960"/>
        <w:pBdr/>
        <w:spacing/>
        <w:ind/>
        <w:rPr/>
      </w:pPr>
      <w:r>
        <w:t xml:space="preserve">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w:t>
      </w:r>
      <w:r>
        <w:t xml:space="preserve">аны исходя из планового ремонта тепловых сетей в межотопительный период, а также представлен вариант развития системы централизованного теплоснабжения муниципального образования Астаповское (Глава 5. Мастер-план развития системы теплоснабжения поселения). </w:t>
      </w:r>
      <w:r/>
    </w:p>
    <w:p>
      <w:pPr>
        <w:pStyle w:val="12960"/>
        <w:pBdr/>
        <w:spacing/>
        <w:ind/>
        <w:rPr/>
      </w:pPr>
      <w:r>
        <w:t xml:space="preserve">Существующее потребление тепловой энергии и потребление за 2025 год в целом, представлены в таблице.</w:t>
      </w:r>
      <w:bookmarkStart w:id="647" w:name="_Toc527706878"/>
      <w:r>
        <w:t xml:space="preserve"> </w:t>
      </w:r>
      <w:r/>
    </w:p>
    <w:p>
      <w:pPr>
        <w:pStyle w:val="12960"/>
        <w:pBdr/>
        <w:spacing/>
        <w:ind/>
        <w:rPr>
          <w:b/>
        </w:rPr>
        <w:sectPr>
          <w:headerReference w:type="default" r:id="rId96"/>
          <w:headerReference w:type="first" r:id="rId97"/>
          <w:footerReference w:type="default" r:id="rId364"/>
          <w:footerReference w:type="first" r:id="rId365"/>
          <w:footnotePr/>
          <w:endnotePr/>
          <w:type w:val="nextPage"/>
          <w:pgSz w:h="16838" w:orient="portrait" w:w="11906"/>
          <w:pgMar w:top="1134" w:right="850" w:bottom="1134" w:left="1701" w:header="567" w:footer="454" w:gutter="0"/>
          <w:cols w:num="1" w:sep="0" w:space="1701" w:equalWidth="1"/>
        </w:sectPr>
      </w:pPr>
      <w:r>
        <w:rPr>
          <w:b/>
        </w:rPr>
      </w:r>
      <w:r>
        <w:rPr>
          <w:b/>
        </w:rPr>
      </w:r>
    </w:p>
    <w:p>
      <w:pPr>
        <w:pStyle w:val="12960"/>
        <w:pBdr/>
        <w:spacing/>
        <w:ind/>
        <w:rPr>
          <w:b/>
          <w:bCs w:val="0"/>
        </w:rPr>
      </w:pPr>
      <w:r>
        <w:rPr>
          <w:b/>
          <w:bCs w:val="0"/>
        </w:rPr>
        <w:t xml:space="preserve">Таблица 2.1.1 – </w:t>
      </w:r>
      <w:bookmarkEnd w:id="647"/>
      <w:r>
        <w:rPr>
          <w:b/>
          <w:bCs w:val="0"/>
        </w:rPr>
        <w:t xml:space="preserve">Существующее потребление тепловой энергии </w:t>
      </w:r>
      <w:r>
        <w:rPr>
          <w:b/>
          <w:bCs w:val="0"/>
        </w:rPr>
      </w:r>
    </w:p>
    <w:tbl>
      <w:tblPr>
        <w:tblInd w:w="0" w:type="dxa"/>
        <w:tblW w:w="14278" w:type="dxa"/>
        <w:tblCellMar>
          <w:left w:w="108" w:type="dxa"/>
          <w:top w:w="0" w:type="dxa"/>
          <w:right w:w="108" w:type="dxa"/>
          <w:bottom w:w="0" w:type="dxa"/>
        </w:tblCellMar>
        <w:tblBorders/>
        <w:tblLayout w:type="fixed"/>
        <w:tblLook w:val="04A0" w:firstRow="1" w:lastRow="0" w:firstColumn="1" w:lastColumn="0" w:noHBand="0" w:noVBand="1"/>
      </w:tblPr>
      <w:tblGrid>
        <w:gridCol w:w="474"/>
        <w:gridCol w:w="1424"/>
        <w:gridCol w:w="1468"/>
        <w:gridCol w:w="1058"/>
        <w:gridCol w:w="1601"/>
        <w:gridCol w:w="1222"/>
        <w:gridCol w:w="1305"/>
        <w:gridCol w:w="1011"/>
        <w:gridCol w:w="871"/>
        <w:gridCol w:w="1246"/>
        <w:gridCol w:w="1270"/>
        <w:gridCol w:w="1327"/>
      </w:tblGrid>
      <w:tr>
        <w:trPr>
          <w:trHeight w:val="276"/>
        </w:trPr>
        <w:tc>
          <w:tcPr>
            <w:shd w:val="clear" w:color="000000" w:fill="d9d9d9"/>
            <w:tcBorders>
              <w:top w:val="single" w:color="000000" w:sz="4" w:space="0"/>
              <w:left w:val="single" w:color="000000" w:sz="4" w:space="0"/>
              <w:bottom w:val="single" w:color="000000" w:sz="4" w:space="0"/>
              <w:right w:val="single" w:color="000000" w:sz="4" w:space="0"/>
            </w:tcBorders>
            <w:tcW w:w="474" w:type="dxa"/>
            <w:vAlign w:val="center"/>
            <w:vMerge w:val="restart"/>
          </w:tcPr>
          <w:p>
            <w:pPr>
              <w:pStyle w:val="10533"/>
              <w:pBdr/>
              <w:spacing/>
              <w:ind/>
              <w:jc w:val="center"/>
              <w:rPr>
                <w:color w:val="000000"/>
                <w:sz w:val="20"/>
                <w:szCs w:val="20"/>
              </w:rPr>
            </w:pPr>
            <w:r>
              <w:rPr>
                <w:color w:val="000000"/>
                <w:sz w:val="20"/>
                <w:szCs w:val="20"/>
              </w:rPr>
              <w:t xml:space="preserve">№ </w:t>
            </w:r>
            <w:r>
              <w:rPr>
                <w:color w:val="000000"/>
                <w:sz w:val="20"/>
                <w:szCs w:val="20"/>
              </w:rPr>
              <w:t xml:space="preserve">п/п</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424" w:type="dxa"/>
            <w:vAlign w:val="center"/>
            <w:vMerge w:val="restart"/>
          </w:tcPr>
          <w:p>
            <w:pPr>
              <w:pStyle w:val="10533"/>
              <w:pBdr/>
              <w:spacing/>
              <w:ind/>
              <w:jc w:val="center"/>
              <w:rPr>
                <w:color w:val="000000"/>
                <w:sz w:val="20"/>
                <w:szCs w:val="20"/>
              </w:rPr>
            </w:pPr>
            <w:r>
              <w:rPr>
                <w:color w:val="000000"/>
                <w:sz w:val="20"/>
                <w:szCs w:val="20"/>
              </w:rPr>
              <w:t xml:space="preserve">Наименование источника</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468" w:type="dxa"/>
            <w:vAlign w:val="center"/>
            <w:vMerge w:val="restart"/>
          </w:tcPr>
          <w:p>
            <w:pPr>
              <w:pStyle w:val="10533"/>
              <w:pBdr/>
              <w:spacing/>
              <w:ind/>
              <w:jc w:val="center"/>
              <w:rPr>
                <w:color w:val="000000"/>
                <w:sz w:val="20"/>
                <w:szCs w:val="20"/>
              </w:rPr>
            </w:pPr>
            <w:r>
              <w:rPr>
                <w:color w:val="000000"/>
                <w:sz w:val="20"/>
                <w:szCs w:val="20"/>
              </w:rPr>
              <w:t xml:space="preserve">Установленная тепловая мощность, Гкал/ч</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058" w:type="dxa"/>
            <w:vAlign w:val="center"/>
            <w:vMerge w:val="restart"/>
          </w:tcPr>
          <w:p>
            <w:pPr>
              <w:pStyle w:val="10533"/>
              <w:pBdr/>
              <w:spacing/>
              <w:ind/>
              <w:jc w:val="center"/>
              <w:rPr>
                <w:color w:val="000000"/>
                <w:sz w:val="20"/>
                <w:szCs w:val="20"/>
              </w:rPr>
            </w:pPr>
            <w:r>
              <w:rPr>
                <w:color w:val="000000"/>
                <w:sz w:val="20"/>
                <w:szCs w:val="20"/>
              </w:rPr>
              <w:t xml:space="preserve">Потери мощности в тепловых сетях, Гкал/ч</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601" w:type="dxa"/>
            <w:vAlign w:val="center"/>
            <w:vMerge w:val="restart"/>
          </w:tcPr>
          <w:p>
            <w:pPr>
              <w:pStyle w:val="10533"/>
              <w:pBdr/>
              <w:spacing/>
              <w:ind/>
              <w:jc w:val="center"/>
              <w:rPr>
                <w:color w:val="000000"/>
                <w:sz w:val="20"/>
                <w:szCs w:val="20"/>
              </w:rPr>
            </w:pPr>
            <w:r>
              <w:rPr>
                <w:color w:val="000000"/>
                <w:sz w:val="20"/>
                <w:szCs w:val="20"/>
              </w:rPr>
              <w:t xml:space="preserve">Присоединенная расчетная тепловая нагрузка (мощность), Гкал/ч</w:t>
            </w:r>
            <w:r>
              <w:rPr>
                <w:color w:val="000000"/>
                <w:sz w:val="20"/>
                <w:szCs w:val="20"/>
              </w:rPr>
            </w:r>
          </w:p>
        </w:tc>
        <w:tc>
          <w:tcPr>
            <w:gridSpan w:val="3"/>
            <w:shd w:val="clear" w:color="000000" w:fill="d9d9d9"/>
            <w:tcBorders>
              <w:top w:val="single" w:color="000000" w:sz="4" w:space="0"/>
              <w:bottom w:val="single" w:color="000000" w:sz="4" w:space="0"/>
              <w:right w:val="single" w:color="000000" w:sz="4" w:space="0"/>
            </w:tcBorders>
            <w:tcW w:w="3538" w:type="dxa"/>
            <w:vAlign w:val="center"/>
          </w:tcPr>
          <w:p>
            <w:pPr>
              <w:pStyle w:val="10533"/>
              <w:pBdr/>
              <w:spacing/>
              <w:ind/>
              <w:jc w:val="center"/>
              <w:rPr>
                <w:color w:val="000000"/>
                <w:sz w:val="20"/>
                <w:szCs w:val="20"/>
              </w:rPr>
            </w:pPr>
            <w:r>
              <w:rPr>
                <w:color w:val="000000"/>
                <w:sz w:val="20"/>
                <w:szCs w:val="20"/>
              </w:rPr>
              <w:t xml:space="preserve">Объемы потребления тепловой энергии в год,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871" w:type="dxa"/>
            <w:vAlign w:val="center"/>
            <w:vMerge w:val="restart"/>
          </w:tcPr>
          <w:p>
            <w:pPr>
              <w:pStyle w:val="10533"/>
              <w:pBdr/>
              <w:spacing/>
              <w:ind/>
              <w:jc w:val="center"/>
              <w:rPr>
                <w:color w:val="000000"/>
                <w:sz w:val="20"/>
                <w:szCs w:val="20"/>
              </w:rPr>
            </w:pPr>
            <w:r>
              <w:rPr>
                <w:color w:val="000000"/>
                <w:sz w:val="20"/>
                <w:szCs w:val="20"/>
              </w:rPr>
              <w:t xml:space="preserve">Потери,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46" w:type="dxa"/>
            <w:vAlign w:val="center"/>
            <w:vMerge w:val="restart"/>
          </w:tcPr>
          <w:p>
            <w:pPr>
              <w:pStyle w:val="10533"/>
              <w:pBdr/>
              <w:spacing/>
              <w:ind/>
              <w:jc w:val="center"/>
              <w:rPr>
                <w:color w:val="000000"/>
                <w:sz w:val="20"/>
                <w:szCs w:val="20"/>
              </w:rPr>
            </w:pPr>
            <w:r>
              <w:rPr>
                <w:color w:val="000000"/>
                <w:sz w:val="20"/>
                <w:szCs w:val="20"/>
              </w:rPr>
              <w:t xml:space="preserve">Отпуск тепловой энергии с коллекторов источников тепловой энергии,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70" w:type="dxa"/>
            <w:vAlign w:val="center"/>
            <w:vMerge w:val="restart"/>
          </w:tcPr>
          <w:p>
            <w:pPr>
              <w:pStyle w:val="10533"/>
              <w:pBdr/>
              <w:spacing/>
              <w:ind/>
              <w:jc w:val="center"/>
              <w:rPr>
                <w:color w:val="000000"/>
                <w:sz w:val="20"/>
                <w:szCs w:val="20"/>
              </w:rPr>
            </w:pPr>
            <w:r>
              <w:rPr>
                <w:color w:val="000000"/>
                <w:sz w:val="20"/>
                <w:szCs w:val="20"/>
              </w:rPr>
              <w:t xml:space="preserve">Расход тепловой энергии на собственные нужды,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327" w:type="dxa"/>
            <w:vAlign w:val="center"/>
            <w:vMerge w:val="restart"/>
          </w:tcPr>
          <w:p>
            <w:pPr>
              <w:pStyle w:val="10533"/>
              <w:pBdr/>
              <w:spacing/>
              <w:ind/>
              <w:jc w:val="center"/>
              <w:rPr>
                <w:color w:val="000000"/>
                <w:sz w:val="20"/>
                <w:szCs w:val="20"/>
              </w:rPr>
            </w:pPr>
            <w:r>
              <w:rPr>
                <w:color w:val="000000"/>
                <w:sz w:val="20"/>
                <w:szCs w:val="20"/>
              </w:rPr>
              <w:t xml:space="preserve">Объем производства тепловой энергии в год, Гкал</w:t>
            </w:r>
            <w:r>
              <w:rPr>
                <w:color w:val="000000"/>
                <w:sz w:val="20"/>
                <w:szCs w:val="20"/>
              </w:rPr>
            </w:r>
          </w:p>
        </w:tc>
      </w:tr>
      <w:tr>
        <w:trPr>
          <w:trHeight w:val="1332"/>
        </w:trPr>
        <w:tc>
          <w:tcPr>
            <w:tcBorders>
              <w:top w:val="single" w:color="000000" w:sz="4" w:space="0"/>
              <w:left w:val="single" w:color="000000" w:sz="4" w:space="0"/>
              <w:bottom w:val="single" w:color="000000" w:sz="4" w:space="0"/>
              <w:right w:val="single" w:color="000000" w:sz="4" w:space="0"/>
            </w:tcBorders>
            <w:tcW w:w="474"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424"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468"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058"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top w:val="single" w:color="000000" w:sz="4" w:space="0"/>
              <w:left w:val="single" w:color="000000" w:sz="4" w:space="0"/>
              <w:bottom w:val="single" w:color="000000" w:sz="4" w:space="0"/>
              <w:right w:val="single" w:color="000000" w:sz="4" w:space="0"/>
            </w:tcBorders>
            <w:tcW w:w="1601"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Объекты бюджетной сферы, Гкал</w:t>
            </w:r>
            <w:r>
              <w:rPr>
                <w:color w:val="000000"/>
                <w:sz w:val="20"/>
                <w:szCs w:val="20"/>
              </w:rPr>
            </w:r>
          </w:p>
        </w:tc>
        <w:tc>
          <w:tcPr>
            <w:shd w:val="clear" w:color="000000" w:fill="d9d9d9"/>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Прочие потребители, Гкал</w:t>
            </w:r>
            <w:r>
              <w:rPr>
                <w:color w:val="000000"/>
                <w:sz w:val="20"/>
                <w:szCs w:val="20"/>
              </w:rPr>
            </w:r>
          </w:p>
        </w:tc>
        <w:tc>
          <w:tcPr>
            <w:shd w:val="clear" w:color="000000" w:fill="d9d9d9"/>
            <w:tcBorders>
              <w:right w:val="single" w:color="000000" w:sz="4" w:space="0"/>
            </w:tcBorders>
            <w:tcW w:w="1011" w:type="dxa"/>
            <w:vAlign w:val="center"/>
          </w:tcPr>
          <w:p>
            <w:pPr>
              <w:pStyle w:val="10533"/>
              <w:pBdr/>
              <w:spacing/>
              <w:ind/>
              <w:jc w:val="center"/>
              <w:rPr>
                <w:color w:val="000000"/>
                <w:sz w:val="20"/>
                <w:szCs w:val="20"/>
              </w:rPr>
            </w:pPr>
            <w:r>
              <w:rPr>
                <w:color w:val="000000"/>
                <w:sz w:val="20"/>
                <w:szCs w:val="20"/>
              </w:rPr>
              <w:t xml:space="preserve">Всего, полезный отпуск тепловой энергии, Гкал</w:t>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871"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4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270"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000000" w:fill="d9d9d9"/>
            <w:tcBorders>
              <w:top w:val="single" w:color="000000" w:sz="4" w:space="0"/>
              <w:left w:val="single" w:color="000000" w:sz="4" w:space="0"/>
              <w:bottom w:val="single" w:color="000000" w:sz="4" w:space="0"/>
              <w:right w:val="single" w:color="000000" w:sz="4" w:space="0"/>
            </w:tcBorders>
            <w:tcW w:w="1327"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r>
      <w:tr>
        <w:trPr>
          <w:trHeight w:val="288"/>
        </w:trPr>
        <w:tc>
          <w:tcPr>
            <w:shd w:val="clear" w:color="000000" w:fill="ffffff"/>
            <w:tcBorders>
              <w:left w:val="single" w:color="000000" w:sz="4" w:space="0"/>
              <w:bottom w:val="single" w:color="000000" w:sz="4" w:space="0"/>
              <w:right w:val="single" w:color="000000" w:sz="4" w:space="0"/>
            </w:tcBorders>
            <w:tcW w:w="474" w:type="dxa"/>
            <w:vAlign w:val="center"/>
          </w:tcPr>
          <w:p>
            <w:pPr>
              <w:pStyle w:val="10533"/>
              <w:pBdr/>
              <w:spacing/>
              <w:ind/>
              <w:jc w:val="center"/>
              <w:rPr>
                <w:color w:val="000000"/>
                <w:sz w:val="20"/>
                <w:szCs w:val="20"/>
              </w:rPr>
            </w:pPr>
            <w:r>
              <w:rPr>
                <w:color w:val="000000"/>
                <w:sz w:val="20"/>
                <w:szCs w:val="20"/>
              </w:rPr>
              <w:t xml:space="preserve">1</w:t>
            </w:r>
            <w:r>
              <w:rPr>
                <w:color w:val="000000"/>
                <w:sz w:val="20"/>
                <w:szCs w:val="20"/>
              </w:rPr>
            </w:r>
          </w:p>
        </w:tc>
        <w:tc>
          <w:tcPr>
            <w:shd w:val="clear" w:color="000000" w:fill="ffffff"/>
            <w:tcBorders>
              <w:bottom w:val="single" w:color="000000" w:sz="4" w:space="0"/>
              <w:right w:val="single" w:color="000000" w:sz="4" w:space="0"/>
            </w:tcBorders>
            <w:tcW w:w="1424" w:type="dxa"/>
            <w:vAlign w:val="center"/>
          </w:tcPr>
          <w:p>
            <w:pPr>
              <w:pStyle w:val="10533"/>
              <w:pBdr/>
              <w:spacing/>
              <w:ind/>
              <w:jc w:val="center"/>
              <w:rPr>
                <w:color w:val="000000"/>
                <w:sz w:val="20"/>
                <w:szCs w:val="20"/>
              </w:rPr>
            </w:pPr>
            <w:r>
              <w:rPr>
                <w:color w:val="000000"/>
                <w:sz w:val="20"/>
                <w:szCs w:val="20"/>
              </w:rPr>
              <w:t xml:space="preserve">Котельная №5 д. Ясенки</w:t>
            </w:r>
            <w:r>
              <w:rPr>
                <w:color w:val="000000"/>
                <w:sz w:val="20"/>
                <w:szCs w:val="20"/>
              </w:rPr>
            </w:r>
          </w:p>
        </w:tc>
        <w:tc>
          <w:tcPr>
            <w:shd w:val="clear" w:color="000000" w:fill="ffffff"/>
            <w:tcBorders>
              <w:bottom w:val="single" w:color="000000" w:sz="4" w:space="0"/>
              <w:right w:val="single" w:color="000000" w:sz="4" w:space="0"/>
            </w:tcBorders>
            <w:tcW w:w="1468" w:type="dxa"/>
            <w:vAlign w:val="center"/>
          </w:tcPr>
          <w:p>
            <w:pPr>
              <w:pStyle w:val="10533"/>
              <w:pBdr/>
              <w:spacing/>
              <w:ind/>
              <w:jc w:val="center"/>
              <w:rPr>
                <w:color w:val="000000"/>
                <w:sz w:val="20"/>
                <w:szCs w:val="20"/>
              </w:rPr>
            </w:pPr>
            <w:r>
              <w:rPr>
                <w:color w:val="000000"/>
                <w:sz w:val="20"/>
                <w:szCs w:val="20"/>
              </w:rPr>
              <w:t xml:space="preserve">0,172</w:t>
            </w:r>
            <w:r>
              <w:rPr>
                <w:color w:val="000000"/>
                <w:sz w:val="20"/>
                <w:szCs w:val="20"/>
              </w:rPr>
            </w:r>
          </w:p>
        </w:tc>
        <w:tc>
          <w:tcPr>
            <w:shd w:val="clear" w:color="000000" w:fill="ffffff"/>
            <w:tcBorders>
              <w:bottom w:val="single" w:color="000000" w:sz="4" w:space="0"/>
              <w:right w:val="single" w:color="000000" w:sz="4" w:space="0"/>
            </w:tcBorders>
            <w:tcW w:w="1058" w:type="dxa"/>
            <w:vAlign w:val="center"/>
          </w:tcPr>
          <w:p>
            <w:pPr>
              <w:pStyle w:val="10533"/>
              <w:pBdr/>
              <w:spacing/>
              <w:ind/>
              <w:jc w:val="center"/>
              <w:rPr>
                <w:color w:val="000000"/>
                <w:sz w:val="20"/>
                <w:szCs w:val="20"/>
              </w:rPr>
            </w:pPr>
            <w:r>
              <w:rPr>
                <w:color w:val="000000"/>
                <w:sz w:val="20"/>
                <w:szCs w:val="20"/>
              </w:rPr>
              <w:t xml:space="preserve">0,004</w:t>
            </w:r>
            <w:r>
              <w:rPr>
                <w:color w:val="000000"/>
                <w:sz w:val="20"/>
                <w:szCs w:val="20"/>
              </w:rPr>
            </w:r>
          </w:p>
        </w:tc>
        <w:tc>
          <w:tcPr>
            <w:shd w:val="clear" w:color="000000" w:fill="ffffff"/>
            <w:tcBorders>
              <w:bottom w:val="single" w:color="000000" w:sz="4" w:space="0"/>
              <w:right w:val="single" w:color="000000" w:sz="4" w:space="0"/>
            </w:tcBorders>
            <w:tcW w:w="1601" w:type="dxa"/>
            <w:vAlign w:val="center"/>
          </w:tcPr>
          <w:p>
            <w:pPr>
              <w:pStyle w:val="10533"/>
              <w:pBdr/>
              <w:spacing/>
              <w:ind/>
              <w:jc w:val="center"/>
              <w:rPr>
                <w:color w:val="000000"/>
                <w:sz w:val="20"/>
                <w:szCs w:val="20"/>
              </w:rPr>
            </w:pPr>
            <w:r>
              <w:rPr>
                <w:color w:val="000000"/>
                <w:sz w:val="20"/>
                <w:szCs w:val="20"/>
              </w:rPr>
              <w:t xml:space="preserve">0,050</w:t>
            </w:r>
            <w:r>
              <w:rPr>
                <w:color w:val="000000"/>
                <w:sz w:val="20"/>
                <w:szCs w:val="20"/>
              </w:rPr>
            </w:r>
          </w:p>
        </w:tc>
        <w:tc>
          <w:tcPr>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108,097</w:t>
            </w:r>
            <w:r>
              <w:rPr>
                <w:color w:val="000000"/>
                <w:sz w:val="20"/>
                <w:szCs w:val="20"/>
              </w:rPr>
            </w:r>
          </w:p>
        </w:tc>
        <w:tc>
          <w:tcPr>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top w:val="single" w:color="000000" w:sz="4" w:space="0"/>
              <w:bottom w:val="single" w:color="000000" w:sz="4" w:space="0"/>
              <w:right w:val="single" w:color="000000" w:sz="4" w:space="0"/>
            </w:tcBorders>
            <w:tcW w:w="1011" w:type="dxa"/>
            <w:vAlign w:val="center"/>
          </w:tcPr>
          <w:p>
            <w:pPr>
              <w:pStyle w:val="10533"/>
              <w:pBdr/>
              <w:spacing/>
              <w:ind/>
              <w:jc w:val="center"/>
              <w:rPr>
                <w:color w:val="000000"/>
                <w:sz w:val="20"/>
                <w:szCs w:val="20"/>
              </w:rPr>
            </w:pPr>
            <w:r>
              <w:rPr>
                <w:color w:val="000000"/>
                <w:sz w:val="20"/>
                <w:szCs w:val="20"/>
              </w:rPr>
              <w:t xml:space="preserve">108,10</w:t>
            </w:r>
            <w:r>
              <w:rPr>
                <w:color w:val="000000"/>
                <w:sz w:val="20"/>
                <w:szCs w:val="20"/>
              </w:rPr>
            </w:r>
          </w:p>
        </w:tc>
        <w:tc>
          <w:tcPr>
            <w:tcBorders>
              <w:top w:val="single" w:color="000000" w:sz="4" w:space="0"/>
              <w:bottom w:val="single" w:color="000000" w:sz="4" w:space="0"/>
              <w:right w:val="single" w:color="000000" w:sz="4" w:space="0"/>
            </w:tcBorders>
            <w:tcW w:w="871" w:type="dxa"/>
            <w:vAlign w:val="center"/>
          </w:tcPr>
          <w:p>
            <w:pPr>
              <w:pStyle w:val="10533"/>
              <w:pBdr/>
              <w:spacing/>
              <w:ind/>
              <w:jc w:val="center"/>
              <w:rPr>
                <w:color w:val="000000"/>
                <w:sz w:val="20"/>
                <w:szCs w:val="20"/>
              </w:rPr>
            </w:pPr>
            <w:r>
              <w:rPr>
                <w:color w:val="000000"/>
                <w:sz w:val="20"/>
                <w:szCs w:val="20"/>
              </w:rPr>
              <w:t xml:space="preserve">8,47</w:t>
            </w:r>
            <w:r>
              <w:rPr>
                <w:color w:val="000000"/>
                <w:sz w:val="20"/>
                <w:szCs w:val="20"/>
              </w:rPr>
            </w:r>
          </w:p>
        </w:tc>
        <w:tc>
          <w:tcPr>
            <w:tcBorders>
              <w:top w:val="single" w:color="000000" w:sz="4" w:space="0"/>
              <w:bottom w:val="single" w:color="000000" w:sz="4" w:space="0"/>
              <w:right w:val="single" w:color="000000" w:sz="4" w:space="0"/>
            </w:tcBorders>
            <w:tcW w:w="1246" w:type="dxa"/>
            <w:vAlign w:val="center"/>
          </w:tcPr>
          <w:p>
            <w:pPr>
              <w:pStyle w:val="10533"/>
              <w:pBdr/>
              <w:spacing/>
              <w:ind/>
              <w:jc w:val="center"/>
              <w:rPr>
                <w:color w:val="000000"/>
                <w:sz w:val="20"/>
                <w:szCs w:val="20"/>
              </w:rPr>
            </w:pPr>
            <w:r>
              <w:rPr>
                <w:color w:val="000000"/>
                <w:sz w:val="20"/>
                <w:szCs w:val="20"/>
              </w:rPr>
              <w:t xml:space="preserve">116,57</w:t>
            </w:r>
            <w:r>
              <w:rPr>
                <w:color w:val="000000"/>
                <w:sz w:val="20"/>
                <w:szCs w:val="20"/>
              </w:rPr>
            </w:r>
          </w:p>
        </w:tc>
        <w:tc>
          <w:tcPr>
            <w:tcBorders>
              <w:top w:val="single" w:color="000000" w:sz="4" w:space="0"/>
              <w:bottom w:val="single" w:color="000000" w:sz="4" w:space="0"/>
              <w:right w:val="single" w:color="000000" w:sz="4" w:space="0"/>
            </w:tcBorders>
            <w:tcW w:w="1270" w:type="dxa"/>
            <w:vAlign w:val="center"/>
          </w:tcPr>
          <w:p>
            <w:pPr>
              <w:pStyle w:val="10533"/>
              <w:pBdr/>
              <w:spacing/>
              <w:ind/>
              <w:jc w:val="center"/>
              <w:rPr>
                <w:color w:val="000000"/>
                <w:sz w:val="20"/>
                <w:szCs w:val="20"/>
              </w:rPr>
            </w:pPr>
            <w:r>
              <w:rPr>
                <w:color w:val="000000"/>
                <w:sz w:val="20"/>
                <w:szCs w:val="20"/>
              </w:rPr>
              <w:t xml:space="preserve">2,01</w:t>
            </w:r>
            <w:r>
              <w:rPr>
                <w:color w:val="000000"/>
                <w:sz w:val="20"/>
                <w:szCs w:val="20"/>
              </w:rPr>
            </w:r>
          </w:p>
        </w:tc>
        <w:tc>
          <w:tcPr>
            <w:tcBorders>
              <w:top w:val="single" w:color="000000" w:sz="4" w:space="0"/>
              <w:bottom w:val="single" w:color="000000" w:sz="4" w:space="0"/>
              <w:right w:val="single" w:color="000000" w:sz="4" w:space="0"/>
            </w:tcBorders>
            <w:tcW w:w="1327" w:type="dxa"/>
            <w:vAlign w:val="center"/>
          </w:tcPr>
          <w:p>
            <w:pPr>
              <w:pStyle w:val="10533"/>
              <w:pBdr/>
              <w:spacing/>
              <w:ind/>
              <w:jc w:val="center"/>
              <w:rPr>
                <w:color w:val="000000"/>
                <w:sz w:val="20"/>
                <w:szCs w:val="20"/>
              </w:rPr>
            </w:pPr>
            <w:r>
              <w:rPr>
                <w:color w:val="000000"/>
                <w:sz w:val="20"/>
                <w:szCs w:val="20"/>
              </w:rPr>
              <w:t xml:space="preserve">118,58</w:t>
            </w:r>
            <w:r>
              <w:rPr>
                <w:color w:val="000000"/>
                <w:sz w:val="20"/>
                <w:szCs w:val="20"/>
              </w:rPr>
            </w:r>
          </w:p>
        </w:tc>
      </w:tr>
      <w:tr>
        <w:trPr>
          <w:trHeight w:val="348"/>
        </w:trPr>
        <w:tc>
          <w:tcPr>
            <w:shd w:val="clear" w:color="000000" w:fill="ffffff"/>
            <w:tcBorders>
              <w:left w:val="single" w:color="000000" w:sz="4" w:space="0"/>
              <w:bottom w:val="single" w:color="000000" w:sz="4" w:space="0"/>
              <w:right w:val="single" w:color="000000" w:sz="4" w:space="0"/>
            </w:tcBorders>
            <w:tcW w:w="474" w:type="dxa"/>
            <w:vAlign w:val="center"/>
          </w:tcPr>
          <w:p>
            <w:pPr>
              <w:pStyle w:val="10533"/>
              <w:pBdr/>
              <w:spacing/>
              <w:ind/>
              <w:jc w:val="center"/>
              <w:rPr>
                <w:color w:val="000000"/>
                <w:sz w:val="20"/>
                <w:szCs w:val="20"/>
              </w:rPr>
            </w:pPr>
            <w:r>
              <w:rPr>
                <w:color w:val="000000"/>
                <w:sz w:val="20"/>
                <w:szCs w:val="20"/>
              </w:rPr>
              <w:t xml:space="preserve">2</w:t>
            </w:r>
            <w:r>
              <w:rPr>
                <w:color w:val="000000"/>
                <w:sz w:val="20"/>
                <w:szCs w:val="20"/>
              </w:rPr>
            </w:r>
          </w:p>
        </w:tc>
        <w:tc>
          <w:tcPr>
            <w:shd w:val="clear" w:color="000000" w:fill="ffffff"/>
            <w:tcBorders>
              <w:bottom w:val="single" w:color="000000" w:sz="4" w:space="0"/>
              <w:right w:val="single" w:color="000000" w:sz="4" w:space="0"/>
            </w:tcBorders>
            <w:tcW w:w="1424" w:type="dxa"/>
            <w:vAlign w:val="center"/>
          </w:tcPr>
          <w:p>
            <w:pPr>
              <w:pStyle w:val="10533"/>
              <w:pBdr/>
              <w:spacing/>
              <w:ind/>
              <w:jc w:val="center"/>
              <w:rPr>
                <w:color w:val="000000"/>
                <w:sz w:val="20"/>
                <w:szCs w:val="20"/>
              </w:rPr>
            </w:pPr>
            <w:r>
              <w:rPr>
                <w:color w:val="000000"/>
                <w:sz w:val="20"/>
                <w:szCs w:val="20"/>
              </w:rPr>
              <w:t xml:space="preserve">Котельная №6 п. Первомайский</w:t>
            </w:r>
            <w:r>
              <w:rPr>
                <w:color w:val="000000"/>
                <w:sz w:val="20"/>
                <w:szCs w:val="20"/>
              </w:rPr>
            </w:r>
          </w:p>
        </w:tc>
        <w:tc>
          <w:tcPr>
            <w:shd w:val="clear" w:color="000000" w:fill="ffffff"/>
            <w:tcBorders>
              <w:bottom w:val="single" w:color="000000" w:sz="4" w:space="0"/>
              <w:right w:val="single" w:color="000000" w:sz="4" w:space="0"/>
            </w:tcBorders>
            <w:tcW w:w="1468" w:type="dxa"/>
            <w:vAlign w:val="center"/>
          </w:tcPr>
          <w:p>
            <w:pPr>
              <w:pStyle w:val="10533"/>
              <w:pBdr/>
              <w:spacing/>
              <w:ind/>
              <w:jc w:val="center"/>
              <w:rPr>
                <w:color w:val="000000"/>
                <w:sz w:val="20"/>
                <w:szCs w:val="20"/>
              </w:rPr>
            </w:pPr>
            <w:r>
              <w:rPr>
                <w:color w:val="000000"/>
                <w:sz w:val="20"/>
                <w:szCs w:val="20"/>
              </w:rPr>
              <w:t xml:space="preserve">0,344</w:t>
            </w:r>
            <w:r>
              <w:rPr>
                <w:color w:val="000000"/>
                <w:sz w:val="20"/>
                <w:szCs w:val="20"/>
              </w:rPr>
            </w:r>
          </w:p>
        </w:tc>
        <w:tc>
          <w:tcPr>
            <w:shd w:val="clear" w:color="000000" w:fill="ffffff"/>
            <w:tcBorders>
              <w:bottom w:val="single" w:color="000000" w:sz="4" w:space="0"/>
              <w:right w:val="single" w:color="000000" w:sz="4" w:space="0"/>
            </w:tcBorders>
            <w:tcW w:w="1058" w:type="dxa"/>
            <w:vAlign w:val="center"/>
          </w:tcPr>
          <w:p>
            <w:pPr>
              <w:pStyle w:val="10533"/>
              <w:pBdr/>
              <w:spacing/>
              <w:ind/>
              <w:jc w:val="center"/>
              <w:rPr>
                <w:color w:val="000000"/>
                <w:sz w:val="20"/>
                <w:szCs w:val="20"/>
              </w:rPr>
            </w:pPr>
            <w:r>
              <w:rPr>
                <w:color w:val="000000"/>
                <w:sz w:val="20"/>
                <w:szCs w:val="20"/>
              </w:rPr>
              <w:t xml:space="preserve">0,010</w:t>
            </w:r>
            <w:r>
              <w:rPr>
                <w:color w:val="000000"/>
                <w:sz w:val="20"/>
                <w:szCs w:val="20"/>
              </w:rPr>
            </w:r>
          </w:p>
        </w:tc>
        <w:tc>
          <w:tcPr>
            <w:shd w:val="clear" w:color="000000" w:fill="ffffff"/>
            <w:tcBorders>
              <w:bottom w:val="single" w:color="000000" w:sz="4" w:space="0"/>
              <w:right w:val="single" w:color="000000" w:sz="4" w:space="0"/>
            </w:tcBorders>
            <w:tcW w:w="1601" w:type="dxa"/>
            <w:vAlign w:val="center"/>
          </w:tcPr>
          <w:p>
            <w:pPr>
              <w:pStyle w:val="10533"/>
              <w:pBdr/>
              <w:spacing/>
              <w:ind/>
              <w:jc w:val="center"/>
              <w:rPr>
                <w:color w:val="000000"/>
                <w:sz w:val="20"/>
                <w:szCs w:val="20"/>
              </w:rPr>
            </w:pPr>
            <w:r>
              <w:rPr>
                <w:color w:val="000000"/>
                <w:sz w:val="20"/>
                <w:szCs w:val="20"/>
              </w:rPr>
              <w:t xml:space="preserve">0,120</w:t>
            </w:r>
            <w:r>
              <w:rPr>
                <w:color w:val="000000"/>
                <w:sz w:val="20"/>
                <w:szCs w:val="20"/>
              </w:rPr>
            </w:r>
          </w:p>
        </w:tc>
        <w:tc>
          <w:tcPr>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290,646</w:t>
            </w:r>
            <w:r>
              <w:rPr>
                <w:color w:val="000000"/>
                <w:sz w:val="20"/>
                <w:szCs w:val="20"/>
              </w:rPr>
            </w:r>
          </w:p>
        </w:tc>
        <w:tc>
          <w:tcPr>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4" w:space="0"/>
              <w:right w:val="single" w:color="000000" w:sz="4" w:space="0"/>
            </w:tcBorders>
            <w:tcW w:w="1011" w:type="dxa"/>
            <w:vAlign w:val="center"/>
          </w:tcPr>
          <w:p>
            <w:pPr>
              <w:pStyle w:val="10533"/>
              <w:pBdr/>
              <w:spacing/>
              <w:ind/>
              <w:jc w:val="center"/>
              <w:rPr>
                <w:color w:val="000000"/>
                <w:sz w:val="20"/>
                <w:szCs w:val="20"/>
              </w:rPr>
            </w:pPr>
            <w:r>
              <w:rPr>
                <w:color w:val="000000"/>
                <w:sz w:val="20"/>
                <w:szCs w:val="20"/>
              </w:rPr>
              <w:t xml:space="preserve">290,65</w:t>
            </w:r>
            <w:r>
              <w:rPr>
                <w:color w:val="000000"/>
                <w:sz w:val="20"/>
                <w:szCs w:val="20"/>
              </w:rPr>
            </w:r>
          </w:p>
        </w:tc>
        <w:tc>
          <w:tcPr>
            <w:tcBorders>
              <w:bottom w:val="single" w:color="000000" w:sz="4" w:space="0"/>
              <w:right w:val="single" w:color="000000" w:sz="4" w:space="0"/>
            </w:tcBorders>
            <w:tcW w:w="871" w:type="dxa"/>
            <w:vAlign w:val="center"/>
          </w:tcPr>
          <w:p>
            <w:pPr>
              <w:pStyle w:val="10533"/>
              <w:pBdr/>
              <w:spacing/>
              <w:ind/>
              <w:jc w:val="center"/>
              <w:rPr>
                <w:color w:val="000000"/>
                <w:sz w:val="20"/>
                <w:szCs w:val="20"/>
              </w:rPr>
            </w:pPr>
            <w:r>
              <w:rPr>
                <w:color w:val="000000"/>
                <w:sz w:val="20"/>
                <w:szCs w:val="20"/>
              </w:rPr>
              <w:t xml:space="preserve">23,96</w:t>
            </w:r>
            <w:r>
              <w:rPr>
                <w:color w:val="000000"/>
                <w:sz w:val="20"/>
                <w:szCs w:val="20"/>
              </w:rPr>
            </w:r>
          </w:p>
        </w:tc>
        <w:tc>
          <w:tcPr>
            <w:tcBorders>
              <w:bottom w:val="single" w:color="000000" w:sz="4" w:space="0"/>
              <w:right w:val="single" w:color="000000" w:sz="4" w:space="0"/>
            </w:tcBorders>
            <w:tcW w:w="1246" w:type="dxa"/>
            <w:vAlign w:val="center"/>
          </w:tcPr>
          <w:p>
            <w:pPr>
              <w:pStyle w:val="10533"/>
              <w:pBdr/>
              <w:spacing/>
              <w:ind/>
              <w:jc w:val="center"/>
              <w:rPr>
                <w:color w:val="000000"/>
                <w:sz w:val="20"/>
                <w:szCs w:val="20"/>
              </w:rPr>
            </w:pPr>
            <w:r>
              <w:rPr>
                <w:color w:val="000000"/>
                <w:sz w:val="20"/>
                <w:szCs w:val="20"/>
              </w:rPr>
              <w:t xml:space="preserve">314,606</w:t>
            </w:r>
            <w:r>
              <w:rPr>
                <w:color w:val="000000"/>
                <w:sz w:val="20"/>
                <w:szCs w:val="20"/>
              </w:rPr>
            </w:r>
          </w:p>
        </w:tc>
        <w:tc>
          <w:tcPr>
            <w:tcBorders>
              <w:bottom w:val="single" w:color="000000" w:sz="4" w:space="0"/>
              <w:right w:val="single" w:color="000000" w:sz="4" w:space="0"/>
            </w:tcBorders>
            <w:tcW w:w="1270" w:type="dxa"/>
            <w:vAlign w:val="center"/>
          </w:tcPr>
          <w:p>
            <w:pPr>
              <w:pStyle w:val="10533"/>
              <w:pBdr/>
              <w:spacing/>
              <w:ind/>
              <w:jc w:val="center"/>
              <w:rPr>
                <w:color w:val="000000"/>
                <w:sz w:val="20"/>
                <w:szCs w:val="20"/>
              </w:rPr>
            </w:pPr>
            <w:r>
              <w:rPr>
                <w:color w:val="000000"/>
                <w:sz w:val="20"/>
                <w:szCs w:val="20"/>
              </w:rPr>
              <w:t xml:space="preserve">1,55</w:t>
            </w:r>
            <w:r>
              <w:rPr>
                <w:color w:val="000000"/>
                <w:sz w:val="20"/>
                <w:szCs w:val="20"/>
              </w:rPr>
            </w:r>
          </w:p>
        </w:tc>
        <w:tc>
          <w:tcPr>
            <w:tcBorders>
              <w:bottom w:val="single" w:color="000000" w:sz="4" w:space="0"/>
              <w:right w:val="single" w:color="000000" w:sz="4" w:space="0"/>
            </w:tcBorders>
            <w:tcW w:w="1327" w:type="dxa"/>
            <w:vAlign w:val="center"/>
          </w:tcPr>
          <w:p>
            <w:pPr>
              <w:pStyle w:val="10533"/>
              <w:pBdr/>
              <w:spacing/>
              <w:ind/>
              <w:jc w:val="center"/>
              <w:rPr>
                <w:color w:val="000000"/>
                <w:sz w:val="20"/>
                <w:szCs w:val="20"/>
              </w:rPr>
            </w:pPr>
            <w:r>
              <w:rPr>
                <w:color w:val="000000"/>
                <w:sz w:val="20"/>
                <w:szCs w:val="20"/>
              </w:rPr>
              <w:t xml:space="preserve">316,16</w:t>
            </w:r>
            <w:r>
              <w:rPr>
                <w:color w:val="000000"/>
                <w:sz w:val="20"/>
                <w:szCs w:val="20"/>
              </w:rPr>
            </w:r>
          </w:p>
        </w:tc>
      </w:tr>
      <w:tr>
        <w:trPr>
          <w:trHeight w:val="348"/>
        </w:trPr>
        <w:tc>
          <w:tcPr>
            <w:shd w:val="clear" w:color="000000" w:fill="ffffff"/>
            <w:tcBorders>
              <w:left w:val="single" w:color="000000" w:sz="4" w:space="0"/>
              <w:bottom w:val="single" w:color="000000" w:sz="4" w:space="0"/>
              <w:right w:val="single" w:color="000000" w:sz="4" w:space="0"/>
            </w:tcBorders>
            <w:tcW w:w="474"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shd w:val="clear" w:color="000000" w:fill="ffffff"/>
            <w:tcBorders>
              <w:bottom w:val="single" w:color="000000" w:sz="4" w:space="0"/>
              <w:right w:val="single" w:color="000000" w:sz="4" w:space="0"/>
            </w:tcBorders>
            <w:tcW w:w="1424" w:type="dxa"/>
            <w:vAlign w:val="center"/>
          </w:tcPr>
          <w:p>
            <w:pPr>
              <w:pStyle w:val="10533"/>
              <w:pBdr/>
              <w:spacing/>
              <w:ind/>
              <w:jc w:val="center"/>
              <w:rPr>
                <w:color w:val="000000"/>
                <w:sz w:val="20"/>
                <w:szCs w:val="20"/>
              </w:rPr>
            </w:pPr>
            <w:r>
              <w:rPr>
                <w:color w:val="000000"/>
                <w:sz w:val="20"/>
                <w:szCs w:val="20"/>
              </w:rPr>
              <w:t xml:space="preserve">Котельная №7 с. Белый Колодезь</w:t>
            </w:r>
            <w:r>
              <w:rPr>
                <w:color w:val="000000"/>
                <w:sz w:val="20"/>
                <w:szCs w:val="20"/>
              </w:rPr>
            </w:r>
          </w:p>
        </w:tc>
        <w:tc>
          <w:tcPr>
            <w:shd w:val="clear" w:color="000000" w:fill="ffffff"/>
            <w:tcBorders>
              <w:bottom w:val="single" w:color="000000" w:sz="4" w:space="0"/>
              <w:right w:val="single" w:color="000000" w:sz="4" w:space="0"/>
            </w:tcBorders>
            <w:tcW w:w="1468" w:type="dxa"/>
            <w:vAlign w:val="center"/>
          </w:tcPr>
          <w:p>
            <w:pPr>
              <w:pStyle w:val="10533"/>
              <w:pBdr/>
              <w:spacing/>
              <w:ind/>
              <w:jc w:val="center"/>
              <w:rPr>
                <w:color w:val="000000"/>
                <w:sz w:val="20"/>
                <w:szCs w:val="20"/>
              </w:rPr>
            </w:pPr>
            <w:r>
              <w:rPr>
                <w:color w:val="000000"/>
                <w:sz w:val="20"/>
                <w:szCs w:val="20"/>
              </w:rPr>
              <w:t xml:space="preserve">0,172</w:t>
            </w:r>
            <w:r>
              <w:rPr>
                <w:color w:val="000000"/>
                <w:sz w:val="20"/>
                <w:szCs w:val="20"/>
              </w:rPr>
            </w:r>
          </w:p>
        </w:tc>
        <w:tc>
          <w:tcPr>
            <w:shd w:val="clear" w:color="000000" w:fill="ffffff"/>
            <w:tcBorders>
              <w:bottom w:val="single" w:color="000000" w:sz="4" w:space="0"/>
              <w:right w:val="single" w:color="000000" w:sz="4" w:space="0"/>
            </w:tcBorders>
            <w:tcW w:w="1058" w:type="dxa"/>
            <w:vAlign w:val="center"/>
          </w:tcPr>
          <w:p>
            <w:pPr>
              <w:pStyle w:val="10533"/>
              <w:pBdr/>
              <w:spacing/>
              <w:ind/>
              <w:jc w:val="center"/>
              <w:rPr>
                <w:color w:val="000000"/>
                <w:sz w:val="20"/>
                <w:szCs w:val="20"/>
              </w:rPr>
            </w:pPr>
            <w:r>
              <w:rPr>
                <w:color w:val="000000"/>
                <w:sz w:val="20"/>
                <w:szCs w:val="20"/>
              </w:rPr>
              <w:t xml:space="preserve">0,003</w:t>
            </w:r>
            <w:r>
              <w:rPr>
                <w:color w:val="000000"/>
                <w:sz w:val="20"/>
                <w:szCs w:val="20"/>
              </w:rPr>
            </w:r>
          </w:p>
        </w:tc>
        <w:tc>
          <w:tcPr>
            <w:shd w:val="clear" w:color="000000" w:fill="ffffff"/>
            <w:tcBorders>
              <w:bottom w:val="single" w:color="000000" w:sz="4" w:space="0"/>
              <w:right w:val="single" w:color="000000" w:sz="4" w:space="0"/>
            </w:tcBorders>
            <w:tcW w:w="1601" w:type="dxa"/>
            <w:vAlign w:val="center"/>
          </w:tcPr>
          <w:p>
            <w:pPr>
              <w:pStyle w:val="10533"/>
              <w:pBdr/>
              <w:spacing/>
              <w:ind/>
              <w:jc w:val="center"/>
              <w:rPr>
                <w:color w:val="000000"/>
                <w:sz w:val="20"/>
                <w:szCs w:val="20"/>
              </w:rPr>
            </w:pPr>
            <w:r>
              <w:rPr>
                <w:color w:val="000000"/>
                <w:sz w:val="20"/>
                <w:szCs w:val="20"/>
              </w:rPr>
              <w:t xml:space="preserve">0,070</w:t>
            </w:r>
            <w:r>
              <w:rPr>
                <w:color w:val="000000"/>
                <w:sz w:val="20"/>
                <w:szCs w:val="20"/>
              </w:rPr>
            </w:r>
          </w:p>
        </w:tc>
        <w:tc>
          <w:tcPr>
            <w:tcBorders>
              <w:bottom w:val="single" w:color="000000" w:sz="4" w:space="0"/>
              <w:right w:val="single" w:color="000000" w:sz="4" w:space="0"/>
            </w:tcBorders>
            <w:tcW w:w="1222" w:type="dxa"/>
            <w:vAlign w:val="center"/>
          </w:tcPr>
          <w:p>
            <w:pPr>
              <w:pStyle w:val="10533"/>
              <w:pBdr/>
              <w:spacing/>
              <w:ind/>
              <w:jc w:val="center"/>
              <w:rPr>
                <w:color w:val="000000"/>
                <w:sz w:val="20"/>
                <w:szCs w:val="20"/>
              </w:rPr>
            </w:pPr>
            <w:r>
              <w:rPr>
                <w:color w:val="000000"/>
                <w:sz w:val="20"/>
                <w:szCs w:val="20"/>
              </w:rPr>
              <w:t xml:space="preserve">148,244</w:t>
            </w:r>
            <w:r>
              <w:rPr>
                <w:color w:val="000000"/>
                <w:sz w:val="20"/>
                <w:szCs w:val="20"/>
              </w:rPr>
            </w:r>
          </w:p>
        </w:tc>
        <w:tc>
          <w:tcPr>
            <w:tcBorders>
              <w:bottom w:val="single" w:color="000000" w:sz="4" w:space="0"/>
              <w:right w:val="single" w:color="000000" w:sz="4" w:space="0"/>
            </w:tcBorders>
            <w:tcW w:w="1305" w:type="dxa"/>
            <w:vAlign w:val="center"/>
          </w:tcPr>
          <w:p>
            <w:pPr>
              <w:pStyle w:val="10533"/>
              <w:pBdr/>
              <w:spacing/>
              <w:ind/>
              <w:jc w:val="center"/>
              <w:rPr>
                <w:color w:val="000000"/>
                <w:sz w:val="20"/>
                <w:szCs w:val="20"/>
              </w:rPr>
            </w:pPr>
            <w:r>
              <w:rPr>
                <w:color w:val="000000"/>
                <w:sz w:val="20"/>
                <w:szCs w:val="20"/>
              </w:rPr>
              <w:t xml:space="preserve">2,596</w:t>
            </w:r>
            <w:r>
              <w:rPr>
                <w:color w:val="000000"/>
                <w:sz w:val="20"/>
                <w:szCs w:val="20"/>
              </w:rPr>
            </w:r>
          </w:p>
        </w:tc>
        <w:tc>
          <w:tcPr>
            <w:tcBorders>
              <w:bottom w:val="single" w:color="000000" w:sz="4" w:space="0"/>
              <w:right w:val="single" w:color="000000" w:sz="4" w:space="0"/>
            </w:tcBorders>
            <w:tcW w:w="1011" w:type="dxa"/>
            <w:vAlign w:val="center"/>
          </w:tcPr>
          <w:p>
            <w:pPr>
              <w:pStyle w:val="10533"/>
              <w:pBdr/>
              <w:spacing/>
              <w:ind/>
              <w:jc w:val="center"/>
              <w:rPr>
                <w:color w:val="000000"/>
                <w:sz w:val="20"/>
                <w:szCs w:val="20"/>
              </w:rPr>
            </w:pPr>
            <w:r>
              <w:rPr>
                <w:color w:val="000000"/>
                <w:sz w:val="20"/>
                <w:szCs w:val="20"/>
              </w:rPr>
              <w:t xml:space="preserve">150,84</w:t>
            </w:r>
            <w:r>
              <w:rPr>
                <w:color w:val="000000"/>
                <w:sz w:val="20"/>
                <w:szCs w:val="20"/>
              </w:rPr>
            </w:r>
          </w:p>
        </w:tc>
        <w:tc>
          <w:tcPr>
            <w:tcBorders>
              <w:bottom w:val="single" w:color="000000" w:sz="4" w:space="0"/>
              <w:right w:val="single" w:color="000000" w:sz="4" w:space="0"/>
            </w:tcBorders>
            <w:tcW w:w="871" w:type="dxa"/>
            <w:vAlign w:val="center"/>
          </w:tcPr>
          <w:p>
            <w:pPr>
              <w:pStyle w:val="10533"/>
              <w:pBdr/>
              <w:spacing/>
              <w:ind/>
              <w:jc w:val="center"/>
              <w:rPr>
                <w:color w:val="000000"/>
                <w:sz w:val="20"/>
                <w:szCs w:val="20"/>
              </w:rPr>
            </w:pPr>
            <w:r>
              <w:rPr>
                <w:color w:val="000000"/>
                <w:sz w:val="20"/>
                <w:szCs w:val="20"/>
              </w:rPr>
              <w:t xml:space="preserve">7,27</w:t>
            </w:r>
            <w:r>
              <w:rPr>
                <w:color w:val="000000"/>
                <w:sz w:val="20"/>
                <w:szCs w:val="20"/>
              </w:rPr>
            </w:r>
          </w:p>
        </w:tc>
        <w:tc>
          <w:tcPr>
            <w:tcBorders>
              <w:bottom w:val="single" w:color="000000" w:sz="4" w:space="0"/>
              <w:right w:val="single" w:color="000000" w:sz="4" w:space="0"/>
            </w:tcBorders>
            <w:tcW w:w="1246" w:type="dxa"/>
            <w:vAlign w:val="center"/>
          </w:tcPr>
          <w:p>
            <w:pPr>
              <w:pStyle w:val="10533"/>
              <w:pBdr/>
              <w:spacing/>
              <w:ind/>
              <w:jc w:val="center"/>
              <w:rPr>
                <w:color w:val="000000"/>
                <w:sz w:val="20"/>
                <w:szCs w:val="20"/>
              </w:rPr>
            </w:pPr>
            <w:r>
              <w:rPr>
                <w:color w:val="000000"/>
                <w:sz w:val="20"/>
                <w:szCs w:val="20"/>
              </w:rPr>
              <w:t xml:space="preserve">158,11</w:t>
            </w:r>
            <w:r>
              <w:rPr>
                <w:color w:val="000000"/>
                <w:sz w:val="20"/>
                <w:szCs w:val="20"/>
              </w:rPr>
            </w:r>
          </w:p>
        </w:tc>
        <w:tc>
          <w:tcPr>
            <w:tcBorders>
              <w:bottom w:val="single" w:color="000000" w:sz="4" w:space="0"/>
              <w:right w:val="single" w:color="000000" w:sz="4" w:space="0"/>
            </w:tcBorders>
            <w:tcW w:w="1270" w:type="dxa"/>
            <w:vAlign w:val="center"/>
          </w:tcPr>
          <w:p>
            <w:pPr>
              <w:pStyle w:val="10533"/>
              <w:pBdr/>
              <w:spacing/>
              <w:ind/>
              <w:jc w:val="center"/>
              <w:rPr>
                <w:color w:val="000000"/>
                <w:sz w:val="20"/>
                <w:szCs w:val="20"/>
              </w:rPr>
            </w:pPr>
            <w:r>
              <w:rPr>
                <w:color w:val="000000"/>
                <w:sz w:val="20"/>
                <w:szCs w:val="20"/>
              </w:rPr>
              <w:t xml:space="preserve">1,85</w:t>
            </w:r>
            <w:r>
              <w:rPr>
                <w:color w:val="000000"/>
                <w:sz w:val="20"/>
                <w:szCs w:val="20"/>
              </w:rPr>
            </w:r>
          </w:p>
        </w:tc>
        <w:tc>
          <w:tcPr>
            <w:tcBorders>
              <w:bottom w:val="single" w:color="000000" w:sz="4" w:space="0"/>
              <w:right w:val="single" w:color="000000" w:sz="4" w:space="0"/>
            </w:tcBorders>
            <w:tcW w:w="1327" w:type="dxa"/>
            <w:vAlign w:val="center"/>
          </w:tcPr>
          <w:p>
            <w:pPr>
              <w:pStyle w:val="10533"/>
              <w:pBdr/>
              <w:spacing/>
              <w:ind/>
              <w:jc w:val="center"/>
              <w:rPr>
                <w:color w:val="000000"/>
                <w:sz w:val="20"/>
                <w:szCs w:val="20"/>
              </w:rPr>
            </w:pPr>
            <w:r>
              <w:rPr>
                <w:color w:val="000000"/>
                <w:sz w:val="20"/>
                <w:szCs w:val="20"/>
              </w:rPr>
              <w:t xml:space="preserve">159,96</w:t>
            </w:r>
            <w:r>
              <w:rPr>
                <w:color w:val="000000"/>
                <w:sz w:val="20"/>
                <w:szCs w:val="20"/>
              </w:rPr>
            </w:r>
          </w:p>
        </w:tc>
      </w:tr>
    </w:tbl>
    <w:p>
      <w:pPr>
        <w:pBdr/>
        <w:spacing/>
        <w:ind/>
        <w:rPr/>
        <w:sectPr>
          <w:headerReference w:type="default" r:id="rId98"/>
          <w:headerReference w:type="first" r:id="rId99"/>
          <w:footerReference w:type="default" r:id="rId366"/>
          <w:footerReference w:type="first" r:id="rId367"/>
          <w:footnotePr/>
          <w:endnotePr/>
          <w:type w:val="nextPage"/>
          <w:pgSz w:h="11906" w:orient="landscape" w:w="16838"/>
          <w:pgMar w:top="1701" w:right="1134" w:bottom="851" w:left="1134" w:header="567" w:footer="454" w:gutter="0"/>
          <w:cols w:num="1" w:sep="0" w:space="1701" w:equalWidth="1"/>
        </w:sectPr>
      </w:pPr>
      <w:r/>
      <w:r/>
    </w:p>
    <w:p>
      <w:pPr>
        <w:pStyle w:val="10534"/>
        <w:numPr>
          <w:ilvl w:val="0"/>
          <w:numId w:val="13"/>
        </w:numPr>
        <w:pBdr/>
        <w:spacing/>
        <w:ind/>
        <w:rPr>
          <w:rFonts w:ascii="Times New Roman" w:hAnsi="Times New Roman" w:eastAsia="Times New Roman" w:cs="Times New Roman"/>
          <w:b/>
          <w:smallCaps/>
          <w:spacing w:val="0"/>
          <w:sz w:val="28"/>
          <w:szCs w:val="36"/>
          <w:lang w:eastAsia="en-US" w:bidi="en-US"/>
        </w:rPr>
      </w:pPr>
      <w:r/>
      <w:bookmarkStart w:id="648" w:name="_Toc521411570"/>
      <w:r/>
      <w:bookmarkStart w:id="649" w:name="_Toc9154863"/>
      <w:r/>
      <w:bookmarkStart w:id="650" w:name="_Toc84971009"/>
      <w:r/>
      <w:bookmarkStart w:id="651" w:name="_Toc521411572"/>
      <w:r/>
      <w:bookmarkStart w:id="652" w:name="_Toc166767225"/>
      <w:r/>
      <w:bookmarkStart w:id="653" w:name="_Toc198483565"/>
      <w:r/>
      <w:bookmarkEnd w:id="648"/>
      <w:r>
        <w:rPr>
          <w:rFonts w:eastAsia="Times New Roman" w:cs="Times New Roman"/>
          <w:b/>
          <w:smallCaps/>
          <w:spacing w:val="0"/>
          <w:sz w:val="28"/>
          <w:szCs w:val="36"/>
          <w:lang w:eastAsia="en-US" w:bidi="en-US"/>
        </w:rPr>
        <w:t xml:space="preserve">Прогнозы приростов площади строительных фондов, сгруппированные по расчетным эл</w:t>
      </w:r>
      <w:r>
        <w:rPr>
          <w:rFonts w:eastAsia="Times New Roman" w:cs="Times New Roman"/>
          <w:b/>
          <w:smallCaps/>
          <w:spacing w:val="0"/>
          <w:sz w:val="28"/>
          <w:szCs w:val="36"/>
          <w:lang w:eastAsia="en-US" w:bidi="en-US"/>
        </w:rPr>
        <w:t xml:space="preserve">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649"/>
      <w:r/>
      <w:bookmarkEnd w:id="650"/>
      <w:r/>
      <w:bookmarkEnd w:id="651"/>
      <w:r/>
      <w:bookmarkEnd w:id="652"/>
      <w:r/>
      <w:bookmarkEnd w:id="653"/>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В соответствии с п. 2 ч. 1 ПП РФ от 03.04.2023 №405 «О внесении изменений в некоторые акты Правительства Российской Федерации»:</w:t>
      </w:r>
      <w:r/>
    </w:p>
    <w:p>
      <w:pPr>
        <w:pStyle w:val="12960"/>
        <w:pBdr/>
        <w:spacing/>
        <w:ind/>
        <w:rPr/>
      </w:pPr>
      <w:r>
        <w:t xml:space="preserve">«…ж) "элемент территориального деления " - территория поселения, муниципального образования или её часть, установленная по границам административно-территориальных единиц;</w:t>
      </w:r>
      <w:r/>
    </w:p>
    <w:p>
      <w:pPr>
        <w:pStyle w:val="12960"/>
        <w:pBdr/>
        <w:spacing/>
        <w:ind/>
        <w:rPr/>
      </w:pPr>
      <w:r>
        <w:t xml:space="preserve">з) "расчетный элемент территориального деления" - территория поселения, муниципального образования или её часть, принятая для целей разработки схемы теплоснабжения в неизменяемых границах на весь срок действия схемы теплоснабжения…».</w:t>
      </w:r>
      <w:r/>
    </w:p>
    <w:p>
      <w:pPr>
        <w:pStyle w:val="12960"/>
        <w:pBdr/>
        <w:spacing/>
        <w:ind/>
        <w:rPr/>
      </w:pPr>
      <w:r>
        <w:t xml:space="preserve">Для достижения нормативных показате</w:t>
      </w:r>
      <w:r>
        <w:t xml:space="preserve">лей обеспеченности жилищным фондом и приведение самих условий проживания населения к необходимому уровню, требуется постановка соответствующей цели для решения проблем жилищной сферы как одной из приоритетных в деятельности органов местного самоуправление.</w:t>
      </w:r>
      <w:r/>
    </w:p>
    <w:p>
      <w:pPr>
        <w:pStyle w:val="12960"/>
        <w:pBdr/>
        <w:spacing/>
        <w:ind/>
        <w:rPr/>
      </w:pPr>
      <w:r/>
      <w:r/>
      <w:r>
        <w:t xml:space="preserve">К услугам ЖКХ, предоставляемым в поселении, относится водоснабжение, водоотведение населения и вывоз мусора. Теплоснабжение осуществляют ООО «АГК»</w:t>
      </w:r>
      <w:r/>
    </w:p>
    <w:p>
      <w:pPr>
        <w:pStyle w:val="12960"/>
        <w:pBdr/>
        <w:spacing/>
        <w:ind/>
        <w:rPr/>
      </w:pPr>
      <w:r>
        <w:t xml:space="preserve">Согласно Постановлению Правительства Российской Федерации от 22.02.2012 г. №154 «О требовани</w:t>
      </w:r>
      <w:r>
        <w:t xml:space="preserve">ях к схемам теплоснабжения, порядку их разработки и утверждения»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 </w:t>
      </w:r>
      <w:r/>
    </w:p>
    <w:p>
      <w:pPr>
        <w:pStyle w:val="12960"/>
        <w:pBdr/>
        <w:spacing/>
        <w:ind/>
        <w:rPr/>
      </w:pPr>
      <w:r>
        <w:t xml:space="preserve">Основным документом территориального планирования и градостроительного развития территории муниципального образования Астаповское является генеральный план.</w:t>
      </w:r>
      <w:r/>
    </w:p>
    <w:p>
      <w:pPr>
        <w:pStyle w:val="12960"/>
        <w:pBdr/>
        <w:spacing/>
        <w:ind/>
        <w:rPr/>
      </w:pPr>
      <w:r/>
      <w:r>
        <w:t xml:space="preserve">В соответствии с законодательством (Федеральный закон Российской Федерации от 06.10.2003 г. №33-ФЗ "Об общих принципах организации местного самоуправления в Российской Федерации") к вопросам местного значения поселения в данной сфере относятся:</w:t>
      </w:r>
      <w:r/>
    </w:p>
    <w:p>
      <w:pPr>
        <w:pStyle w:val="13832"/>
        <w:numPr>
          <w:ilvl w:val="0"/>
          <w:numId w:val="61"/>
        </w:numPr>
        <w:pBdr/>
        <w:spacing/>
        <w:ind w:hanging="284" w:left="1135"/>
        <w:rPr>
          <w:rFonts w:eastAsia="Calibri"/>
        </w:rPr>
      </w:pPr>
      <w:r>
        <w:rPr>
          <w:rFonts w:eastAsia="Calibri"/>
        </w:rPr>
        <w:t xml:space="preserve">организация строительства и содержание муниципального жилищного фонда;</w:t>
      </w:r>
      <w:r>
        <w:rPr>
          <w:rFonts w:eastAsia="Calibri"/>
        </w:rPr>
      </w:r>
    </w:p>
    <w:p>
      <w:pPr>
        <w:pStyle w:val="13832"/>
        <w:numPr>
          <w:ilvl w:val="0"/>
          <w:numId w:val="61"/>
        </w:numPr>
        <w:pBdr/>
        <w:spacing/>
        <w:ind w:hanging="284" w:left="1135"/>
        <w:rPr>
          <w:rFonts w:eastAsia="Calibri"/>
        </w:rPr>
      </w:pPr>
      <w:r>
        <w:rPr>
          <w:rFonts w:eastAsia="Calibri"/>
        </w:rPr>
        <w:t xml:space="preserve">создание условий для жилищного строительства;</w:t>
      </w:r>
      <w:r>
        <w:rPr>
          <w:rFonts w:eastAsia="Calibri"/>
        </w:rPr>
      </w:r>
    </w:p>
    <w:p>
      <w:pPr>
        <w:pStyle w:val="13832"/>
        <w:numPr>
          <w:ilvl w:val="0"/>
          <w:numId w:val="61"/>
        </w:numPr>
        <w:pBdr/>
        <w:spacing/>
        <w:ind w:hanging="284" w:left="1135"/>
        <w:rPr>
          <w:rFonts w:eastAsia="Calibri"/>
        </w:rPr>
      </w:pPr>
      <w:r>
        <w:rPr>
          <w:rFonts w:eastAsia="Calibri"/>
        </w:rPr>
        <w:t xml:space="preserve">организация в границах муниципального района электро-, тепло-, газо-, водоснабжения населения, организация снабжения топливом;</w:t>
      </w:r>
      <w:r>
        <w:rPr>
          <w:rFonts w:eastAsia="Calibri"/>
        </w:rPr>
      </w:r>
    </w:p>
    <w:p>
      <w:pPr>
        <w:pStyle w:val="13832"/>
        <w:numPr>
          <w:ilvl w:val="0"/>
          <w:numId w:val="61"/>
        </w:numPr>
        <w:pBdr/>
        <w:spacing/>
        <w:ind w:hanging="284" w:left="1135"/>
        <w:rPr>
          <w:rFonts w:eastAsia="Calibri"/>
        </w:rPr>
      </w:pPr>
      <w:r>
        <w:rPr>
          <w:rFonts w:eastAsia="Calibri"/>
        </w:rPr>
        <w:t xml:space="preserve">создание условий для предоставления транспортных услуг населению.</w:t>
      </w:r>
      <w:r>
        <w:rPr>
          <w:rFonts w:eastAsia="Calibri"/>
        </w:rPr>
      </w:r>
    </w:p>
    <w:p>
      <w:pPr>
        <w:pStyle w:val="12960"/>
        <w:pBdr/>
        <w:spacing/>
        <w:ind/>
        <w:rPr/>
      </w:pPr>
      <w:r/>
      <w:bookmarkStart w:id="657" w:name="_Hlk173189933"/>
      <w:r/>
      <w:bookmarkStart w:id="658" w:name="_Hlk194291445"/>
      <w:r/>
      <w:bookmarkStart w:id="659" w:name="_Hlk216654157"/>
      <w:r>
        <w:t xml:space="preserve">Прогнозы объемов жилищного и общественного строительства сформированы на основании действующего на территории муниципального образования Астаповское Генерального плана.</w:t>
      </w:r>
      <w:bookmarkStart w:id="660" w:name="_Hlk213994512"/>
      <w:r/>
      <w:bookmarkStart w:id="661" w:name="_Toc521411577"/>
      <w:r/>
      <w:bookmarkStart w:id="662" w:name="_Toc84971010"/>
      <w:r/>
      <w:bookmarkStart w:id="663" w:name="_Toc9154864"/>
      <w:r/>
      <w:bookmarkEnd w:id="657"/>
      <w:r/>
      <w:bookmarkEnd w:id="658"/>
      <w:r/>
      <w:bookmarkEnd w:id="659"/>
      <w:r/>
      <w:bookmarkEnd w:id="660"/>
      <w:r/>
      <w:r/>
    </w:p>
    <w:p>
      <w:pPr>
        <w:pStyle w:val="10533"/>
        <w:pBdr/>
        <w:spacing/>
        <w:ind/>
        <w:rPr>
          <w:lang w:eastAsia="en-US"/>
        </w:rPr>
      </w:pPr>
      <w:r>
        <w:rPr>
          <w:lang w:eastAsia="en-US"/>
        </w:rPr>
      </w:r>
      <w:r>
        <w:br w:type="page" w:clear="all"/>
      </w:r>
      <w:r>
        <w:rPr>
          <w:lang w:eastAsia="en-US"/>
        </w:rPr>
      </w:r>
    </w:p>
    <w:p>
      <w:pPr>
        <w:pStyle w:val="10534"/>
        <w:widowControl w:val="true"/>
        <w:numPr>
          <w:ilvl w:val="0"/>
          <w:numId w:val="13"/>
        </w:numPr>
        <w:pBdr/>
        <w:bidi w:val="false"/>
        <w:spacing w:after="240" w:before="120" w:line="360" w:lineRule="auto"/>
        <w:ind w:right="0" w:hanging="340" w:left="340"/>
        <w:contextualSpacing w:val="true"/>
        <w:jc w:val="center"/>
        <w:rPr>
          <w:spacing w:val="0"/>
        </w:rPr>
      </w:pPr>
      <w:r>
        <w:rPr>
          <w:spacing w:val="0"/>
        </w:rPr>
        <w:t xml:space="preserve"> </w:t>
      </w:r>
      <w:bookmarkStart w:id="664" w:name="_Toc198483566"/>
      <w:r/>
      <w:bookmarkStart w:id="665" w:name="_Toc166767226"/>
      <w:r>
        <w:rPr>
          <w:rFonts w:eastAsia="Times New Roman" w:cs="Times New Roman"/>
          <w:b/>
          <w:smallCaps/>
          <w:spacing w:val="0"/>
          <w:sz w:val="28"/>
          <w:szCs w:val="36"/>
          <w:lang w:eastAsia="en-US" w:bidi="en-US"/>
        </w:rPr>
        <w:t xml:space="preserve">Прогнозы п</w:t>
      </w:r>
      <w:r>
        <w:rPr>
          <w:rFonts w:eastAsia="Times New Roman" w:cs="Times New Roman"/>
          <w:b/>
          <w:smallCaps/>
          <w:spacing w:val="0"/>
          <w:sz w:val="28"/>
          <w:szCs w:val="36"/>
          <w:lang w:eastAsia="en-US" w:bidi="en-US"/>
        </w:rPr>
        <w:t xml:space="preserve">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661"/>
      <w:r/>
      <w:bookmarkEnd w:id="662"/>
      <w:r/>
      <w:bookmarkEnd w:id="663"/>
      <w:r/>
      <w:bookmarkEnd w:id="664"/>
      <w:r/>
      <w:bookmarkEnd w:id="665"/>
      <w:r/>
      <w:r>
        <w:rPr>
          <w:spacing w:val="0"/>
        </w:rPr>
      </w:r>
    </w:p>
    <w:p>
      <w:pPr>
        <w:pStyle w:val="12960"/>
        <w:pBdr/>
        <w:spacing/>
        <w:ind/>
        <w:rPr/>
      </w:pPr>
      <w:r>
        <w:t xml:space="preserve">Удельные показатели теплопотребления перспективного строительства рассчитываются исходя из:</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10" w:left="0"/>
        <w:jc w:val="both"/>
        <w:rPr/>
      </w:pPr>
      <w:r>
        <w:t xml:space="preserve">базового уровня энергопотребления жилых зданий с учетом требований энергоэффективности в</w:t>
      </w:r>
      <w:r>
        <w:t xml:space="preserve"> соответствии с данными таблиц 13 и 14 СП 50.13330.2025 «Тепловая защита зданий», Приказа Министерства регионального развития Российской Федерации от 17 мая 2011 г. №224 «Об утверждении требований энергетической эффективности зданий, строений, сооружений»;</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удельных показателей теплопотребления зданий перспективного строительства в период 2026-2038 гг. в соответствии с требованиями п.15 Постановления Правительства РФ от 25.01.2011 г. №1</w:t>
      </w:r>
      <w:r>
        <w:t xml:space="preserve">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приказа Министерства спорта РФ от 14.01.2015 №54;</w:t>
      </w:r>
      <w:r/>
    </w:p>
    <w:p>
      <w:pPr>
        <w:pStyle w:val="13832"/>
        <w:keepNext w:val="false"/>
        <w:widowControl w:val="true"/>
        <w:numPr>
          <w:ilvl w:val="0"/>
          <w:numId w:val="61"/>
        </w:numPr>
        <w:pBdr/>
        <w:bidi w:val="false"/>
        <w:spacing w:after="0" w:before="0" w:line="360" w:lineRule="auto"/>
        <w:ind w:right="0" w:firstLine="567" w:left="0"/>
        <w:jc w:val="both"/>
        <w:rPr/>
      </w:pPr>
      <w:r>
        <w:t xml:space="preserve">ГОСТ Р 54954-2012 Оценка соответствия. Экологические требования к объектам недвижимости;</w:t>
      </w:r>
      <w:r/>
    </w:p>
    <w:p>
      <w:pPr>
        <w:pStyle w:val="13832"/>
        <w:numPr>
          <w:ilvl w:val="0"/>
          <w:numId w:val="61"/>
        </w:numPr>
        <w:pBdr/>
        <w:spacing/>
        <w:ind w:hanging="284" w:left="1135"/>
        <w:rPr/>
      </w:pPr>
      <w:r>
        <w:t xml:space="preserve">СП </w:t>
      </w:r>
      <w:r>
        <w:rPr>
          <w:color w:val="000000"/>
        </w:rPr>
        <w:t xml:space="preserve">131.13330.2025</w:t>
      </w:r>
      <w:r>
        <w:t xml:space="preserve"> Строительная климатология;</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СП 42.13330.2016 Градостроительство. Планировка и застройка гор</w:t>
      </w:r>
      <w:r>
        <w:rPr>
          <w:lang w:val="en-US"/>
        </w:rPr>
        <w:t xml:space="preserve">o</w:t>
      </w:r>
      <w:r>
        <w:t xml:space="preserve">дских и с</w:t>
      </w:r>
      <w:r>
        <w:rPr>
          <w:lang w:val="en-US"/>
        </w:rPr>
        <w:t xml:space="preserve">e</w:t>
      </w:r>
      <w:r>
        <w:t xml:space="preserve">льских поселений.</w:t>
      </w:r>
      <w:r/>
    </w:p>
    <w:p>
      <w:pPr>
        <w:pStyle w:val="10535"/>
        <w:keepNext w:val="false"/>
        <w:widowControl w:val="false"/>
        <w:numPr>
          <w:ilvl w:val="1"/>
          <w:numId w:val="120"/>
        </w:numPr>
        <w:pBdr/>
        <w:bidi w:val="false"/>
        <w:spacing w:after="240" w:before="240" w:line="240" w:lineRule="auto"/>
        <w:ind w:right="0" w:hanging="737" w:left="737"/>
        <w:jc w:val="center"/>
        <w:rPr>
          <w:rFonts w:cs="Times New Roman"/>
        </w:rPr>
      </w:pPr>
      <w:r/>
      <w:bookmarkStart w:id="666" w:name="_Toc198483567"/>
      <w:r/>
      <w:bookmarkStart w:id="667" w:name="_Toc166767227"/>
      <w:r/>
      <w:bookmarkStart w:id="668" w:name="_Toc84971011"/>
      <w:r/>
      <w:bookmarkStart w:id="669" w:name="_Toc9154865"/>
      <w:r/>
      <w:bookmarkStart w:id="670" w:name="_Toc521411578"/>
      <w:r/>
      <w:bookmarkStart w:id="671" w:name="_Toc519274049"/>
      <w:r/>
      <w:bookmarkStart w:id="672" w:name="_Toc467203441"/>
      <w:r/>
      <w:bookmarkStart w:id="673" w:name="_Toc422400114"/>
      <w:r>
        <w:rPr>
          <w:rFonts w:cs="Times New Roman"/>
        </w:rPr>
        <w:t xml:space="preserve">Нормативы потребления тепловой энергии для целей отопления и вентиляции зданий</w:t>
      </w:r>
      <w:bookmarkEnd w:id="666"/>
      <w:r/>
      <w:bookmarkEnd w:id="667"/>
      <w:r/>
      <w:bookmarkEnd w:id="668"/>
      <w:r/>
      <w:bookmarkEnd w:id="669"/>
      <w:r/>
      <w:bookmarkEnd w:id="670"/>
      <w:r/>
      <w:bookmarkEnd w:id="671"/>
      <w:r/>
      <w:bookmarkEnd w:id="672"/>
      <w:r/>
      <w:bookmarkEnd w:id="673"/>
      <w:r/>
      <w:r>
        <w:rPr>
          <w:rFonts w:cs="Times New Roman"/>
        </w:rPr>
      </w:r>
    </w:p>
    <w:p>
      <w:pPr>
        <w:pStyle w:val="12960"/>
        <w:pBdr/>
        <w:spacing/>
        <w:ind/>
        <w:rPr/>
      </w:pPr>
      <w:r>
        <w:t xml:space="preserve">Базовые показатели удельной потребности в тепловой мощности зданий нового строительства на нужды отопления и вентиляции приведены в таблице.</w:t>
      </w:r>
      <w:r/>
    </w:p>
    <w:p>
      <w:pPr>
        <w:pStyle w:val="12279"/>
        <w:pBdr/>
        <w:spacing/>
        <w:ind w:firstLine="0"/>
        <w:rPr>
          <w:rFonts w:ascii="Times New Roman" w:hAnsi="Times New Roman" w:cs="Times New Roman"/>
          <w:b/>
          <w:sz w:val="24"/>
          <w:szCs w:val="24"/>
        </w:rPr>
      </w:pPr>
      <w:r>
        <w:rPr>
          <w:rFonts w:ascii="Times New Roman" w:hAnsi="Times New Roman" w:cs="Times New Roman"/>
          <w:b/>
          <w:bCs/>
        </w:rPr>
        <w:t xml:space="preserve">Таблица 2.3.1.1</w:t>
      </w:r>
      <w:r>
        <w:rPr>
          <w:rFonts w:ascii="Times New Roman" w:hAnsi="Times New Roman" w:cs="Times New Roman"/>
          <w:b/>
        </w:rPr>
        <w:t xml:space="preserve"> – </w:t>
      </w:r>
      <w:r>
        <w:rPr>
          <w:rFonts w:ascii="Times New Roman" w:hAnsi="Times New Roman" w:cs="Times New Roman"/>
          <w:b/>
          <w:sz w:val="24"/>
          <w:szCs w:val="24"/>
        </w:rPr>
        <w:t xml:space="preserve">Удельные показатели максимальной тепловой нагрузки на отопление и вентиляцию жилых домов, Вт/м</w:t>
      </w:r>
      <w:r>
        <w:rPr>
          <w:rFonts w:ascii="Times New Roman" w:hAnsi="Times New Roman" w:cs="Times New Roman"/>
          <w:b/>
          <w:sz w:val="24"/>
          <w:szCs w:val="24"/>
          <w:vertAlign w:val="superscript"/>
        </w:rPr>
        <w:t xml:space="preserve">2</w:t>
      </w:r>
      <w:r>
        <w:rPr>
          <w:rFonts w:ascii="Times New Roman" w:hAnsi="Times New Roman" w:cs="Times New Roman"/>
          <w:b/>
          <w:sz w:val="24"/>
          <w:szCs w:val="24"/>
        </w:rPr>
      </w:r>
    </w:p>
    <w:tbl>
      <w:tblPr>
        <w:tblStyle w:val="13741"/>
        <w:tblInd w:w="0" w:type="dxa"/>
        <w:tblW w:w="5000" w:type="pct"/>
        <w:tblCellMar>
          <w:left w:w="5" w:type="dxa"/>
          <w:top w:w="0" w:type="dxa"/>
          <w:right w:w="5" w:type="dxa"/>
          <w:bottom w:w="0" w:type="dxa"/>
        </w:tblCellMar>
        <w:tblBorders/>
        <w:tblLayout w:type="fixed"/>
        <w:tblLook w:val="01E0" w:firstRow="1" w:lastRow="1" w:firstColumn="1" w:lastColumn="1" w:noHBand="0" w:noVBand="0"/>
      </w:tblPr>
      <w:tblGrid>
        <w:gridCol w:w="3123"/>
        <w:gridCol w:w="570"/>
        <w:gridCol w:w="571"/>
        <w:gridCol w:w="568"/>
        <w:gridCol w:w="569"/>
        <w:gridCol w:w="565"/>
        <w:gridCol w:w="566"/>
        <w:gridCol w:w="567"/>
        <w:gridCol w:w="565"/>
        <w:gridCol w:w="566"/>
        <w:gridCol w:w="515"/>
        <w:gridCol w:w="609"/>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23" w:type="dxa"/>
            <w:vMerge w:val="restart"/>
          </w:tcPr>
          <w:p>
            <w:pPr>
              <w:pStyle w:val="12385"/>
              <w:pBdr/>
              <w:spacing w:after="0" w:before="0"/>
              <w:ind/>
              <w:rPr>
                <w:rFonts w:cs="Times New Roman"/>
                <w:lang w:val="ru-RU"/>
              </w:rPr>
            </w:pPr>
            <w:r>
              <w:rPr>
                <w:rFonts w:cs="Times New Roman"/>
                <w:lang w:val="ru-RU" w:bidi="ar-SA"/>
              </w:rPr>
            </w:r>
            <w:r>
              <w:rPr>
                <w:rFonts w:cs="Times New Roman"/>
                <w:lang w:val="ru-RU"/>
              </w:rPr>
            </w:r>
          </w:p>
          <w:p>
            <w:pPr>
              <w:pStyle w:val="12385"/>
              <w:pBdr/>
              <w:spacing w:after="0" w:before="0"/>
              <w:ind/>
              <w:rPr>
                <w:rFonts w:cs="Times New Roman"/>
              </w:rPr>
            </w:pPr>
            <w:r>
              <w:rPr>
                <w:rFonts w:cs="Times New Roman"/>
                <w:lang w:val="en-US" w:bidi="ar-SA"/>
              </w:rPr>
              <w:t xml:space="preserve">Этажность жилых зданий</w:t>
            </w:r>
            <w:r>
              <w:rPr>
                <w:rFonts w:cs="Times New Roman"/>
              </w:rPr>
            </w:r>
          </w:p>
        </w:tc>
        <w:tc>
          <w:tcPr>
            <w:gridSpan w:val="11"/>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31" w:type="dxa"/>
          </w:tcPr>
          <w:p>
            <w:pPr>
              <w:pStyle w:val="12385"/>
              <w:pBdr/>
              <w:spacing w:after="0" w:before="0"/>
              <w:ind/>
              <w:rPr>
                <w:rFonts w:cs="Times New Roman"/>
                <w:lang w:val="ru-RU"/>
              </w:rPr>
            </w:pPr>
            <w:r>
              <w:rPr>
                <w:rFonts w:cs="Times New Roman"/>
                <w:lang w:val="ru-RU" w:bidi="ar-SA"/>
              </w:rPr>
              <w:t xml:space="preserve">Расчетная температура наружного воздуха для проектирования</w:t>
            </w:r>
            <w:r>
              <w:rPr>
                <w:rFonts w:cs="Times New Roman"/>
                <w:lang w:val="ru-RU"/>
              </w:rPr>
            </w:r>
          </w:p>
          <w:p>
            <w:pPr>
              <w:pStyle w:val="12385"/>
              <w:pBdr/>
              <w:spacing w:after="0" w:before="0"/>
              <w:ind/>
              <w:rPr>
                <w:rFonts w:cs="Times New Roman"/>
              </w:rPr>
            </w:pPr>
            <w:r>
              <w:rPr>
                <w:rFonts w:cs="Times New Roman"/>
                <w:lang w:val="en-US" w:bidi="ar-SA"/>
              </w:rPr>
              <w:t xml:space="preserve">отопления, °C</w:t>
            </w:r>
            <w:r>
              <w:rPr>
                <w:rFonts w:cs="Times New Roman"/>
              </w:rPr>
            </w:r>
          </w:p>
        </w:tc>
      </w:tr>
      <w:tr>
        <w:trPr>
          <w:trHeight w:val="20"/>
          <w:tblHeader/>
        </w:trPr>
        <w:tc>
          <w:tcPr>
            <w:shd w:val="clear" w:color="auto" w:fill="d9d9d9" w:themeFill="background1" w:themeFillShade="D9"/>
            <w:tcBorders>
              <w:left w:val="single" w:color="000000" w:sz="4" w:space="0"/>
              <w:bottom w:val="single" w:color="000000" w:sz="4" w:space="0"/>
              <w:right w:val="single" w:color="000000" w:sz="4" w:space="0"/>
            </w:tcBorders>
            <w:tcW w:w="3123" w:type="dxa"/>
            <w:vMerge w:val="continue"/>
          </w:tcPr>
          <w:p>
            <w:pPr>
              <w:pStyle w:val="12385"/>
              <w:pBdr/>
              <w:spacing w:after="0" w:before="0"/>
              <w:ind/>
              <w:rPr>
                <w:rFonts w:cs="Times New Roman"/>
                <w:sz w:val="2"/>
                <w:szCs w:val="2"/>
              </w:rPr>
            </w:pPr>
            <w:r>
              <w:rPr>
                <w:rFonts w:cs="Times New Roman"/>
                <w:sz w:val="2"/>
                <w:szCs w:val="2"/>
                <w:lang w:val="en-US" w:bidi="ar-SA"/>
              </w:rPr>
            </w:r>
            <w:r>
              <w:rPr>
                <w:rFonts w:cs="Times New Roman"/>
                <w:sz w:val="2"/>
                <w:szCs w:val="2"/>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-10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-15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-20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-25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-30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-35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-55</w:t>
            </w:r>
            <w:r>
              <w:rPr>
                <w:rFonts w:cs="Times New Roman"/>
              </w:rPr>
            </w:r>
          </w:p>
        </w:tc>
      </w:tr>
      <w:tr>
        <w:trPr>
          <w:trHeight w:val="20"/>
        </w:trPr>
        <w:tc>
          <w:tcPr>
            <w:gridSpan w:val="12"/>
            <w:tcBorders>
              <w:top w:val="single" w:color="000000" w:sz="4" w:space="0"/>
              <w:left w:val="single" w:color="000000" w:sz="4" w:space="0"/>
              <w:bottom w:val="single" w:color="000000" w:sz="4" w:space="0"/>
              <w:right w:val="single" w:color="000000" w:sz="4" w:space="0"/>
            </w:tcBorders>
            <w:tcW w:w="9354" w:type="dxa"/>
          </w:tcPr>
          <w:p>
            <w:pPr>
              <w:pStyle w:val="12385"/>
              <w:pBdr/>
              <w:spacing w:after="0" w:before="0"/>
              <w:ind/>
              <w:rPr>
                <w:rFonts w:cs="Times New Roman"/>
                <w:lang w:val="ru-RU"/>
              </w:rPr>
            </w:pPr>
            <w:r>
              <w:rPr>
                <w:rFonts w:cs="Times New Roman"/>
                <w:lang w:val="ru-RU" w:bidi="ar-SA"/>
              </w:rPr>
              <w:t xml:space="preserve">Для зданий строительства до 1995 г.</w:t>
            </w:r>
            <w:r>
              <w:rPr>
                <w:rFonts w:cs="Times New Roman"/>
                <w:lang w:val="ru-RU"/>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146</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155</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165</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175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185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197</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209</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219</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228</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238</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248</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2-3-этажные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108</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115</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122</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129</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135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144</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153</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159</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166</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172</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180</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4-6-этажные кирпичные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59</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69</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74</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86</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92</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98</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103</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108</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113</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4-6-этажные панельные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51</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56</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61</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70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75</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81</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90</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95</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99</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7-10-этажные кирпичные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60</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70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75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81</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87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92</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97</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102</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107</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7-10-этажные панельные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47</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52</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56</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60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70</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75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84</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88</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93</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Более 10 этажей</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61</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67</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73</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79</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92</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99</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105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111</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117</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123</w:t>
            </w:r>
            <w:r>
              <w:rPr>
                <w:rFonts w:cs="Times New Roman"/>
              </w:rPr>
            </w:r>
          </w:p>
        </w:tc>
      </w:tr>
      <w:tr>
        <w:trPr>
          <w:trHeight w:val="20"/>
        </w:trPr>
        <w:tc>
          <w:tcPr>
            <w:gridSpan w:val="12"/>
            <w:tcBorders>
              <w:top w:val="single" w:color="000000" w:sz="4" w:space="0"/>
              <w:left w:val="single" w:color="000000" w:sz="4" w:space="0"/>
              <w:bottom w:val="single" w:color="000000" w:sz="4" w:space="0"/>
              <w:right w:val="single" w:color="000000" w:sz="4" w:space="0"/>
            </w:tcBorders>
            <w:tcW w:w="9354" w:type="dxa"/>
          </w:tcPr>
          <w:p>
            <w:pPr>
              <w:pStyle w:val="12385"/>
              <w:pBdr/>
              <w:spacing w:after="0" w:before="0"/>
              <w:ind/>
              <w:rPr>
                <w:rFonts w:cs="Times New Roman"/>
                <w:lang w:val="ru-RU"/>
              </w:rPr>
            </w:pPr>
            <w:r>
              <w:rPr>
                <w:rFonts w:cs="Times New Roman"/>
                <w:lang w:val="ru-RU" w:bidi="ar-SA"/>
              </w:rPr>
              <w:t xml:space="preserve">Для зданий строительства после 2000 г.</w:t>
            </w:r>
            <w:r>
              <w:rPr>
                <w:rFonts w:cs="Times New Roman"/>
                <w:lang w:val="ru-RU"/>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76</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76</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77</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81</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90</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96</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102</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105</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107</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109</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2-3-этажные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57</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57</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57</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60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70</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75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85</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88</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90</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4-6-этажные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45</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45</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46</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61</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67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72</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76</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80</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84</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7-10-этажные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41</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41</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42</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46</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60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69</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73</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76</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11-14-этажные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38</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41</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54</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58</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62</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68</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Более 15 этажей</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33</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33</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34</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44</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48</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52</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58</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61</w:t>
            </w:r>
            <w:r>
              <w:rPr>
                <w:rFonts w:cs="Times New Roman"/>
              </w:rPr>
            </w:r>
          </w:p>
        </w:tc>
      </w:tr>
      <w:tr>
        <w:trPr>
          <w:trHeight w:val="20"/>
        </w:trPr>
        <w:tc>
          <w:tcPr>
            <w:gridSpan w:val="12"/>
            <w:tcBorders>
              <w:top w:val="single" w:color="000000" w:sz="4" w:space="0"/>
              <w:left w:val="single" w:color="000000" w:sz="4" w:space="0"/>
              <w:bottom w:val="single" w:color="000000" w:sz="4" w:space="0"/>
              <w:right w:val="single" w:color="000000" w:sz="4" w:space="0"/>
            </w:tcBorders>
            <w:tcW w:w="9354" w:type="dxa"/>
          </w:tcPr>
          <w:p>
            <w:pPr>
              <w:pStyle w:val="12385"/>
              <w:pBdr/>
              <w:spacing w:after="0" w:before="0"/>
              <w:ind/>
              <w:rPr>
                <w:rFonts w:cs="Times New Roman"/>
                <w:lang w:val="ru-RU"/>
              </w:rPr>
            </w:pPr>
            <w:r>
              <w:rPr>
                <w:rFonts w:cs="Times New Roman"/>
                <w:lang w:val="ru-RU" w:bidi="ar-SA"/>
              </w:rPr>
              <w:t xml:space="preserve">Для зданий строительства после 2010 г.</w:t>
            </w:r>
            <w:r>
              <w:rPr>
                <w:rFonts w:cs="Times New Roman"/>
                <w:lang w:val="ru-RU"/>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65</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66</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67</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70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73</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78</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83</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87</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91</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93</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94</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2-3-этажные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49</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49</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52</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58</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69</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73</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77</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79</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80</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4-6-этажные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40</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41</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42</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44</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49</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59</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67</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71</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74</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7-10-этажные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36</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38</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40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43</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48</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57</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60</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67</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11-14-этажные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34</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35</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36</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41</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45</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53</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56</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59</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62</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Более 15 этажей</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31</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32</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34</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35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38</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43</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47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53</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56</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58</w:t>
            </w:r>
            <w:r>
              <w:rPr>
                <w:rFonts w:cs="Times New Roman"/>
              </w:rPr>
            </w:r>
          </w:p>
        </w:tc>
      </w:tr>
      <w:tr>
        <w:trPr>
          <w:trHeight w:val="20"/>
        </w:trPr>
        <w:tc>
          <w:tcPr>
            <w:gridSpan w:val="12"/>
            <w:tcBorders>
              <w:top w:val="single" w:color="000000" w:sz="4" w:space="0"/>
              <w:left w:val="single" w:color="000000" w:sz="4" w:space="0"/>
              <w:bottom w:val="single" w:color="000000" w:sz="4" w:space="0"/>
              <w:right w:val="single" w:color="000000" w:sz="4" w:space="0"/>
            </w:tcBorders>
            <w:tcW w:w="9354" w:type="dxa"/>
          </w:tcPr>
          <w:p>
            <w:pPr>
              <w:pStyle w:val="12385"/>
              <w:pBdr/>
              <w:spacing w:after="0" w:before="0"/>
              <w:ind/>
              <w:rPr>
                <w:rFonts w:cs="Times New Roman"/>
                <w:lang w:val="ru-RU"/>
              </w:rPr>
            </w:pPr>
            <w:r>
              <w:rPr>
                <w:rFonts w:cs="Times New Roman"/>
                <w:lang w:val="ru-RU" w:bidi="ar-SA"/>
              </w:rPr>
              <w:t xml:space="preserve">Для зданий строительства после 2015 г.</w:t>
            </w:r>
            <w:r>
              <w:rPr>
                <w:rFonts w:cs="Times New Roman"/>
                <w:lang w:val="ru-RU"/>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60</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61</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62</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67</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72</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77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81</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84</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85</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86</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2-3-этажные одноквартирные</w:t>
            </w:r>
            <w:r>
              <w:rPr>
                <w:rFonts w:cs="Times New Roman"/>
              </w:rPr>
            </w:r>
          </w:p>
          <w:p>
            <w:pPr>
              <w:pStyle w:val="12385"/>
              <w:pBdr/>
              <w:spacing w:after="0" w:before="0"/>
              <w:ind/>
              <w:rPr>
                <w:rFonts w:cs="Times New Roman"/>
              </w:rPr>
            </w:pPr>
            <w:r>
              <w:rPr>
                <w:rFonts w:cs="Times New Roman"/>
                <w:lang w:val="en-US" w:bidi="ar-SA"/>
              </w:rPr>
              <w:t xml:space="preserve">отдельностоящие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47</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48</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49</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51</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59</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67</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71</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73</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74</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4-6-этажные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38</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40</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42</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45</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49</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59</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64</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66</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69</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7-10-этажные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34</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35</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36</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40</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42</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48</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52</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56</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59</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62</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11-14-этажные</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31</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32</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33</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35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37</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41</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45</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49</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52</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55</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57</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23" w:type="dxa"/>
          </w:tcPr>
          <w:p>
            <w:pPr>
              <w:pStyle w:val="12385"/>
              <w:pBdr/>
              <w:spacing w:after="0" w:before="0"/>
              <w:ind/>
              <w:rPr>
                <w:rFonts w:cs="Times New Roman"/>
              </w:rPr>
            </w:pPr>
            <w:r>
              <w:rPr>
                <w:rFonts w:cs="Times New Roman"/>
                <w:lang w:val="en-US" w:bidi="ar-SA"/>
              </w:rPr>
              <w:t xml:space="preserve">Более 15 этажей</w:t>
            </w:r>
            <w:r>
              <w:rPr>
                <w:rFonts w:cs="Times New Roman"/>
              </w:rPr>
            </w:r>
          </w:p>
        </w:tc>
        <w:tc>
          <w:tcPr>
            <w:tcBorders>
              <w:top w:val="single" w:color="000000" w:sz="4" w:space="0"/>
              <w:left w:val="single" w:color="000000" w:sz="4" w:space="0"/>
              <w:bottom w:val="single" w:color="000000" w:sz="4" w:space="0"/>
              <w:right w:val="single" w:color="000000" w:sz="4" w:space="0"/>
            </w:tcBorders>
            <w:tcW w:w="570" w:type="dxa"/>
          </w:tcPr>
          <w:p>
            <w:pPr>
              <w:pStyle w:val="12385"/>
              <w:pBdr/>
              <w:spacing w:after="0" w:before="0"/>
              <w:ind/>
              <w:rPr>
                <w:rFonts w:cs="Times New Roman"/>
              </w:rPr>
            </w:pPr>
            <w:r>
              <w:rPr>
                <w:rFonts w:cs="Times New Roman"/>
                <w:lang w:val="en-US" w:bidi="ar-SA"/>
              </w:rPr>
              <w:t xml:space="preserve">30</w:t>
            </w:r>
            <w:r>
              <w:rPr>
                <w:rFonts w:cs="Times New Roman"/>
              </w:rPr>
            </w:r>
          </w:p>
        </w:tc>
        <w:tc>
          <w:tcPr>
            <w:tcBorders>
              <w:top w:val="single" w:color="000000" w:sz="4" w:space="0"/>
              <w:left w:val="single" w:color="000000" w:sz="4" w:space="0"/>
              <w:bottom w:val="single" w:color="000000" w:sz="4" w:space="0"/>
              <w:right w:val="single" w:color="000000" w:sz="4" w:space="0"/>
            </w:tcBorders>
            <w:tcW w:w="571" w:type="dxa"/>
          </w:tcPr>
          <w:p>
            <w:pPr>
              <w:pStyle w:val="12385"/>
              <w:pBdr/>
              <w:spacing w:after="0" w:before="0"/>
              <w:ind/>
              <w:rPr>
                <w:rFonts w:cs="Times New Roman"/>
              </w:rPr>
            </w:pPr>
            <w:r>
              <w:rPr>
                <w:rFonts w:cs="Times New Roman"/>
                <w:lang w:val="en-US" w:bidi="ar-SA"/>
              </w:rPr>
              <w:t xml:space="preserve">31</w:t>
            </w:r>
            <w:r>
              <w:rPr>
                <w:rFonts w:cs="Times New Roman"/>
              </w:rPr>
            </w:r>
          </w:p>
        </w:tc>
        <w:tc>
          <w:tcPr>
            <w:tcBorders>
              <w:top w:val="single" w:color="000000" w:sz="4" w:space="0"/>
              <w:left w:val="single" w:color="000000" w:sz="4" w:space="0"/>
              <w:bottom w:val="single" w:color="000000" w:sz="4" w:space="0"/>
              <w:right w:val="single" w:color="000000" w:sz="4" w:space="0"/>
            </w:tcBorders>
            <w:tcW w:w="568" w:type="dxa"/>
          </w:tcPr>
          <w:p>
            <w:pPr>
              <w:pStyle w:val="12385"/>
              <w:pBdr/>
              <w:spacing w:after="0" w:before="0"/>
              <w:ind/>
              <w:rPr>
                <w:rFonts w:cs="Times New Roman"/>
              </w:rPr>
            </w:pPr>
            <w:r>
              <w:rPr>
                <w:rFonts w:cs="Times New Roman"/>
                <w:lang w:val="en-US" w:bidi="ar-SA"/>
              </w:rPr>
              <w:t xml:space="preserve">32</w:t>
            </w:r>
            <w:r>
              <w:rPr>
                <w:rFonts w:cs="Times New Roman"/>
              </w:rPr>
            </w:r>
          </w:p>
        </w:tc>
        <w:tc>
          <w:tcPr>
            <w:tcBorders>
              <w:top w:val="single" w:color="000000" w:sz="4" w:space="0"/>
              <w:left w:val="single" w:color="000000" w:sz="4" w:space="0"/>
              <w:bottom w:val="single" w:color="000000" w:sz="4" w:space="0"/>
              <w:right w:val="single" w:color="000000" w:sz="4" w:space="0"/>
            </w:tcBorders>
            <w:tcW w:w="569" w:type="dxa"/>
          </w:tcPr>
          <w:p>
            <w:pPr>
              <w:pStyle w:val="12385"/>
              <w:pBdr/>
              <w:spacing w:after="0" w:before="0"/>
              <w:ind/>
              <w:rPr>
                <w:rFonts w:cs="Times New Roman"/>
              </w:rPr>
            </w:pPr>
            <w:r>
              <w:rPr>
                <w:rFonts w:cs="Times New Roman"/>
                <w:lang w:val="en-US" w:bidi="ar-SA"/>
              </w:rPr>
              <w:t xml:space="preserve">33</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36</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40</w:t>
            </w:r>
            <w:r>
              <w:rPr>
                <w:rFonts w:cs="Times New Roman"/>
              </w:rPr>
            </w:r>
          </w:p>
        </w:tc>
        <w:tc>
          <w:tcPr>
            <w:tcBorders>
              <w:top w:val="single" w:color="000000" w:sz="4" w:space="0"/>
              <w:left w:val="single" w:color="000000" w:sz="4" w:space="0"/>
              <w:bottom w:val="single" w:color="000000" w:sz="4" w:space="0"/>
              <w:right w:val="single" w:color="000000" w:sz="4" w:space="0"/>
            </w:tcBorders>
            <w:tcW w:w="567" w:type="dxa"/>
          </w:tcPr>
          <w:p>
            <w:pPr>
              <w:pStyle w:val="12385"/>
              <w:pBdr/>
              <w:spacing w:after="0" w:before="0"/>
              <w:ind/>
              <w:rPr>
                <w:rFonts w:cs="Times New Roman"/>
              </w:rPr>
            </w:pPr>
            <w:r>
              <w:rPr>
                <w:rFonts w:cs="Times New Roman"/>
                <w:lang w:val="en-US" w:bidi="ar-SA"/>
              </w:rPr>
              <w:t xml:space="preserve">43</w:t>
            </w:r>
            <w:r>
              <w:rPr>
                <w:rFonts w:cs="Times New Roman"/>
              </w:rPr>
            </w:r>
          </w:p>
        </w:tc>
        <w:tc>
          <w:tcPr>
            <w:tcBorders>
              <w:top w:val="single" w:color="000000" w:sz="4" w:space="0"/>
              <w:left w:val="single" w:color="000000" w:sz="4" w:space="0"/>
              <w:bottom w:val="single" w:color="000000" w:sz="4" w:space="0"/>
              <w:right w:val="single" w:color="000000" w:sz="4" w:space="0"/>
            </w:tcBorders>
            <w:tcW w:w="565" w:type="dxa"/>
          </w:tcPr>
          <w:p>
            <w:pPr>
              <w:pStyle w:val="12385"/>
              <w:pBdr/>
              <w:spacing w:after="0" w:before="0"/>
              <w:ind/>
              <w:rPr>
                <w:rFonts w:cs="Times New Roman"/>
              </w:rPr>
            </w:pPr>
            <w:r>
              <w:rPr>
                <w:rFonts w:cs="Times New Roman"/>
                <w:lang w:val="en-US" w:bidi="ar-SA"/>
              </w:rPr>
              <w:t xml:space="preserve">47</w:t>
            </w:r>
            <w:r>
              <w:rPr>
                <w:rFonts w:cs="Times New Roman"/>
              </w:rPr>
            </w:r>
          </w:p>
        </w:tc>
        <w:tc>
          <w:tcPr>
            <w:tcBorders>
              <w:top w:val="single" w:color="000000" w:sz="4" w:space="0"/>
              <w:left w:val="single" w:color="000000" w:sz="4" w:space="0"/>
              <w:bottom w:val="single" w:color="000000" w:sz="4" w:space="0"/>
              <w:right w:val="single" w:color="000000" w:sz="4" w:space="0"/>
            </w:tcBorders>
            <w:tcW w:w="566" w:type="dxa"/>
          </w:tcPr>
          <w:p>
            <w:pPr>
              <w:pStyle w:val="12385"/>
              <w:pBdr/>
              <w:spacing w:after="0" w:before="0"/>
              <w:ind/>
              <w:rPr>
                <w:rFonts w:cs="Times New Roman"/>
              </w:rPr>
            </w:pPr>
            <w:r>
              <w:rPr>
                <w:rFonts w:cs="Times New Roman"/>
                <w:lang w:val="en-US" w:bidi="ar-SA"/>
              </w:rPr>
              <w:t xml:space="preserve">50</w:t>
            </w:r>
            <w:r>
              <w:rPr>
                <w:rFonts w:cs="Times New Roman"/>
              </w:rPr>
            </w:r>
          </w:p>
        </w:tc>
        <w:tc>
          <w:tcPr>
            <w:tcBorders>
              <w:top w:val="single" w:color="000000" w:sz="4" w:space="0"/>
              <w:left w:val="single" w:color="000000" w:sz="4" w:space="0"/>
              <w:bottom w:val="single" w:color="000000" w:sz="4" w:space="0"/>
              <w:right w:val="single" w:color="000000" w:sz="4" w:space="0"/>
            </w:tcBorders>
            <w:tcW w:w="515" w:type="dxa"/>
          </w:tcPr>
          <w:p>
            <w:pPr>
              <w:pStyle w:val="12385"/>
              <w:pBdr/>
              <w:spacing w:after="0" w:before="0"/>
              <w:ind/>
              <w:rPr>
                <w:rFonts w:cs="Times New Roman"/>
              </w:rPr>
            </w:pPr>
            <w:r>
              <w:rPr>
                <w:rFonts w:cs="Times New Roman"/>
                <w:lang w:val="en-US" w:bidi="ar-SA"/>
              </w:rPr>
              <w:t xml:space="preserve">52</w:t>
            </w:r>
            <w:r>
              <w:rPr>
                <w:rFonts w:cs="Times New Roman"/>
              </w:rPr>
            </w:r>
          </w:p>
        </w:tc>
        <w:tc>
          <w:tcPr>
            <w:tcBorders>
              <w:top w:val="single" w:color="000000" w:sz="4" w:space="0"/>
              <w:left w:val="single" w:color="000000" w:sz="4" w:space="0"/>
              <w:bottom w:val="single" w:color="000000" w:sz="4" w:space="0"/>
              <w:right w:val="single" w:color="000000" w:sz="4" w:space="0"/>
            </w:tcBorders>
            <w:tcW w:w="609" w:type="dxa"/>
          </w:tcPr>
          <w:p>
            <w:pPr>
              <w:pStyle w:val="12385"/>
              <w:pBdr/>
              <w:spacing w:after="0" w:before="0"/>
              <w:ind/>
              <w:rPr>
                <w:rFonts w:cs="Times New Roman"/>
              </w:rPr>
            </w:pPr>
            <w:r>
              <w:rPr>
                <w:rFonts w:cs="Times New Roman"/>
                <w:lang w:val="en-US" w:bidi="ar-SA"/>
              </w:rPr>
              <w:t xml:space="preserve">55</w:t>
            </w:r>
            <w:r>
              <w:rPr>
                <w:rFonts w:cs="Times New Roman"/>
              </w:rPr>
            </w:r>
          </w:p>
        </w:tc>
      </w:tr>
    </w:tbl>
    <w:p>
      <w:pPr>
        <w:pStyle w:val="10533"/>
        <w:pBdr/>
        <w:spacing w:after="120" w:before="0"/>
        <w:ind w:firstLine="709"/>
        <w:rPr>
          <w:rFonts w:eastAsia="Calibri"/>
        </w:rPr>
      </w:pPr>
      <w:r>
        <w:rPr>
          <w:rFonts w:eastAsia="Calibri"/>
        </w:rPr>
      </w:r>
      <w:r>
        <w:rPr>
          <w:rFonts w:eastAsia="Calibri"/>
        </w:rPr>
      </w:r>
    </w:p>
    <w:p>
      <w:pPr>
        <w:pStyle w:val="12960"/>
        <w:pBdr/>
        <w:spacing/>
        <w:ind/>
        <w:rPr/>
      </w:pPr>
      <w:r>
        <w:t xml:space="preserve">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приведены в таблице.</w:t>
      </w:r>
      <w:r/>
    </w:p>
    <w:p>
      <w:pPr>
        <w:pStyle w:val="12960"/>
        <w:pBdr/>
        <w:spacing/>
        <w:ind/>
        <w:rPr>
          <w:b/>
        </w:rPr>
      </w:pPr>
      <w:r/>
      <w:bookmarkStart w:id="674" w:name="_Toc527946775"/>
      <w:r>
        <w:rPr>
          <w:b/>
        </w:rPr>
        <w:t xml:space="preserve">Таблица 2.3.1.2 – Удельная базовая потребность зданий нового строительства в тепловой мощности на нужды отопления и вентиляции ккал/(ч*</w:t>
      </w:r>
      <w:r>
        <w:rPr>
          <w:b/>
          <w:vertAlign w:val="superscript"/>
        </w:rPr>
        <w:t xml:space="preserve"> </w:t>
      </w:r>
      <w:r>
        <w:rPr>
          <w:b/>
        </w:rPr>
        <w:t xml:space="preserve">м</w:t>
      </w:r>
      <w:r>
        <w:rPr>
          <w:b/>
          <w:vertAlign w:val="superscript"/>
        </w:rPr>
        <w:t xml:space="preserve">3</w:t>
      </w:r>
      <w:r>
        <w:rPr>
          <w:b/>
        </w:rPr>
        <w:t xml:space="preserve">)</w:t>
      </w:r>
      <w:bookmarkEnd w:id="674"/>
      <w:r/>
      <w:r>
        <w:rPr>
          <w:b/>
        </w:rPr>
      </w:r>
    </w:p>
    <w:tbl>
      <w:tblPr>
        <w:tblInd w:w="93" w:type="dxa"/>
        <w:tblW w:w="9761" w:type="dxa"/>
        <w:tblCellMar>
          <w:left w:w="108" w:type="dxa"/>
          <w:top w:w="0" w:type="dxa"/>
          <w:right w:w="108" w:type="dxa"/>
          <w:bottom w:w="0" w:type="dxa"/>
        </w:tblCellMar>
        <w:tblBorders/>
        <w:tblLayout w:type="fixed"/>
        <w:tblLook w:val="04A0" w:firstRow="1" w:lastRow="0" w:firstColumn="1" w:lastColumn="0" w:noHBand="0" w:noVBand="1"/>
      </w:tblPr>
      <w:tblGrid>
        <w:gridCol w:w="2016"/>
        <w:gridCol w:w="1381"/>
        <w:gridCol w:w="791"/>
        <w:gridCol w:w="791"/>
        <w:gridCol w:w="790"/>
        <w:gridCol w:w="792"/>
        <w:gridCol w:w="790"/>
        <w:gridCol w:w="791"/>
        <w:gridCol w:w="792"/>
        <w:gridCol w:w="826"/>
      </w:tblGrid>
      <w:tr>
        <w:trPr>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2016" w:type="dxa"/>
            <w:vAlign w:val="center"/>
            <w:vMerge w:val="restart"/>
          </w:tcPr>
          <w:p>
            <w:pPr>
              <w:pStyle w:val="10533"/>
              <w:pBdr/>
              <w:spacing/>
              <w:ind/>
              <w:jc w:val="center"/>
              <w:rPr>
                <w:color w:val="000000"/>
                <w:sz w:val="20"/>
                <w:szCs w:val="20"/>
              </w:rPr>
            </w:pPr>
            <w:r>
              <w:rPr>
                <w:color w:val="000000"/>
                <w:sz w:val="20"/>
                <w:szCs w:val="20"/>
              </w:rPr>
              <w:t xml:space="preserve">Тип здания</w:t>
            </w:r>
            <w:r>
              <w:rPr>
                <w:color w:val="000000"/>
                <w:sz w:val="20"/>
                <w:szCs w:val="20"/>
              </w:rPr>
            </w:r>
          </w:p>
        </w:tc>
        <w:tc>
          <w:tcPr>
            <w:shd w:val="clear" w:color="auto" w:fill="d9d9d9" w:themeFill="background1" w:themeFillShade="D9"/>
            <w:tcBorders>
              <w:top w:val="single" w:color="000000" w:sz="8" w:space="0"/>
              <w:bottom w:val="single" w:color="000000" w:sz="8" w:space="0"/>
              <w:right w:val="single" w:color="000000" w:sz="8" w:space="0"/>
            </w:tcBorders>
            <w:tcW w:w="1381" w:type="dxa"/>
            <w:vAlign w:val="center"/>
            <w:vMerge w:val="restart"/>
          </w:tcPr>
          <w:p>
            <w:pPr>
              <w:pStyle w:val="10533"/>
              <w:pBdr/>
              <w:spacing/>
              <w:ind/>
              <w:jc w:val="center"/>
              <w:rPr>
                <w:color w:val="000000"/>
                <w:sz w:val="20"/>
                <w:szCs w:val="20"/>
              </w:rPr>
            </w:pPr>
            <w:r>
              <w:rPr>
                <w:color w:val="000000"/>
                <w:sz w:val="20"/>
                <w:szCs w:val="20"/>
              </w:rPr>
              <w:t xml:space="preserve">Расчетная температура внутреннего воздуха</w:t>
            </w:r>
            <w:r>
              <w:rPr>
                <w:color w:val="000000"/>
                <w:sz w:val="20"/>
                <w:szCs w:val="20"/>
              </w:rPr>
            </w:r>
          </w:p>
        </w:tc>
        <w:tc>
          <w:tcPr>
            <w:gridSpan w:val="8"/>
            <w:shd w:val="clear" w:color="auto" w:fill="d9d9d9" w:themeFill="background1" w:themeFillShade="D9"/>
            <w:tcBorders>
              <w:top w:val="single" w:color="000000" w:sz="8" w:space="0"/>
              <w:bottom w:val="single" w:color="000000" w:sz="8" w:space="0"/>
              <w:right w:val="single" w:color="000000" w:sz="8" w:space="0"/>
            </w:tcBorders>
            <w:tcW w:w="6363" w:type="dxa"/>
            <w:vAlign w:val="center"/>
          </w:tcPr>
          <w:p>
            <w:pPr>
              <w:pStyle w:val="10533"/>
              <w:pBdr/>
              <w:spacing/>
              <w:ind/>
              <w:jc w:val="center"/>
              <w:rPr>
                <w:color w:val="000000"/>
                <w:sz w:val="20"/>
                <w:szCs w:val="20"/>
              </w:rPr>
            </w:pPr>
            <w:r>
              <w:rPr>
                <w:color w:val="000000"/>
                <w:sz w:val="20"/>
                <w:szCs w:val="20"/>
              </w:rPr>
              <w:t xml:space="preserve">Этажность здания</w:t>
            </w:r>
            <w:r>
              <w:rPr>
                <w:color w:val="000000"/>
                <w:sz w:val="20"/>
                <w:szCs w:val="20"/>
              </w:rPr>
            </w:r>
          </w:p>
        </w:tc>
      </w:tr>
      <w:tr>
        <w:trPr>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201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auto" w:fill="d9d9d9" w:themeFill="background1" w:themeFillShade="D9"/>
            <w:tcBorders>
              <w:bottom w:val="single" w:color="000000" w:sz="8" w:space="0"/>
              <w:right w:val="single" w:color="000000" w:sz="8" w:space="0"/>
            </w:tcBorders>
            <w:tcW w:w="1381" w:type="dxa"/>
            <w:vAlign w:val="center"/>
            <w:vMerge w:val="continue"/>
          </w:tcPr>
          <w:p>
            <w:pPr>
              <w:pStyle w:val="10533"/>
              <w:pBdr/>
              <w:spacing/>
              <w:ind/>
              <w:rPr>
                <w:color w:val="000000"/>
                <w:sz w:val="20"/>
                <w:szCs w:val="20"/>
              </w:rPr>
            </w:pPr>
            <w:r>
              <w:rPr>
                <w:color w:val="000000"/>
                <w:sz w:val="20"/>
                <w:szCs w:val="20"/>
              </w:rPr>
            </w:r>
            <w:r>
              <w:rPr>
                <w:color w:val="000000"/>
                <w:sz w:val="20"/>
                <w:szCs w:val="20"/>
              </w:rPr>
            </w:r>
          </w:p>
        </w:tc>
        <w:tc>
          <w:tcPr>
            <w:shd w:val="clear" w:color="auto" w:fill="d9d9d9" w:themeFill="background1" w:themeFillShade="D9"/>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w:t>
            </w:r>
            <w:r>
              <w:rPr>
                <w:color w:val="000000"/>
                <w:sz w:val="20"/>
                <w:szCs w:val="20"/>
              </w:rPr>
            </w:r>
          </w:p>
        </w:tc>
        <w:tc>
          <w:tcPr>
            <w:shd w:val="clear" w:color="auto" w:fill="d9d9d9" w:themeFill="background1" w:themeFillShade="D9"/>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2</w:t>
            </w:r>
            <w:r>
              <w:rPr>
                <w:color w:val="000000"/>
                <w:sz w:val="20"/>
                <w:szCs w:val="20"/>
              </w:rPr>
            </w:r>
          </w:p>
        </w:tc>
        <w:tc>
          <w:tcPr>
            <w:shd w:val="clear" w:color="auto" w:fill="d9d9d9" w:themeFill="background1" w:themeFillShade="D9"/>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shd w:val="clear" w:color="auto" w:fill="d9d9d9" w:themeFill="background1" w:themeFillShade="D9"/>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4, 5</w:t>
            </w:r>
            <w:r>
              <w:rPr>
                <w:color w:val="000000"/>
                <w:sz w:val="20"/>
                <w:szCs w:val="20"/>
              </w:rPr>
            </w:r>
          </w:p>
        </w:tc>
        <w:tc>
          <w:tcPr>
            <w:shd w:val="clear" w:color="auto" w:fill="d9d9d9" w:themeFill="background1" w:themeFillShade="D9"/>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6, 7</w:t>
            </w:r>
            <w:r>
              <w:rPr>
                <w:color w:val="000000"/>
                <w:sz w:val="20"/>
                <w:szCs w:val="20"/>
              </w:rPr>
            </w:r>
          </w:p>
        </w:tc>
        <w:tc>
          <w:tcPr>
            <w:shd w:val="clear" w:color="auto" w:fill="d9d9d9" w:themeFill="background1" w:themeFillShade="D9"/>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8, 9</w:t>
            </w:r>
            <w:r>
              <w:rPr>
                <w:color w:val="000000"/>
                <w:sz w:val="20"/>
                <w:szCs w:val="20"/>
              </w:rPr>
            </w:r>
          </w:p>
        </w:tc>
        <w:tc>
          <w:tcPr>
            <w:shd w:val="clear" w:color="auto" w:fill="d9d9d9" w:themeFill="background1" w:themeFillShade="D9"/>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10, 11</w:t>
            </w:r>
            <w:r>
              <w:rPr>
                <w:color w:val="000000"/>
                <w:sz w:val="20"/>
                <w:szCs w:val="20"/>
              </w:rPr>
            </w:r>
          </w:p>
        </w:tc>
        <w:tc>
          <w:tcPr>
            <w:shd w:val="clear" w:color="auto" w:fill="d9d9d9" w:themeFill="background1" w:themeFillShade="D9"/>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t xml:space="preserve">12 и выше</w:t>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1 Жилые многоквартирные, гостиницы, общежития</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20</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17,2</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15,7</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14,1</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13,6</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12,7</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12,1</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11,4</w:t>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t xml:space="preserve">11</w:t>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2 Общественные, кроме перечисленных в строках 3-6</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18</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17,6</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15,9</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15,1</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13,4</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13</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12,4</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11,7</w:t>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t xml:space="preserve">11,2</w:t>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3 Поликлиники и лечебные учреждения, дома-интернаты</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20</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14,9</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14,5</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14</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13,6</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13,2</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12,7</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12,3</w:t>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t xml:space="preserve">11,8</w:t>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4 Дошкольные учреждения, хосписы</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21</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20,2</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20,2</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20,2</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5 Сервисного обслуживания, культурно-досуговой деятельности, технопарки</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18</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9,6</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9,2</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8,8</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8,4</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8,4</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rPr>
                <w:color w:val="000000"/>
                <w:sz w:val="20"/>
                <w:szCs w:val="20"/>
              </w:rPr>
            </w:pPr>
            <w:r>
              <w:rPr>
                <w:color w:val="000000"/>
                <w:sz w:val="20"/>
                <w:szCs w:val="20"/>
              </w:rPr>
              <w:t xml:space="preserve"> </w:t>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склады</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16</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9,1</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8,8</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8,4</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8</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8</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r>
      <w:tr>
        <w:trPr/>
        <w:tc>
          <w:tcPr>
            <w:tcBorders>
              <w:left w:val="single" w:color="000000" w:sz="8" w:space="0"/>
              <w:bottom w:val="single" w:color="000000" w:sz="8" w:space="0"/>
              <w:right w:val="single" w:color="000000" w:sz="8" w:space="0"/>
            </w:tcBorders>
            <w:tcW w:w="2016" w:type="dxa"/>
            <w:vAlign w:val="center"/>
          </w:tcPr>
          <w:p>
            <w:pPr>
              <w:pStyle w:val="10533"/>
              <w:pBdr/>
              <w:spacing/>
              <w:ind/>
              <w:jc w:val="center"/>
              <w:rPr>
                <w:color w:val="000000"/>
                <w:sz w:val="20"/>
                <w:szCs w:val="20"/>
              </w:rPr>
            </w:pPr>
            <w:r>
              <w:rPr>
                <w:color w:val="000000"/>
                <w:sz w:val="20"/>
                <w:szCs w:val="20"/>
              </w:rPr>
              <w:t xml:space="preserve">6 Административного назначения (офисы)</w:t>
            </w:r>
            <w:r>
              <w:rPr>
                <w:color w:val="000000"/>
                <w:sz w:val="20"/>
                <w:szCs w:val="20"/>
              </w:rPr>
            </w:r>
          </w:p>
        </w:tc>
        <w:tc>
          <w:tcPr>
            <w:tcBorders>
              <w:bottom w:val="single" w:color="000000" w:sz="8" w:space="0"/>
              <w:right w:val="single" w:color="000000" w:sz="8" w:space="0"/>
            </w:tcBorders>
            <w:tcW w:w="1381" w:type="dxa"/>
            <w:vAlign w:val="center"/>
          </w:tcPr>
          <w:p>
            <w:pPr>
              <w:pStyle w:val="10533"/>
              <w:pBdr/>
              <w:spacing/>
              <w:ind/>
              <w:jc w:val="center"/>
              <w:rPr>
                <w:color w:val="000000"/>
                <w:sz w:val="20"/>
                <w:szCs w:val="20"/>
              </w:rPr>
            </w:pPr>
            <w:r>
              <w:rPr>
                <w:color w:val="000000"/>
                <w:sz w:val="20"/>
                <w:szCs w:val="20"/>
              </w:rPr>
              <w:t xml:space="preserve">18</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15,1</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14,2</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13,8</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11,3</w:t>
            </w:r>
            <w:r>
              <w:rPr>
                <w:color w:val="000000"/>
                <w:sz w:val="20"/>
                <w:szCs w:val="20"/>
              </w:rPr>
            </w:r>
          </w:p>
        </w:tc>
        <w:tc>
          <w:tcPr>
            <w:tcBorders>
              <w:bottom w:val="single" w:color="000000" w:sz="8" w:space="0"/>
              <w:right w:val="single" w:color="000000" w:sz="8" w:space="0"/>
            </w:tcBorders>
            <w:tcW w:w="790" w:type="dxa"/>
            <w:vAlign w:val="center"/>
          </w:tcPr>
          <w:p>
            <w:pPr>
              <w:pStyle w:val="10533"/>
              <w:pBdr/>
              <w:spacing/>
              <w:ind/>
              <w:jc w:val="center"/>
              <w:rPr>
                <w:color w:val="000000"/>
                <w:sz w:val="20"/>
                <w:szCs w:val="20"/>
              </w:rPr>
            </w:pPr>
            <w:r>
              <w:rPr>
                <w:color w:val="000000"/>
                <w:sz w:val="20"/>
                <w:szCs w:val="20"/>
              </w:rPr>
              <w:t xml:space="preserve">10</w:t>
            </w:r>
            <w:r>
              <w:rPr>
                <w:color w:val="000000"/>
                <w:sz w:val="20"/>
                <w:szCs w:val="20"/>
              </w:rPr>
            </w:r>
          </w:p>
        </w:tc>
        <w:tc>
          <w:tcPr>
            <w:tcBorders>
              <w:bottom w:val="single" w:color="000000" w:sz="8" w:space="0"/>
              <w:right w:val="single" w:color="000000" w:sz="8" w:space="0"/>
            </w:tcBorders>
            <w:tcW w:w="791" w:type="dxa"/>
            <w:vAlign w:val="center"/>
          </w:tcPr>
          <w:p>
            <w:pPr>
              <w:pStyle w:val="10533"/>
              <w:pBdr/>
              <w:spacing/>
              <w:ind/>
              <w:jc w:val="center"/>
              <w:rPr>
                <w:color w:val="000000"/>
                <w:sz w:val="20"/>
                <w:szCs w:val="20"/>
              </w:rPr>
            </w:pPr>
            <w:r>
              <w:rPr>
                <w:color w:val="000000"/>
                <w:sz w:val="20"/>
                <w:szCs w:val="20"/>
              </w:rPr>
              <w:t xml:space="preserve">9,2</w:t>
            </w:r>
            <w:r>
              <w:rPr>
                <w:color w:val="000000"/>
                <w:sz w:val="20"/>
                <w:szCs w:val="20"/>
              </w:rPr>
            </w:r>
          </w:p>
        </w:tc>
        <w:tc>
          <w:tcPr>
            <w:tcBorders>
              <w:bottom w:val="single" w:color="000000" w:sz="8" w:space="0"/>
              <w:right w:val="single" w:color="000000" w:sz="8" w:space="0"/>
            </w:tcBorders>
            <w:tcW w:w="792" w:type="dxa"/>
            <w:vAlign w:val="center"/>
          </w:tcPr>
          <w:p>
            <w:pPr>
              <w:pStyle w:val="10533"/>
              <w:pBdr/>
              <w:spacing/>
              <w:ind/>
              <w:jc w:val="center"/>
              <w:rPr>
                <w:color w:val="000000"/>
                <w:sz w:val="20"/>
                <w:szCs w:val="20"/>
              </w:rPr>
            </w:pPr>
            <w:r>
              <w:rPr>
                <w:color w:val="000000"/>
                <w:sz w:val="20"/>
                <w:szCs w:val="20"/>
              </w:rPr>
              <w:t xml:space="preserve">8,4</w:t>
            </w:r>
            <w:r>
              <w:rPr>
                <w:color w:val="000000"/>
                <w:sz w:val="20"/>
                <w:szCs w:val="20"/>
              </w:rPr>
            </w:r>
          </w:p>
        </w:tc>
        <w:tc>
          <w:tcPr>
            <w:tcBorders>
              <w:bottom w:val="single" w:color="000000" w:sz="8" w:space="0"/>
              <w:right w:val="single" w:color="000000" w:sz="8" w:space="0"/>
            </w:tcBorders>
            <w:tcW w:w="826" w:type="dxa"/>
            <w:vAlign w:val="center"/>
          </w:tcPr>
          <w:p>
            <w:pPr>
              <w:pStyle w:val="10533"/>
              <w:pBdr/>
              <w:spacing/>
              <w:ind/>
              <w:jc w:val="center"/>
              <w:rPr>
                <w:color w:val="000000"/>
                <w:sz w:val="20"/>
                <w:szCs w:val="20"/>
              </w:rPr>
            </w:pPr>
            <w:r>
              <w:rPr>
                <w:color w:val="000000"/>
                <w:sz w:val="20"/>
                <w:szCs w:val="20"/>
              </w:rPr>
              <w:t xml:space="preserve">8,4</w:t>
            </w:r>
            <w:r>
              <w:rPr>
                <w:color w:val="000000"/>
                <w:sz w:val="20"/>
                <w:szCs w:val="20"/>
              </w:rPr>
            </w:r>
          </w:p>
        </w:tc>
      </w:tr>
    </w:tbl>
    <w:p>
      <w:pPr>
        <w:pStyle w:val="10533"/>
        <w:pBdr/>
        <w:spacing w:line="360" w:lineRule="auto"/>
        <w:ind/>
        <w:rPr>
          <w:lang w:val="en-US"/>
        </w:rPr>
      </w:pPr>
      <w:r>
        <w:rPr>
          <w:lang w:val="en-US"/>
        </w:rPr>
      </w:r>
      <w:r>
        <w:rPr>
          <w:lang w:val="en-US"/>
        </w:rPr>
      </w:r>
    </w:p>
    <w:p>
      <w:pPr>
        <w:pStyle w:val="12960"/>
        <w:pBdr/>
        <w:spacing/>
        <w:ind/>
        <w:rPr/>
      </w:pPr>
      <w:r>
        <w:t xml:space="preserve">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на 1 м</w:t>
      </w:r>
      <w:r>
        <w:rPr>
          <w:vertAlign w:val="superscript"/>
        </w:rPr>
        <w:t xml:space="preserve">2</w:t>
      </w:r>
      <w:r>
        <w:t xml:space="preserve"> общей площади при принятой для расчета высоте этажа приведены в таблице.</w:t>
      </w:r>
      <w:r/>
    </w:p>
    <w:p>
      <w:pPr>
        <w:pStyle w:val="12279"/>
        <w:pBdr/>
        <w:spacing/>
        <w:ind w:firstLine="0"/>
        <w:rPr>
          <w:rFonts w:ascii="Times New Roman" w:hAnsi="Times New Roman" w:cs="Times New Roman"/>
          <w:b/>
          <w:sz w:val="24"/>
          <w:szCs w:val="24"/>
        </w:rPr>
      </w:pPr>
      <w:r/>
      <w:bookmarkStart w:id="675" w:name="_Toc527946776"/>
      <w:r>
        <w:rPr>
          <w:rFonts w:ascii="Times New Roman" w:hAnsi="Times New Roman" w:cs="Times New Roman"/>
          <w:b/>
          <w:sz w:val="24"/>
          <w:szCs w:val="24"/>
        </w:rPr>
        <w:t xml:space="preserve">Таблица 2.3.1.3 – Удельная базовая потребность зданий нового строительства в тепловой мощности на нужды отопления и вентиляции ккал/(ч*м</w:t>
      </w:r>
      <w:r>
        <w:rPr>
          <w:rFonts w:ascii="Times New Roman" w:hAnsi="Times New Roman" w:cs="Times New Roman"/>
          <w:b/>
          <w:sz w:val="24"/>
          <w:szCs w:val="24"/>
          <w:vertAlign w:val="superscript"/>
        </w:rPr>
        <w:t xml:space="preserve">2</w:t>
      </w:r>
      <w:r>
        <w:rPr>
          <w:rFonts w:ascii="Times New Roman" w:hAnsi="Times New Roman" w:cs="Times New Roman"/>
          <w:b/>
          <w:sz w:val="24"/>
          <w:szCs w:val="24"/>
        </w:rPr>
        <w:t xml:space="preserve">)</w:t>
      </w:r>
      <w:bookmarkEnd w:id="675"/>
      <w:r/>
      <w:r>
        <w:rPr>
          <w:rFonts w:ascii="Times New Roman" w:hAnsi="Times New Roman" w:cs="Times New Roman"/>
          <w:b/>
          <w:sz w:val="24"/>
          <w:szCs w:val="24"/>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956"/>
        <w:gridCol w:w="863"/>
        <w:gridCol w:w="816"/>
        <w:gridCol w:w="816"/>
        <w:gridCol w:w="815"/>
        <w:gridCol w:w="816"/>
        <w:gridCol w:w="816"/>
        <w:gridCol w:w="816"/>
        <w:gridCol w:w="815"/>
        <w:gridCol w:w="825"/>
      </w:tblGrid>
      <w:tr>
        <w:trPr>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1956" w:type="dxa"/>
            <w:vAlign w:val="center"/>
            <w:vMerge w:val="restart"/>
          </w:tcPr>
          <w:p>
            <w:pPr>
              <w:pStyle w:val="10533"/>
              <w:pBdr/>
              <w:spacing/>
              <w:ind/>
              <w:jc w:val="center"/>
              <w:rPr>
                <w:color w:val="000000"/>
                <w:sz w:val="20"/>
                <w:szCs w:val="20"/>
              </w:rPr>
            </w:pPr>
            <w:r>
              <w:rPr>
                <w:color w:val="000000"/>
                <w:sz w:val="20"/>
                <w:szCs w:val="20"/>
              </w:rPr>
              <w:t xml:space="preserve">Тип здания</w:t>
            </w:r>
            <w:r>
              <w:rPr>
                <w:color w:val="000000"/>
                <w:sz w:val="20"/>
                <w:szCs w:val="20"/>
              </w:rPr>
            </w:r>
          </w:p>
        </w:tc>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863" w:type="dxa"/>
            <w:vAlign w:val="center"/>
            <w:vMerge w:val="restart"/>
          </w:tcPr>
          <w:p>
            <w:pPr>
              <w:pStyle w:val="10533"/>
              <w:pBdr/>
              <w:spacing/>
              <w:ind/>
              <w:jc w:val="center"/>
              <w:rPr>
                <w:color w:val="000000"/>
                <w:sz w:val="20"/>
                <w:szCs w:val="20"/>
              </w:rPr>
            </w:pPr>
            <w:r>
              <w:rPr>
                <w:color w:val="000000"/>
                <w:sz w:val="20"/>
                <w:szCs w:val="20"/>
              </w:rPr>
              <w:t xml:space="preserve">Высота этажа</w:t>
            </w:r>
            <w:r>
              <w:rPr>
                <w:color w:val="000000"/>
                <w:sz w:val="20"/>
                <w:szCs w:val="20"/>
              </w:rPr>
            </w:r>
          </w:p>
        </w:tc>
        <w:tc>
          <w:tcPr>
            <w:gridSpan w:val="8"/>
            <w:shd w:val="clear" w:color="auto" w:fill="d9d9d9" w:themeFill="background1" w:themeFillShade="D9"/>
            <w:tcBorders>
              <w:top w:val="single" w:color="000000" w:sz="8" w:space="0"/>
              <w:bottom w:val="single" w:color="000000" w:sz="8" w:space="0"/>
              <w:right w:val="single" w:color="000000" w:sz="8" w:space="0"/>
            </w:tcBorders>
            <w:tcW w:w="6535" w:type="dxa"/>
            <w:vAlign w:val="center"/>
          </w:tcPr>
          <w:p>
            <w:pPr>
              <w:pStyle w:val="10533"/>
              <w:pBdr/>
              <w:spacing/>
              <w:ind/>
              <w:jc w:val="center"/>
              <w:rPr>
                <w:color w:val="000000"/>
                <w:sz w:val="20"/>
                <w:szCs w:val="20"/>
              </w:rPr>
            </w:pPr>
            <w:r>
              <w:rPr>
                <w:color w:val="000000"/>
                <w:sz w:val="20"/>
                <w:szCs w:val="20"/>
              </w:rPr>
              <w:t xml:space="preserve">Этажность здания</w:t>
            </w:r>
            <w:r>
              <w:rPr>
                <w:color w:val="000000"/>
                <w:sz w:val="20"/>
                <w:szCs w:val="20"/>
              </w:rPr>
            </w:r>
          </w:p>
        </w:tc>
      </w:tr>
      <w:tr>
        <w:trPr>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863"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shd w:val="clear" w:color="auto" w:fill="d9d9d9" w:themeFill="background1" w:themeFillShade="D9"/>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w:t>
            </w:r>
            <w:r>
              <w:rPr>
                <w:color w:val="000000"/>
                <w:sz w:val="20"/>
                <w:szCs w:val="20"/>
              </w:rPr>
            </w:r>
          </w:p>
        </w:tc>
        <w:tc>
          <w:tcPr>
            <w:shd w:val="clear" w:color="auto" w:fill="d9d9d9" w:themeFill="background1" w:themeFillShade="D9"/>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w:t>
            </w:r>
            <w:r>
              <w:rPr>
                <w:color w:val="000000"/>
                <w:sz w:val="20"/>
                <w:szCs w:val="20"/>
              </w:rPr>
            </w:r>
          </w:p>
        </w:tc>
        <w:tc>
          <w:tcPr>
            <w:shd w:val="clear" w:color="auto" w:fill="d9d9d9" w:themeFill="background1" w:themeFillShade="D9"/>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shd w:val="clear" w:color="auto" w:fill="d9d9d9" w:themeFill="background1" w:themeFillShade="D9"/>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4, 5</w:t>
            </w:r>
            <w:r>
              <w:rPr>
                <w:color w:val="000000"/>
                <w:sz w:val="20"/>
                <w:szCs w:val="20"/>
              </w:rPr>
            </w:r>
          </w:p>
        </w:tc>
        <w:tc>
          <w:tcPr>
            <w:shd w:val="clear" w:color="auto" w:fill="d9d9d9" w:themeFill="background1" w:themeFillShade="D9"/>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6, 7</w:t>
            </w:r>
            <w:r>
              <w:rPr>
                <w:color w:val="000000"/>
                <w:sz w:val="20"/>
                <w:szCs w:val="20"/>
              </w:rPr>
            </w:r>
          </w:p>
        </w:tc>
        <w:tc>
          <w:tcPr>
            <w:shd w:val="clear" w:color="auto" w:fill="d9d9d9" w:themeFill="background1" w:themeFillShade="D9"/>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8, 9</w:t>
            </w:r>
            <w:r>
              <w:rPr>
                <w:color w:val="000000"/>
                <w:sz w:val="20"/>
                <w:szCs w:val="20"/>
              </w:rPr>
            </w:r>
          </w:p>
        </w:tc>
        <w:tc>
          <w:tcPr>
            <w:shd w:val="clear" w:color="auto" w:fill="d9d9d9" w:themeFill="background1" w:themeFillShade="D9"/>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10, 11</w:t>
            </w:r>
            <w:r>
              <w:rPr>
                <w:color w:val="000000"/>
                <w:sz w:val="20"/>
                <w:szCs w:val="20"/>
              </w:rPr>
            </w:r>
          </w:p>
        </w:tc>
        <w:tc>
          <w:tcPr>
            <w:shd w:val="clear" w:color="auto" w:fill="d9d9d9" w:themeFill="background1" w:themeFillShade="D9"/>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12 и выше</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tcPr>
          <w:p>
            <w:pPr>
              <w:pStyle w:val="10533"/>
              <w:pBdr/>
              <w:spacing/>
              <w:ind/>
              <w:jc w:val="center"/>
              <w:rPr>
                <w:color w:val="000000"/>
                <w:sz w:val="20"/>
                <w:szCs w:val="20"/>
              </w:rPr>
            </w:pPr>
            <w:r>
              <w:rPr>
                <w:color w:val="000000"/>
                <w:sz w:val="20"/>
                <w:szCs w:val="20"/>
              </w:rPr>
              <w:t xml:space="preserve">1 Жилые многоквартирные, гостиницы, общежития</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3,5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60,2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54,8</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47,5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44,5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42,2</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39,9</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38,4</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restart"/>
          </w:tcPr>
          <w:p>
            <w:pPr>
              <w:pStyle w:val="10533"/>
              <w:pBdr/>
              <w:spacing/>
              <w:ind/>
              <w:jc w:val="center"/>
              <w:rPr>
                <w:color w:val="000000"/>
                <w:sz w:val="20"/>
                <w:szCs w:val="20"/>
              </w:rPr>
            </w:pPr>
            <w:r>
              <w:rPr>
                <w:color w:val="000000"/>
                <w:sz w:val="20"/>
                <w:szCs w:val="20"/>
              </w:rPr>
              <w:t xml:space="preserve">2 Общественные, кроме перечисленных в строках 3-6</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51,662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47,7</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45,2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40,2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38,9</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37,1</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35,1</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33,7</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105,5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95,3</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90,4</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80,4</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77,8</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74,1</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70,2</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67,4</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12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211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190,7</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180,7</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160,8</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155,6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148,2</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140,4</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134,8</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tcPr>
          <w:p>
            <w:pPr>
              <w:pStyle w:val="10533"/>
              <w:pBdr/>
              <w:spacing/>
              <w:ind/>
              <w:jc w:val="center"/>
              <w:rPr>
                <w:color w:val="000000"/>
                <w:sz w:val="20"/>
                <w:szCs w:val="20"/>
              </w:rPr>
            </w:pPr>
            <w:r>
              <w:rPr>
                <w:color w:val="000000"/>
                <w:sz w:val="20"/>
                <w:szCs w:val="20"/>
              </w:rPr>
              <w:t xml:space="preserve">3 Поликлиники и лечебные учреждения, дома-интернаты</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41,4</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43,4</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42,1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40,7</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39,5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38,1</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36,8</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35,3</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tcPr>
          <w:p>
            <w:pPr>
              <w:pStyle w:val="10533"/>
              <w:pBdr/>
              <w:spacing/>
              <w:ind/>
              <w:jc w:val="center"/>
              <w:rPr>
                <w:color w:val="000000"/>
                <w:sz w:val="20"/>
                <w:szCs w:val="20"/>
              </w:rPr>
            </w:pPr>
            <w:r>
              <w:rPr>
                <w:color w:val="000000"/>
                <w:sz w:val="20"/>
                <w:szCs w:val="20"/>
              </w:rPr>
              <w:t xml:space="preserve">4 Дошкольные учреждения, хосписы</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60,5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60,5</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60,5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restart"/>
          </w:tcPr>
          <w:p>
            <w:pPr>
              <w:pStyle w:val="10533"/>
              <w:pBdr/>
              <w:spacing/>
              <w:ind/>
              <w:jc w:val="center"/>
              <w:rPr>
                <w:color w:val="000000"/>
                <w:sz w:val="20"/>
                <w:szCs w:val="20"/>
              </w:rPr>
            </w:pPr>
            <w:r>
              <w:rPr>
                <w:color w:val="000000"/>
                <w:sz w:val="20"/>
                <w:szCs w:val="20"/>
              </w:rPr>
              <w:t xml:space="preserve">5 Сервисного обслуживания, культурно-досуговой деятельности, технопарки,</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28,8</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27,6</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26,3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25,1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25,1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57,6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55,3</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52,7</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50,3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50,3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0</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restart"/>
          </w:tcPr>
          <w:p>
            <w:pPr>
              <w:pStyle w:val="10533"/>
              <w:pBdr/>
              <w:spacing/>
              <w:ind/>
              <w:jc w:val="center"/>
              <w:rPr>
                <w:color w:val="000000"/>
                <w:sz w:val="20"/>
                <w:szCs w:val="20"/>
              </w:rPr>
            </w:pPr>
            <w:r>
              <w:rPr>
                <w:color w:val="000000"/>
                <w:sz w:val="20"/>
                <w:szCs w:val="20"/>
              </w:rPr>
              <w:t xml:space="preserve">склады</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52,1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50</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47,6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45,5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45,5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12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104,3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100</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95,3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91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59,8</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 </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restart"/>
          </w:tcPr>
          <w:p>
            <w:pPr>
              <w:pStyle w:val="10533"/>
              <w:pBdr/>
              <w:spacing/>
              <w:ind/>
              <w:jc w:val="center"/>
              <w:rPr>
                <w:color w:val="000000"/>
                <w:sz w:val="20"/>
                <w:szCs w:val="20"/>
              </w:rPr>
            </w:pPr>
            <w:r>
              <w:rPr>
                <w:color w:val="000000"/>
                <w:sz w:val="20"/>
                <w:szCs w:val="20"/>
              </w:rPr>
              <w:t xml:space="preserve">6 Административного назначения (офисы)</w:t>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3</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45,2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42,7</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41,4</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33,9</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30,1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27,6</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25,1</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25,1</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4,5</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67,8</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64</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62,1</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50,9</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45,2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41,4</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37,7</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37,7</w:t>
            </w:r>
            <w:r>
              <w:rPr>
                <w:color w:val="000000"/>
                <w:sz w:val="20"/>
                <w:szCs w:val="20"/>
              </w:rPr>
            </w:r>
          </w:p>
        </w:tc>
      </w:tr>
      <w:tr>
        <w:trPr/>
        <w:tc>
          <w:tcPr>
            <w:tcBorders>
              <w:left w:val="single" w:color="000000" w:sz="8" w:space="0"/>
              <w:bottom w:val="single" w:color="000000" w:sz="8" w:space="0"/>
              <w:right w:val="single" w:color="000000" w:sz="8" w:space="0"/>
            </w:tcBorders>
            <w:tcW w:w="1956" w:type="dxa"/>
            <w:vAlign w:val="center"/>
            <w:vMerge w:val="continue"/>
          </w:tcPr>
          <w:p>
            <w:pPr>
              <w:pStyle w:val="10533"/>
              <w:pBdr/>
              <w:spacing/>
              <w:ind/>
              <w:jc w:val="center"/>
              <w:rPr>
                <w:color w:val="000000"/>
                <w:sz w:val="20"/>
                <w:szCs w:val="20"/>
              </w:rPr>
            </w:pPr>
            <w:r>
              <w:rPr>
                <w:color w:val="000000"/>
                <w:sz w:val="20"/>
                <w:szCs w:val="20"/>
              </w:rPr>
            </w:r>
            <w:r>
              <w:rPr>
                <w:color w:val="000000"/>
                <w:sz w:val="20"/>
                <w:szCs w:val="20"/>
              </w:rPr>
            </w:r>
          </w:p>
        </w:tc>
        <w:tc>
          <w:tcPr>
            <w:tcBorders>
              <w:bottom w:val="single" w:color="000000" w:sz="8" w:space="0"/>
              <w:right w:val="single" w:color="000000" w:sz="8" w:space="0"/>
            </w:tcBorders>
            <w:tcW w:w="863" w:type="dxa"/>
            <w:vAlign w:val="center"/>
          </w:tcPr>
          <w:p>
            <w:pPr>
              <w:pStyle w:val="10533"/>
              <w:pBdr/>
              <w:spacing/>
              <w:ind/>
              <w:jc w:val="center"/>
              <w:rPr>
                <w:color w:val="000000"/>
                <w:sz w:val="20"/>
                <w:szCs w:val="20"/>
              </w:rPr>
            </w:pPr>
            <w:r>
              <w:rPr>
                <w:color w:val="000000"/>
                <w:sz w:val="20"/>
                <w:szCs w:val="20"/>
              </w:rPr>
              <w:t xml:space="preserve">6</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90,4</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85,4</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81,662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67,8</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60,2</w:t>
            </w:r>
            <w:r>
              <w:rPr>
                <w:color w:val="000000"/>
                <w:sz w:val="20"/>
                <w:szCs w:val="20"/>
              </w:rPr>
            </w:r>
          </w:p>
        </w:tc>
        <w:tc>
          <w:tcPr>
            <w:tcBorders>
              <w:bottom w:val="single" w:color="000000" w:sz="8" w:space="0"/>
              <w:right w:val="single" w:color="000000" w:sz="8" w:space="0"/>
            </w:tcBorders>
            <w:tcW w:w="816" w:type="dxa"/>
            <w:vAlign w:val="center"/>
          </w:tcPr>
          <w:p>
            <w:pPr>
              <w:pStyle w:val="10533"/>
              <w:pBdr/>
              <w:spacing/>
              <w:ind/>
              <w:jc w:val="center"/>
              <w:rPr>
                <w:color w:val="000000"/>
                <w:sz w:val="20"/>
                <w:szCs w:val="20"/>
              </w:rPr>
            </w:pPr>
            <w:r>
              <w:rPr>
                <w:color w:val="000000"/>
                <w:sz w:val="20"/>
                <w:szCs w:val="20"/>
              </w:rPr>
              <w:t xml:space="preserve">55,3</w:t>
            </w:r>
            <w:r>
              <w:rPr>
                <w:color w:val="000000"/>
                <w:sz w:val="20"/>
                <w:szCs w:val="20"/>
              </w:rPr>
            </w:r>
          </w:p>
        </w:tc>
        <w:tc>
          <w:tcPr>
            <w:tcBorders>
              <w:bottom w:val="single" w:color="000000" w:sz="8" w:space="0"/>
              <w:right w:val="single" w:color="000000" w:sz="8" w:space="0"/>
            </w:tcBorders>
            <w:tcW w:w="815" w:type="dxa"/>
            <w:vAlign w:val="center"/>
          </w:tcPr>
          <w:p>
            <w:pPr>
              <w:pStyle w:val="10533"/>
              <w:pBdr/>
              <w:spacing/>
              <w:ind/>
              <w:jc w:val="center"/>
              <w:rPr>
                <w:color w:val="000000"/>
                <w:sz w:val="20"/>
                <w:szCs w:val="20"/>
              </w:rPr>
            </w:pPr>
            <w:r>
              <w:rPr>
                <w:color w:val="000000"/>
                <w:sz w:val="20"/>
                <w:szCs w:val="20"/>
              </w:rPr>
              <w:t xml:space="preserve">50,3</w:t>
            </w:r>
            <w:r>
              <w:rPr>
                <w:color w:val="000000"/>
                <w:sz w:val="20"/>
                <w:szCs w:val="20"/>
              </w:rPr>
            </w:r>
          </w:p>
        </w:tc>
        <w:tc>
          <w:tcPr>
            <w:tcBorders>
              <w:bottom w:val="single" w:color="000000" w:sz="8" w:space="0"/>
              <w:right w:val="single" w:color="000000" w:sz="8" w:space="0"/>
            </w:tcBorders>
            <w:tcW w:w="825" w:type="dxa"/>
            <w:vAlign w:val="center"/>
          </w:tcPr>
          <w:p>
            <w:pPr>
              <w:pStyle w:val="10533"/>
              <w:pBdr/>
              <w:spacing/>
              <w:ind/>
              <w:jc w:val="center"/>
              <w:rPr>
                <w:color w:val="000000"/>
                <w:sz w:val="20"/>
                <w:szCs w:val="20"/>
              </w:rPr>
            </w:pPr>
            <w:r>
              <w:rPr>
                <w:color w:val="000000"/>
                <w:sz w:val="20"/>
                <w:szCs w:val="20"/>
              </w:rPr>
              <w:t xml:space="preserve">50,3</w:t>
            </w:r>
            <w:r>
              <w:rPr>
                <w:color w:val="000000"/>
                <w:sz w:val="20"/>
                <w:szCs w:val="20"/>
              </w:rPr>
            </w:r>
          </w:p>
        </w:tc>
      </w:tr>
    </w:tbl>
    <w:p>
      <w:pPr>
        <w:pStyle w:val="10533"/>
        <w:pBdr/>
        <w:spacing w:after="120" w:before="0"/>
        <w:ind w:firstLine="709"/>
        <w:rPr>
          <w:rFonts w:eastAsia="Calibri"/>
        </w:rPr>
      </w:pPr>
      <w:r>
        <w:rPr>
          <w:rFonts w:eastAsia="Calibri"/>
        </w:rPr>
      </w:r>
      <w:r>
        <w:rPr>
          <w:rFonts w:eastAsia="Calibri"/>
        </w:rPr>
      </w:r>
    </w:p>
    <w:p>
      <w:pPr>
        <w:pStyle w:val="12960"/>
        <w:pBdr/>
        <w:spacing/>
        <w:ind/>
        <w:rPr/>
      </w:pPr>
      <w:r/>
      <w:r/>
      <w:r/>
      <w:r/>
      <w:r/>
      <w:r/>
      <w:bookmarkStart w:id="681" w:name="_Toc198483568"/>
      <w:r/>
      <w:bookmarkStart w:id="682" w:name="_Toc166767228"/>
      <w:r/>
      <w:bookmarkStart w:id="683" w:name="_Toc84971012"/>
      <w:r/>
      <w:bookmarkStart w:id="684" w:name="_Toc9154866"/>
      <w:r/>
      <w:bookmarkStart w:id="685" w:name="_Toc521411580"/>
      <w:r/>
      <w:r/>
    </w:p>
    <w:p>
      <w:pPr>
        <w:pStyle w:val="12960"/>
        <w:pBdr/>
        <w:spacing/>
        <w:ind/>
        <w:rPr/>
      </w:pPr>
      <w:r>
        <w:t xml:space="preserve">Нормативы потребления коммунальной услуги по отоплению в жилых и нежилых помещениях в многоквартирных домах и жилых домах на территории тульской области на отопительный период (7 месяцев) согласно приказу министерств</w:t>
      </w:r>
      <w:r>
        <w:t xml:space="preserve">а строительства и жилищно-коммунального хозяйства Тульской области от 07.10.2013 №83 «Об установлении нормативов потребления коммунальной услуги по отоплению в жилых и нежилых помещениях в многоквартирных домах и жилых домах на территории тульской области»</w:t>
      </w:r>
      <w:r/>
    </w:p>
    <w:p>
      <w:pPr>
        <w:pStyle w:val="12960"/>
        <w:pBdr/>
        <w:spacing/>
        <w:ind/>
        <w:rPr/>
      </w:pPr>
      <w:r>
        <w:t xml:space="preserve">Значение нормативного потребления тепловой энергии потребителями приведено в таблице.</w:t>
      </w:r>
      <w:r/>
    </w:p>
    <w:p>
      <w:pPr>
        <w:pStyle w:val="12960"/>
        <w:pBdr/>
        <w:spacing/>
        <w:ind/>
        <w:rPr>
          <w:b/>
          <w:bCs w:val="0"/>
        </w:rPr>
      </w:pPr>
      <w:r>
        <w:rPr>
          <w:b/>
          <w:bCs w:val="0"/>
        </w:rPr>
        <w:t xml:space="preserve">Таблица 1.5.5.1. - Нормативы потребления коммунальной услуги по отоплению в жилых и нежилых помещениях в многоквартирных домах и жилых домах на территории тульской области на отопительный период (7 месяцев)</w:t>
      </w:r>
      <w:r>
        <w:rPr>
          <w:b/>
          <w:bCs w:val="0"/>
        </w:rPr>
      </w:r>
    </w:p>
    <w:tbl>
      <w:tblPr>
        <w:tblInd w:w="0" w:type="dxa"/>
        <w:tblW w:w="5000" w:type="pct"/>
        <w:tblCellMar>
          <w:left w:w="62" w:type="dxa"/>
          <w:top w:w="102" w:type="dxa"/>
          <w:right w:w="62" w:type="dxa"/>
          <w:bottom w:w="102" w:type="dxa"/>
        </w:tblCellMar>
        <w:tblBorders/>
        <w:tblLayout w:type="fixed"/>
        <w:tblLook w:val="0000" w:firstRow="0" w:lastRow="0" w:firstColumn="0" w:lastColumn="0" w:noHBand="0" w:noVBand="0"/>
      </w:tblPr>
      <w:tblGrid>
        <w:gridCol w:w="2338"/>
        <w:gridCol w:w="1519"/>
        <w:gridCol w:w="549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38" w:type="dxa"/>
            <w:vAlign w:val="center"/>
          </w:tcPr>
          <w:p>
            <w:pPr>
              <w:pStyle w:val="12385"/>
              <w:pBdr/>
              <w:spacing/>
              <w:ind/>
              <w:rPr/>
            </w:pPr>
            <w:r>
              <w:t xml:space="preserve">Год постройки многоквартирного дома или жилого дома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Количество этажей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Норматив потребления коммунальной услуги по отоплению, Гкал на 1 кв. м общей площади всех жилых и нежилых помещений в многоквартирном доме или жилого дома в месяц</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restart"/>
          </w:tcPr>
          <w:p>
            <w:pPr>
              <w:pStyle w:val="12385"/>
              <w:pBdr/>
              <w:spacing/>
              <w:ind/>
              <w:rPr/>
            </w:pPr>
            <w:r>
              <w:t xml:space="preserve">До 1999 года постройки</w:t>
            </w: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0,0283</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0,0261</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3 - 4</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0,0262</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5 - 9</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0,0258</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10</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0,0230</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12</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0,0237</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13</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0,0250</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14</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0,0245</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16 и более</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0,0258</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restart"/>
          </w:tcPr>
          <w:p>
            <w:pPr>
              <w:pStyle w:val="12385"/>
              <w:pBdr/>
              <w:spacing/>
              <w:ind/>
              <w:rPr/>
            </w:pPr>
            <w:r>
              <w:t xml:space="preserve">После 1999 года постройки</w:t>
            </w: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0,0212</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0,0180</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3</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0,0188</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4 - 5</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0,0135</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6 - 7</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0,0151</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8</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0,0120</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9</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0,0119</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10</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0,0112</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11</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0,0129</w:t>
            </w:r>
            <w:r/>
          </w:p>
        </w:tc>
      </w:tr>
      <w:tr>
        <w:trPr>
          <w:trHeight w:val="20"/>
        </w:trPr>
        <w:tc>
          <w:tcPr>
            <w:tcBorders>
              <w:top w:val="single" w:color="000000" w:sz="4" w:space="0"/>
              <w:left w:val="single" w:color="000000" w:sz="4" w:space="0"/>
              <w:bottom w:val="single" w:color="000000" w:sz="4" w:space="0"/>
              <w:right w:val="single" w:color="000000" w:sz="4" w:space="0"/>
            </w:tcBorders>
            <w:tcW w:w="2338" w:type="dxa"/>
            <w:vAlign w:val="center"/>
            <w:vMerge w:val="continue"/>
          </w:tcPr>
          <w:p>
            <w:pPr>
              <w:pStyle w:val="12385"/>
              <w:pBdr/>
              <w:spacing/>
              <w:ind/>
              <w:rPr>
                <w:szCs w:val="22"/>
                <w:lang w:eastAsia="en-US"/>
              </w:rPr>
            </w:pPr>
            <w:r>
              <w:rPr>
                <w:szCs w:val="22"/>
                <w:lang w:eastAsia="en-US"/>
              </w:rPr>
            </w:r>
            <w:r>
              <w:rPr>
                <w:szCs w:val="22"/>
                <w:lang w:eastAsia="en-US"/>
              </w:rPr>
            </w:r>
          </w:p>
        </w:tc>
        <w:tc>
          <w:tcPr>
            <w:tcBorders>
              <w:top w:val="single" w:color="000000" w:sz="4" w:space="0"/>
              <w:left w:val="single" w:color="000000" w:sz="4" w:space="0"/>
              <w:bottom w:val="single" w:color="000000" w:sz="4" w:space="0"/>
              <w:right w:val="single" w:color="000000" w:sz="4" w:space="0"/>
            </w:tcBorders>
            <w:tcW w:w="1519" w:type="dxa"/>
            <w:vAlign w:val="center"/>
          </w:tcPr>
          <w:p>
            <w:pPr>
              <w:pStyle w:val="12385"/>
              <w:pBdr/>
              <w:spacing/>
              <w:ind/>
              <w:rPr/>
            </w:pPr>
            <w:r>
              <w:t xml:space="preserve">12 и более</w:t>
            </w:r>
            <w:r/>
          </w:p>
        </w:tc>
        <w:tc>
          <w:tcPr>
            <w:tcBorders>
              <w:top w:val="single" w:color="000000" w:sz="4" w:space="0"/>
              <w:left w:val="single" w:color="000000" w:sz="4" w:space="0"/>
              <w:bottom w:val="single" w:color="000000" w:sz="4" w:space="0"/>
              <w:right w:val="single" w:color="000000" w:sz="4" w:space="0"/>
            </w:tcBorders>
            <w:tcW w:w="5498" w:type="dxa"/>
            <w:vAlign w:val="center"/>
          </w:tcPr>
          <w:p>
            <w:pPr>
              <w:pStyle w:val="12385"/>
              <w:pBdr/>
              <w:spacing/>
              <w:ind/>
              <w:rPr/>
            </w:pPr>
            <w:r>
              <w:t xml:space="preserve">0,0111</w:t>
            </w:r>
            <w:r/>
          </w:p>
        </w:tc>
      </w:tr>
    </w:tbl>
    <w:p>
      <w:pPr>
        <w:pStyle w:val="12960"/>
        <w:pBdr/>
        <w:spacing/>
        <w:ind/>
        <w:rPr/>
      </w:pPr>
      <w:r/>
      <w:r/>
    </w:p>
    <w:p>
      <w:pPr>
        <w:pStyle w:val="12960"/>
        <w:pBdr/>
        <w:spacing/>
        <w:ind/>
        <w:rPr/>
      </w:pPr>
      <w:r>
        <w:rPr>
          <w:lang w:bidi="en-US"/>
        </w:rPr>
        <w:t xml:space="preserve">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r/>
    </w:p>
    <w:p>
      <w:pPr>
        <w:pStyle w:val="12960"/>
        <w:pBdr/>
        <w:spacing/>
        <w:ind/>
        <w:rPr/>
      </w:pPr>
      <w:r/>
      <w:r/>
    </w:p>
    <w:p>
      <w:pPr>
        <w:pStyle w:val="12960"/>
        <w:pBdr/>
        <w:spacing/>
        <w:ind/>
        <w:rPr/>
      </w:pPr>
      <w:r>
        <w:rPr>
          <w:lang w:bidi="en-US"/>
        </w:rPr>
        <w:t xml:space="preserve">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r>
        <w:br w:type="page" w:clear="all"/>
      </w:r>
      <w:r/>
    </w:p>
    <w:p>
      <w:pPr>
        <w:pStyle w:val="10534"/>
        <w:widowControl w:val="true"/>
        <w:numPr>
          <w:ilvl w:val="0"/>
          <w:numId w:val="13"/>
        </w:numPr>
        <w:pBdr/>
        <w:bidi w:val="false"/>
        <w:spacing w:after="240" w:before="120" w:line="360" w:lineRule="auto"/>
        <w:ind w:right="0" w:hanging="340" w:left="397"/>
        <w:contextualSpacing w:val="true"/>
        <w:jc w:val="center"/>
        <w:rPr>
          <w:spacing w:val="0"/>
        </w:rPr>
      </w:pPr>
      <w:r>
        <w:rPr>
          <w:spacing w:val="0"/>
        </w:rPr>
        <w:t xml:space="preserve"> </w:t>
      </w:r>
      <w:bookmarkStart w:id="686" w:name="OLE_LINK7"/>
      <w:r>
        <w:rPr>
          <w:rFonts w:eastAsia="Times New Roman" w:cs="Times New Roman"/>
          <w:b/>
          <w:smallCaps/>
          <w:spacing w:val="0"/>
          <w:sz w:val="28"/>
          <w:szCs w:val="36"/>
          <w:lang w:eastAsia="en-US" w:bidi="en-US"/>
        </w:rPr>
        <w:t xml:space="preserve">Прогнозы приростов объемов потребления тепловой энергии (мощности) и теплоносителя </w:t>
      </w:r>
      <w:bookmarkEnd w:id="686"/>
      <w:r>
        <w:rPr>
          <w:rFonts w:eastAsia="Times New Roman" w:cs="Times New Roman"/>
          <w:b/>
          <w:smallCaps/>
          <w:spacing w:val="0"/>
          <w:sz w:val="28"/>
          <w:szCs w:val="36"/>
          <w:lang w:eastAsia="en-US" w:bidi="en-US"/>
        </w:rPr>
        <w:t xml:space="preserve">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681"/>
      <w:r/>
      <w:bookmarkEnd w:id="682"/>
      <w:r/>
      <w:bookmarkEnd w:id="683"/>
      <w:r/>
      <w:bookmarkEnd w:id="684"/>
      <w:r/>
      <w:bookmarkEnd w:id="685"/>
      <w:r/>
      <w:r>
        <w:rPr>
          <w:spacing w:val="0"/>
        </w:rPr>
      </w:r>
    </w:p>
    <w:p>
      <w:pPr>
        <w:pStyle w:val="12960"/>
        <w:pBdr/>
        <w:spacing/>
        <w:ind/>
        <w:rPr/>
      </w:pPr>
      <w:r>
        <w:t xml:space="preserve">Централизованное теплоснабжение предусмотрено для существующих и перспективных потребителей.</w:t>
      </w:r>
      <w:r/>
    </w:p>
    <w:p>
      <w:pPr>
        <w:pStyle w:val="12960"/>
        <w:pBdr/>
        <w:spacing/>
        <w:ind/>
        <w:rPr/>
      </w:pPr>
      <w:r>
        <w:t xml:space="preserve">Под индивидуаль</w:t>
      </w:r>
      <w:r>
        <w:t xml:space="preserve">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и малоэтажном жилищном фонде.</w:t>
      </w:r>
      <w:r/>
    </w:p>
    <w:p>
      <w:pPr>
        <w:pStyle w:val="12960"/>
        <w:pBdr/>
        <w:spacing/>
        <w:ind/>
        <w:rPr/>
      </w:pPr>
      <w:r>
        <w:t xml:space="preserve">Приросты тепловых нагрузок определены в соответствии с генеральным планом муниципального образования.</w:t>
      </w:r>
      <w:r/>
    </w:p>
    <w:p>
      <w:pPr>
        <w:pStyle w:val="12960"/>
        <w:pBdr/>
        <w:spacing/>
        <w:ind/>
        <w:rPr/>
      </w:pPr>
      <w:r/>
      <w:bookmarkStart w:id="687" w:name="_Hlk212939937"/>
      <w:r/>
      <w:bookmarkEnd w:id="687"/>
      <w:r>
        <w:rPr>
          <w:rStyle w:val="11000"/>
          <w:bCs/>
          <w:iCs/>
        </w:rPr>
        <w:t xml:space="preserve">Прогнозы приростов объемов потребления тепловой энергии (мощнос</w:t>
      </w:r>
      <w:r>
        <w:rPr>
          <w:rStyle w:val="11000"/>
          <w:bCs/>
          <w:iCs/>
        </w:rPr>
        <w:t xml:space="preserve">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представлены в таблице</w:t>
      </w:r>
      <w:r>
        <w:t xml:space="preserve">.</w:t>
      </w:r>
      <w:r/>
    </w:p>
    <w:p>
      <w:pPr>
        <w:pStyle w:val="12960"/>
        <w:pBdr/>
        <w:spacing/>
        <w:ind/>
        <w:rPr>
          <w:b/>
          <w:bCs w:val="0"/>
        </w:rPr>
      </w:pPr>
      <w:r/>
      <w:bookmarkStart w:id="688" w:name="_bookmark345"/>
      <w:r/>
      <w:bookmarkEnd w:id="688"/>
      <w:r>
        <w:rPr>
          <w:b/>
          <w:bCs w:val="0"/>
        </w:rPr>
        <w:t xml:space="preserve">Таблица 2.4.2 - Приросты тепловых нагрузок на период перспективного развития систем теплоснабжения муниципального образования Астаповское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113"/>
        <w:gridCol w:w="1646"/>
        <w:gridCol w:w="1041"/>
        <w:gridCol w:w="1257"/>
        <w:gridCol w:w="1298"/>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4113"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1646" w:type="dxa"/>
            <w:vAlign w:val="center"/>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041" w:type="dxa"/>
            <w:vAlign w:val="center"/>
          </w:tcPr>
          <w:p>
            <w:pPr>
              <w:pStyle w:val="12385"/>
              <w:pBdr/>
              <w:spacing/>
              <w:ind/>
              <w:rPr/>
            </w:pPr>
            <w:r>
              <w:t xml:space="preserve">Всего, полезный отпуск, Гкал</w:t>
            </w:r>
            <w:r/>
          </w:p>
        </w:tc>
        <w:tc>
          <w:tcPr>
            <w:shd w:val="clear" w:color="000000" w:fill="d9d9d9"/>
            <w:tcBorders>
              <w:top w:val="single" w:color="000000" w:sz="4" w:space="0"/>
              <w:bottom w:val="single" w:color="000000" w:sz="4" w:space="0"/>
              <w:right w:val="single" w:color="000000" w:sz="4" w:space="0"/>
            </w:tcBorders>
            <w:tcW w:w="1257" w:type="dxa"/>
            <w:vAlign w:val="center"/>
          </w:tcPr>
          <w:p>
            <w:pPr>
              <w:pStyle w:val="12385"/>
              <w:pBdr/>
              <w:spacing/>
              <w:ind/>
              <w:rPr/>
            </w:pPr>
            <w:r>
              <w:t xml:space="preserve">Приросты тепловой нагрузки (мощность), Гкал/ч</w:t>
            </w:r>
            <w:r/>
          </w:p>
        </w:tc>
        <w:tc>
          <w:tcPr>
            <w:shd w:val="clear" w:color="000000" w:fill="d9d9d9"/>
            <w:tcBorders>
              <w:top w:val="single" w:color="000000" w:sz="4" w:space="0"/>
              <w:bottom w:val="single" w:color="000000" w:sz="4" w:space="0"/>
              <w:right w:val="single" w:color="000000" w:sz="4" w:space="0"/>
            </w:tcBorders>
            <w:tcW w:w="1298" w:type="dxa"/>
            <w:vAlign w:val="center"/>
          </w:tcPr>
          <w:p>
            <w:pPr>
              <w:pStyle w:val="12385"/>
              <w:pBdr/>
              <w:spacing/>
              <w:ind/>
              <w:rPr/>
            </w:pPr>
            <w:r>
              <w:t xml:space="preserve">Приросты объема потребления тепловой энергии, Гкал/год</w:t>
            </w:r>
            <w:r/>
          </w:p>
        </w:tc>
      </w:tr>
      <w:tr>
        <w:trPr>
          <w:trHeight w:val="20"/>
        </w:trPr>
        <w:tc>
          <w:tcPr>
            <w:shd w:val="clear" w:color="000000" w:fill="ffffff"/>
            <w:tcBorders>
              <w:left w:val="single" w:color="000000" w:sz="4" w:space="0"/>
              <w:bottom w:val="single" w:color="000000" w:sz="4" w:space="0"/>
              <w:right w:val="single" w:color="000000" w:sz="4" w:space="0"/>
            </w:tcBorders>
            <w:tcW w:w="4113" w:type="dxa"/>
            <w:vAlign w:val="center"/>
          </w:tcPr>
          <w:p>
            <w:pPr>
              <w:pStyle w:val="12385"/>
              <w:pBdr/>
              <w:spacing/>
              <w:ind/>
              <w:rPr/>
            </w:pPr>
            <w:r>
              <w:t xml:space="preserve">2026 год</w:t>
            </w:r>
            <w:r/>
          </w:p>
        </w:tc>
        <w:tc>
          <w:tcPr>
            <w:shd w:val="clear" w:color="000000" w:fill="ffffff"/>
            <w:tcBorders>
              <w:bottom w:val="single" w:color="000000" w:sz="4" w:space="0"/>
              <w:right w:val="single" w:color="000000" w:sz="4" w:space="0"/>
            </w:tcBorders>
            <w:tcW w:w="1646" w:type="dxa"/>
            <w:vAlign w:val="center"/>
          </w:tcPr>
          <w:p>
            <w:pPr>
              <w:pStyle w:val="12385"/>
              <w:pBdr/>
              <w:spacing/>
              <w:ind/>
              <w:rPr/>
            </w:pPr>
            <w:r/>
            <w:r/>
          </w:p>
        </w:tc>
        <w:tc>
          <w:tcPr>
            <w:shd w:val="clear" w:color="000000" w:fill="ffffff"/>
            <w:tcBorders>
              <w:bottom w:val="single" w:color="000000" w:sz="4" w:space="0"/>
              <w:right w:val="single" w:color="000000" w:sz="4" w:space="0"/>
            </w:tcBorders>
            <w:tcW w:w="1041" w:type="dxa"/>
            <w:vAlign w:val="center"/>
          </w:tcPr>
          <w:p>
            <w:pPr>
              <w:pStyle w:val="12385"/>
              <w:pBdr/>
              <w:spacing/>
              <w:ind/>
              <w:rPr/>
            </w:pPr>
            <w:r/>
            <w:r/>
          </w:p>
        </w:tc>
        <w:tc>
          <w:tcPr>
            <w:shd w:val="clear" w:color="000000" w:fill="ffffff"/>
            <w:tcBorders>
              <w:bottom w:val="single" w:color="000000" w:sz="4" w:space="0"/>
              <w:right w:val="single" w:color="000000" w:sz="4" w:space="0"/>
            </w:tcBorders>
            <w:tcW w:w="1257" w:type="dxa"/>
            <w:vAlign w:val="center"/>
          </w:tcPr>
          <w:p>
            <w:pPr>
              <w:pStyle w:val="12385"/>
              <w:pBdr/>
              <w:spacing/>
              <w:ind/>
              <w:rPr/>
            </w:pPr>
            <w:r/>
            <w:r/>
          </w:p>
        </w:tc>
        <w:tc>
          <w:tcPr>
            <w:shd w:val="clear" w:color="000000" w:fill="ffffff"/>
            <w:tcBorders>
              <w:bottom w:val="single" w:color="000000" w:sz="4" w:space="0"/>
              <w:right w:val="single" w:color="000000" w:sz="4" w:space="0"/>
            </w:tcBorders>
            <w:tcW w:w="1298"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646" w:type="dxa"/>
            <w:vAlign w:val="center"/>
          </w:tcPr>
          <w:p>
            <w:pPr>
              <w:pStyle w:val="12385"/>
              <w:pBdr/>
              <w:spacing/>
              <w:ind/>
              <w:rPr/>
            </w:pPr>
            <w:r>
              <w:t xml:space="preserve">0,05</w:t>
            </w:r>
            <w:r/>
          </w:p>
        </w:tc>
        <w:tc>
          <w:tcPr>
            <w:tcBorders>
              <w:bottom w:val="single" w:color="000000" w:sz="4" w:space="0"/>
              <w:right w:val="single" w:color="000000" w:sz="4" w:space="0"/>
            </w:tcBorders>
            <w:tcW w:w="1041" w:type="dxa"/>
            <w:vAlign w:val="center"/>
          </w:tcPr>
          <w:p>
            <w:pPr>
              <w:pStyle w:val="12385"/>
              <w:pBdr/>
              <w:spacing/>
              <w:ind/>
              <w:rPr/>
            </w:pPr>
            <w:r>
              <w:t xml:space="preserve">108,10</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646" w:type="dxa"/>
            <w:vAlign w:val="center"/>
          </w:tcPr>
          <w:p>
            <w:pPr>
              <w:pStyle w:val="12385"/>
              <w:pBdr/>
              <w:spacing/>
              <w:ind/>
              <w:rPr/>
            </w:pPr>
            <w:r>
              <w:t xml:space="preserve">0,12</w:t>
            </w:r>
            <w:r/>
          </w:p>
        </w:tc>
        <w:tc>
          <w:tcPr>
            <w:tcBorders>
              <w:bottom w:val="single" w:color="000000" w:sz="4" w:space="0"/>
              <w:right w:val="single" w:color="000000" w:sz="4" w:space="0"/>
            </w:tcBorders>
            <w:tcW w:w="1041" w:type="dxa"/>
            <w:vAlign w:val="center"/>
          </w:tcPr>
          <w:p>
            <w:pPr>
              <w:pStyle w:val="12385"/>
              <w:pBdr/>
              <w:spacing/>
              <w:ind/>
              <w:rPr/>
            </w:pPr>
            <w:r>
              <w:t xml:space="preserve">290,65</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646" w:type="dxa"/>
            <w:vAlign w:val="center"/>
          </w:tcPr>
          <w:p>
            <w:pPr>
              <w:pStyle w:val="12385"/>
              <w:pBdr/>
              <w:spacing/>
              <w:ind/>
              <w:rPr/>
            </w:pPr>
            <w:r>
              <w:t xml:space="preserve">0,07</w:t>
            </w:r>
            <w:r/>
          </w:p>
        </w:tc>
        <w:tc>
          <w:tcPr>
            <w:tcBorders>
              <w:bottom w:val="single" w:color="000000" w:sz="4" w:space="0"/>
              <w:right w:val="single" w:color="000000" w:sz="4" w:space="0"/>
            </w:tcBorders>
            <w:tcW w:w="1041" w:type="dxa"/>
            <w:vAlign w:val="center"/>
          </w:tcPr>
          <w:p>
            <w:pPr>
              <w:pStyle w:val="12385"/>
              <w:pBdr/>
              <w:spacing/>
              <w:ind/>
              <w:rPr/>
            </w:pPr>
            <w:r>
              <w:t xml:space="preserve">150,84</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shd w:val="clear" w:color="000000" w:fill="ffffff"/>
            <w:tcBorders>
              <w:left w:val="single" w:color="000000" w:sz="4" w:space="0"/>
              <w:bottom w:val="single" w:color="000000" w:sz="4" w:space="0"/>
              <w:right w:val="single" w:color="000000" w:sz="4" w:space="0"/>
            </w:tcBorders>
            <w:tcW w:w="4113" w:type="dxa"/>
            <w:vAlign w:val="center"/>
          </w:tcPr>
          <w:p>
            <w:pPr>
              <w:pStyle w:val="12385"/>
              <w:pBdr/>
              <w:spacing/>
              <w:ind/>
              <w:rPr/>
            </w:pPr>
            <w:r>
              <w:t xml:space="preserve">2027-2028 год</w:t>
            </w:r>
            <w:r/>
          </w:p>
        </w:tc>
        <w:tc>
          <w:tcPr>
            <w:tcBorders>
              <w:bottom w:val="single" w:color="000000" w:sz="4" w:space="0"/>
              <w:right w:val="single" w:color="000000" w:sz="4" w:space="0"/>
            </w:tcBorders>
            <w:tcW w:w="1646" w:type="dxa"/>
            <w:vAlign w:val="center"/>
          </w:tcPr>
          <w:p>
            <w:pPr>
              <w:pStyle w:val="12385"/>
              <w:pBdr/>
              <w:spacing/>
              <w:ind/>
              <w:rPr/>
            </w:pPr>
            <w:r/>
            <w:r/>
          </w:p>
        </w:tc>
        <w:tc>
          <w:tcPr>
            <w:tcBorders>
              <w:bottom w:val="single" w:color="000000" w:sz="4" w:space="0"/>
              <w:right w:val="single" w:color="000000" w:sz="4" w:space="0"/>
            </w:tcBorders>
            <w:tcW w:w="1041" w:type="dxa"/>
            <w:vAlign w:val="center"/>
          </w:tcPr>
          <w:p>
            <w:pPr>
              <w:pStyle w:val="12385"/>
              <w:pBdr/>
              <w:spacing/>
              <w:ind/>
              <w:rPr/>
            </w:pPr>
            <w:r/>
            <w:r/>
          </w:p>
        </w:tc>
        <w:tc>
          <w:tcPr>
            <w:tcBorders>
              <w:bottom w:val="single" w:color="000000" w:sz="4" w:space="0"/>
              <w:right w:val="single" w:color="000000" w:sz="4" w:space="0"/>
            </w:tcBorders>
            <w:tcW w:w="1257" w:type="dxa"/>
            <w:vAlign w:val="center"/>
          </w:tcPr>
          <w:p>
            <w:pPr>
              <w:pStyle w:val="12385"/>
              <w:pBdr/>
              <w:spacing/>
              <w:ind/>
              <w:rPr/>
            </w:pPr>
            <w:r/>
            <w:r/>
          </w:p>
        </w:tc>
        <w:tc>
          <w:tcPr>
            <w:tcBorders>
              <w:bottom w:val="single" w:color="000000" w:sz="4" w:space="0"/>
              <w:right w:val="single" w:color="000000" w:sz="4" w:space="0"/>
            </w:tcBorders>
            <w:tcW w:w="1298"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646" w:type="dxa"/>
            <w:vAlign w:val="center"/>
          </w:tcPr>
          <w:p>
            <w:pPr>
              <w:pStyle w:val="12385"/>
              <w:pBdr/>
              <w:spacing/>
              <w:ind/>
              <w:rPr/>
            </w:pPr>
            <w:r>
              <w:t xml:space="preserve">0,05</w:t>
            </w:r>
            <w:r/>
          </w:p>
        </w:tc>
        <w:tc>
          <w:tcPr>
            <w:tcBorders>
              <w:bottom w:val="single" w:color="000000" w:sz="4" w:space="0"/>
              <w:right w:val="single" w:color="000000" w:sz="4" w:space="0"/>
            </w:tcBorders>
            <w:tcW w:w="1041" w:type="dxa"/>
            <w:vAlign w:val="center"/>
          </w:tcPr>
          <w:p>
            <w:pPr>
              <w:pStyle w:val="12385"/>
              <w:pBdr/>
              <w:spacing/>
              <w:ind/>
              <w:rPr/>
            </w:pPr>
            <w:r>
              <w:t xml:space="preserve">108,10</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646" w:type="dxa"/>
            <w:vAlign w:val="center"/>
          </w:tcPr>
          <w:p>
            <w:pPr>
              <w:pStyle w:val="12385"/>
              <w:pBdr/>
              <w:spacing/>
              <w:ind/>
              <w:rPr/>
            </w:pPr>
            <w:r>
              <w:t xml:space="preserve">0,12</w:t>
            </w:r>
            <w:r/>
          </w:p>
        </w:tc>
        <w:tc>
          <w:tcPr>
            <w:tcBorders>
              <w:bottom w:val="single" w:color="000000" w:sz="4" w:space="0"/>
              <w:right w:val="single" w:color="000000" w:sz="4" w:space="0"/>
            </w:tcBorders>
            <w:tcW w:w="1041" w:type="dxa"/>
            <w:vAlign w:val="center"/>
          </w:tcPr>
          <w:p>
            <w:pPr>
              <w:pStyle w:val="12385"/>
              <w:pBdr/>
              <w:spacing/>
              <w:ind/>
              <w:rPr/>
            </w:pPr>
            <w:r>
              <w:t xml:space="preserve">290,65</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646" w:type="dxa"/>
            <w:vAlign w:val="center"/>
          </w:tcPr>
          <w:p>
            <w:pPr>
              <w:pStyle w:val="12385"/>
              <w:pBdr/>
              <w:spacing/>
              <w:ind/>
              <w:rPr/>
            </w:pPr>
            <w:r>
              <w:t xml:space="preserve">0,07</w:t>
            </w:r>
            <w:r/>
          </w:p>
        </w:tc>
        <w:tc>
          <w:tcPr>
            <w:tcBorders>
              <w:bottom w:val="single" w:color="000000" w:sz="4" w:space="0"/>
              <w:right w:val="single" w:color="000000" w:sz="4" w:space="0"/>
            </w:tcBorders>
            <w:tcW w:w="1041" w:type="dxa"/>
            <w:vAlign w:val="center"/>
          </w:tcPr>
          <w:p>
            <w:pPr>
              <w:pStyle w:val="12385"/>
              <w:pBdr/>
              <w:spacing/>
              <w:ind/>
              <w:rPr/>
            </w:pPr>
            <w:r>
              <w:t xml:space="preserve">150,84</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shd w:val="clear" w:color="000000" w:fill="ffffff"/>
            <w:tcBorders>
              <w:left w:val="single" w:color="000000" w:sz="4" w:space="0"/>
              <w:bottom w:val="single" w:color="000000" w:sz="4" w:space="0"/>
              <w:right w:val="single" w:color="000000" w:sz="4" w:space="0"/>
            </w:tcBorders>
            <w:tcW w:w="4113" w:type="dxa"/>
            <w:vAlign w:val="center"/>
          </w:tcPr>
          <w:p>
            <w:pPr>
              <w:pStyle w:val="12385"/>
              <w:pBdr/>
              <w:spacing/>
              <w:ind/>
              <w:rPr/>
            </w:pPr>
            <w:r>
              <w:t xml:space="preserve">2029-2038 годы</w:t>
            </w:r>
            <w:r/>
          </w:p>
        </w:tc>
        <w:tc>
          <w:tcPr>
            <w:tcBorders>
              <w:bottom w:val="single" w:color="000000" w:sz="4" w:space="0"/>
              <w:right w:val="single" w:color="000000" w:sz="4" w:space="0"/>
            </w:tcBorders>
            <w:tcW w:w="1646" w:type="dxa"/>
            <w:vAlign w:val="center"/>
          </w:tcPr>
          <w:p>
            <w:pPr>
              <w:pStyle w:val="12385"/>
              <w:pBdr/>
              <w:spacing/>
              <w:ind/>
              <w:rPr/>
            </w:pPr>
            <w:r/>
            <w:r/>
          </w:p>
        </w:tc>
        <w:tc>
          <w:tcPr>
            <w:tcBorders>
              <w:bottom w:val="single" w:color="000000" w:sz="4" w:space="0"/>
              <w:right w:val="single" w:color="000000" w:sz="4" w:space="0"/>
            </w:tcBorders>
            <w:tcW w:w="1041" w:type="dxa"/>
            <w:vAlign w:val="center"/>
          </w:tcPr>
          <w:p>
            <w:pPr>
              <w:pStyle w:val="12385"/>
              <w:pBdr/>
              <w:spacing/>
              <w:ind/>
              <w:rPr/>
            </w:pPr>
            <w:r/>
            <w:r/>
          </w:p>
        </w:tc>
        <w:tc>
          <w:tcPr>
            <w:tcBorders>
              <w:bottom w:val="single" w:color="000000" w:sz="4" w:space="0"/>
              <w:right w:val="single" w:color="000000" w:sz="4" w:space="0"/>
            </w:tcBorders>
            <w:tcW w:w="1257" w:type="dxa"/>
            <w:vAlign w:val="center"/>
          </w:tcPr>
          <w:p>
            <w:pPr>
              <w:pStyle w:val="12385"/>
              <w:pBdr/>
              <w:spacing/>
              <w:ind/>
              <w:rPr/>
            </w:pPr>
            <w:r/>
            <w:r/>
          </w:p>
        </w:tc>
        <w:tc>
          <w:tcPr>
            <w:tcBorders>
              <w:bottom w:val="single" w:color="000000" w:sz="4" w:space="0"/>
              <w:right w:val="single" w:color="000000" w:sz="4" w:space="0"/>
            </w:tcBorders>
            <w:tcW w:w="1298"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646" w:type="dxa"/>
            <w:vAlign w:val="center"/>
          </w:tcPr>
          <w:p>
            <w:pPr>
              <w:pStyle w:val="12385"/>
              <w:pBdr/>
              <w:spacing/>
              <w:ind/>
              <w:rPr/>
            </w:pPr>
            <w:r>
              <w:t xml:space="preserve">0,05</w:t>
            </w:r>
            <w:r/>
          </w:p>
        </w:tc>
        <w:tc>
          <w:tcPr>
            <w:tcBorders>
              <w:bottom w:val="single" w:color="000000" w:sz="4" w:space="0"/>
              <w:right w:val="single" w:color="000000" w:sz="4" w:space="0"/>
            </w:tcBorders>
            <w:tcW w:w="1041" w:type="dxa"/>
            <w:vAlign w:val="center"/>
          </w:tcPr>
          <w:p>
            <w:pPr>
              <w:pStyle w:val="12385"/>
              <w:pBdr/>
              <w:spacing/>
              <w:ind/>
              <w:rPr/>
            </w:pPr>
            <w:r>
              <w:t xml:space="preserve">108,10</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646" w:type="dxa"/>
            <w:vAlign w:val="center"/>
          </w:tcPr>
          <w:p>
            <w:pPr>
              <w:pStyle w:val="12385"/>
              <w:pBdr/>
              <w:spacing/>
              <w:ind/>
              <w:rPr/>
            </w:pPr>
            <w:r>
              <w:t xml:space="preserve">0,12</w:t>
            </w:r>
            <w:r/>
          </w:p>
        </w:tc>
        <w:tc>
          <w:tcPr>
            <w:tcBorders>
              <w:bottom w:val="single" w:color="000000" w:sz="4" w:space="0"/>
              <w:right w:val="single" w:color="000000" w:sz="4" w:space="0"/>
            </w:tcBorders>
            <w:tcW w:w="1041" w:type="dxa"/>
            <w:vAlign w:val="center"/>
          </w:tcPr>
          <w:p>
            <w:pPr>
              <w:pStyle w:val="12385"/>
              <w:pBdr/>
              <w:spacing/>
              <w:ind/>
              <w:rPr/>
            </w:pPr>
            <w:r>
              <w:t xml:space="preserve">290,65</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r>
        <w:trPr>
          <w:trHeight w:val="20"/>
        </w:trPr>
        <w:tc>
          <w:tcPr>
            <w:tcBorders>
              <w:left w:val="single" w:color="000000" w:sz="4" w:space="0"/>
              <w:bottom w:val="single" w:color="000000" w:sz="4" w:space="0"/>
              <w:right w:val="single" w:color="000000" w:sz="4" w:space="0"/>
            </w:tcBorders>
            <w:tcW w:w="4113"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646" w:type="dxa"/>
            <w:vAlign w:val="center"/>
          </w:tcPr>
          <w:p>
            <w:pPr>
              <w:pStyle w:val="12385"/>
              <w:pBdr/>
              <w:spacing/>
              <w:ind/>
              <w:rPr/>
            </w:pPr>
            <w:r>
              <w:t xml:space="preserve">0,07</w:t>
            </w:r>
            <w:r/>
          </w:p>
        </w:tc>
        <w:tc>
          <w:tcPr>
            <w:tcBorders>
              <w:bottom w:val="single" w:color="000000" w:sz="4" w:space="0"/>
              <w:right w:val="single" w:color="000000" w:sz="4" w:space="0"/>
            </w:tcBorders>
            <w:tcW w:w="1041" w:type="dxa"/>
            <w:vAlign w:val="center"/>
          </w:tcPr>
          <w:p>
            <w:pPr>
              <w:pStyle w:val="12385"/>
              <w:pBdr/>
              <w:spacing/>
              <w:ind/>
              <w:rPr/>
            </w:pPr>
            <w:r>
              <w:t xml:space="preserve">150,84</w:t>
            </w:r>
            <w:r/>
          </w:p>
        </w:tc>
        <w:tc>
          <w:tcPr>
            <w:tcBorders>
              <w:bottom w:val="single" w:color="000000" w:sz="4" w:space="0"/>
              <w:right w:val="single" w:color="000000" w:sz="4" w:space="0"/>
            </w:tcBorders>
            <w:tcW w:w="1257" w:type="dxa"/>
            <w:vAlign w:val="center"/>
          </w:tcPr>
          <w:p>
            <w:pPr>
              <w:pStyle w:val="12385"/>
              <w:pBdr/>
              <w:spacing/>
              <w:ind/>
              <w:rPr/>
            </w:pPr>
            <w:r>
              <w:t xml:space="preserve">0,000</w:t>
            </w:r>
            <w:r/>
          </w:p>
        </w:tc>
        <w:tc>
          <w:tcPr>
            <w:tcBorders>
              <w:bottom w:val="single" w:color="000000" w:sz="4" w:space="0"/>
              <w:right w:val="single" w:color="000000" w:sz="4" w:space="0"/>
            </w:tcBorders>
            <w:tcW w:w="1298" w:type="dxa"/>
            <w:vAlign w:val="center"/>
          </w:tcPr>
          <w:p>
            <w:pPr>
              <w:pStyle w:val="12385"/>
              <w:pBdr/>
              <w:spacing/>
              <w:ind/>
              <w:rPr/>
            </w:pPr>
            <w:r>
              <w:t xml:space="preserve">0,0</w:t>
            </w:r>
            <w:r/>
          </w:p>
        </w:tc>
      </w:tr>
    </w:tbl>
    <w:p>
      <w:pPr>
        <w:pStyle w:val="12960"/>
        <w:pBdr/>
        <w:spacing/>
        <w:ind/>
        <w:rPr>
          <w:b/>
          <w:bCs w:val="0"/>
        </w:rPr>
      </w:pPr>
      <w:r>
        <w:rPr>
          <w:b/>
          <w:bCs w:val="0"/>
        </w:rPr>
      </w:r>
      <w:r>
        <w:rPr>
          <w:b/>
          <w:bCs w:val="0"/>
        </w:rPr>
      </w:r>
    </w:p>
    <w:p>
      <w:pPr>
        <w:pStyle w:val="12960"/>
        <w:pBdr/>
        <w:spacing/>
        <w:ind/>
        <w:rPr>
          <w:b/>
          <w:bCs w:val="0"/>
        </w:rPr>
        <w:sectPr>
          <w:headerReference w:type="default" r:id="rId100"/>
          <w:headerReference w:type="first" r:id="rId101"/>
          <w:footerReference w:type="default" r:id="rId368"/>
          <w:footerReference w:type="first" r:id="rId369"/>
          <w:footnotePr/>
          <w:endnotePr/>
          <w:type w:val="nextPage"/>
          <w:pgSz w:h="16838" w:orient="portrait" w:w="11906"/>
          <w:pgMar w:top="1134" w:right="850" w:bottom="1134" w:left="1701" w:header="567" w:footer="454" w:gutter="0"/>
          <w:cols w:num="1" w:sep="0" w:space="1701" w:equalWidth="1"/>
        </w:sectPr>
      </w:pPr>
      <w:r>
        <w:rPr>
          <w:b/>
          <w:bCs w:val="0"/>
        </w:rPr>
      </w:r>
      <w:r/>
      <w:bookmarkStart w:id="690" w:name="_Hlk212939937"/>
      <w:r/>
      <w:bookmarkEnd w:id="690"/>
      <w:r/>
      <w:r>
        <w:rPr>
          <w:b/>
          <w:bCs w:val="0"/>
        </w:rPr>
      </w:r>
    </w:p>
    <w:p>
      <w:pPr>
        <w:pStyle w:val="12960"/>
        <w:pBdr/>
        <w:spacing/>
        <w:ind/>
        <w:rPr>
          <w:b/>
          <w:bCs w:val="0"/>
        </w:rPr>
      </w:pPr>
      <w:r>
        <w:rPr>
          <w:b/>
          <w:bCs w:val="0"/>
        </w:rPr>
        <w:t xml:space="preserve">Таблица 2.4.1 – </w:t>
      </w:r>
      <w:bookmarkStart w:id="691" w:name="_Hlk215463180"/>
      <w:r>
        <w:rPr>
          <w:b/>
          <w:bCs w:val="0"/>
        </w:rPr>
        <w:t xml:space="preserve">Объем потребления тепловой энергии на период перспективного развития систем теплоснабжения муниципального образования Астаповское</w:t>
      </w:r>
      <w:bookmarkEnd w:id="691"/>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847"/>
        <w:gridCol w:w="3336"/>
        <w:gridCol w:w="1509"/>
        <w:gridCol w:w="1087"/>
        <w:gridCol w:w="1646"/>
        <w:gridCol w:w="1297"/>
        <w:gridCol w:w="895"/>
        <w:gridCol w:w="1282"/>
        <w:gridCol w:w="1305"/>
        <w:gridCol w:w="1364"/>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847" w:type="dxa"/>
            <w:vAlign w:val="center"/>
            <w:vMerge w:val="restart"/>
          </w:tcPr>
          <w:p>
            <w:pPr>
              <w:pStyle w:val="12385"/>
              <w:pBdr/>
              <w:spacing/>
              <w:ind/>
              <w:rPr/>
            </w:pPr>
            <w:r>
              <w:t xml:space="preserve">№ </w:t>
            </w:r>
            <w:r>
              <w:t xml:space="preserve">п/п</w:t>
            </w:r>
            <w:r/>
          </w:p>
        </w:tc>
        <w:tc>
          <w:tcPr>
            <w:shd w:val="clear" w:color="000000" w:fill="d9d9d9"/>
            <w:tcBorders>
              <w:top w:val="single" w:color="000000" w:sz="4" w:space="0"/>
              <w:left w:val="single" w:color="000000" w:sz="4" w:space="0"/>
              <w:bottom w:val="single" w:color="000000" w:sz="4" w:space="0"/>
              <w:right w:val="single" w:color="000000" w:sz="4" w:space="0"/>
            </w:tcBorders>
            <w:tcW w:w="3336" w:type="dxa"/>
            <w:vAlign w:val="center"/>
            <w:vMerge w:val="restart"/>
          </w:tcPr>
          <w:p>
            <w:pPr>
              <w:pStyle w:val="12385"/>
              <w:pBdr/>
              <w:spacing/>
              <w:ind/>
              <w:rPr/>
            </w:pPr>
            <w:r>
              <w:t xml:space="preserve">Наименование источника</w:t>
            </w:r>
            <w:r/>
          </w:p>
        </w:tc>
        <w:tc>
          <w:tcPr>
            <w:shd w:val="clear" w:color="000000" w:fill="d9d9d9"/>
            <w:tcBorders>
              <w:top w:val="single" w:color="000000" w:sz="4" w:space="0"/>
              <w:left w:val="single" w:color="000000" w:sz="4" w:space="0"/>
              <w:bottom w:val="single" w:color="000000" w:sz="4" w:space="0"/>
              <w:right w:val="single" w:color="000000" w:sz="4" w:space="0"/>
            </w:tcBorders>
            <w:tcW w:w="1509" w:type="dxa"/>
            <w:vAlign w:val="center"/>
            <w:vMerge w:val="restart"/>
          </w:tcPr>
          <w:p>
            <w:pPr>
              <w:pStyle w:val="12385"/>
              <w:pBdr/>
              <w:spacing/>
              <w:ind/>
              <w:rPr/>
            </w:pPr>
            <w:r>
              <w:t xml:space="preserve">Установленная тепловая мощность, Гкал/ч</w:t>
            </w:r>
            <w:r/>
          </w:p>
        </w:tc>
        <w:tc>
          <w:tcPr>
            <w:shd w:val="clear" w:color="000000" w:fill="d9d9d9"/>
            <w:tcBorders>
              <w:top w:val="single" w:color="000000" w:sz="4" w:space="0"/>
              <w:left w:val="single" w:color="000000" w:sz="4" w:space="0"/>
              <w:bottom w:val="single" w:color="000000" w:sz="4" w:space="0"/>
              <w:right w:val="single" w:color="000000" w:sz="4" w:space="0"/>
            </w:tcBorders>
            <w:tcW w:w="1087" w:type="dxa"/>
            <w:vAlign w:val="center"/>
            <w:vMerge w:val="restart"/>
          </w:tcPr>
          <w:p>
            <w:pPr>
              <w:pStyle w:val="12385"/>
              <w:pBdr/>
              <w:spacing/>
              <w:ind/>
              <w:rPr/>
            </w:pPr>
            <w:r>
              <w:t xml:space="preserve">Потери мощности в тепловых сетях, Гкал/ч</w:t>
            </w:r>
            <w:r/>
          </w:p>
        </w:tc>
        <w:tc>
          <w:tcPr>
            <w:shd w:val="clear" w:color="000000" w:fill="d9d9d9"/>
            <w:tcBorders>
              <w:top w:val="single" w:color="000000" w:sz="4" w:space="0"/>
              <w:left w:val="single" w:color="000000" w:sz="4" w:space="0"/>
              <w:bottom w:val="single" w:color="000000" w:sz="4" w:space="0"/>
              <w:right w:val="single" w:color="000000" w:sz="4" w:space="0"/>
            </w:tcBorders>
            <w:tcW w:w="1646" w:type="dxa"/>
            <w:vAlign w:val="center"/>
            <w:vMerge w:val="restart"/>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297" w:type="dxa"/>
            <w:vAlign w:val="center"/>
          </w:tcPr>
          <w:p>
            <w:pPr>
              <w:pStyle w:val="12385"/>
              <w:pBdr/>
              <w:spacing/>
              <w:ind/>
              <w:rPr/>
            </w:pPr>
            <w:r>
              <w:t xml:space="preserve">Объемы потребления тепловой энергии в год, Гкал</w:t>
            </w:r>
            <w:r/>
          </w:p>
        </w:tc>
        <w:tc>
          <w:tcPr>
            <w:shd w:val="clear" w:color="000000" w:fill="d9d9d9"/>
            <w:tcBorders>
              <w:top w:val="single" w:color="000000" w:sz="4" w:space="0"/>
              <w:left w:val="single" w:color="000000" w:sz="4" w:space="0"/>
              <w:bottom w:val="single" w:color="000000" w:sz="4" w:space="0"/>
              <w:right w:val="single" w:color="000000" w:sz="4" w:space="0"/>
            </w:tcBorders>
            <w:tcW w:w="895" w:type="dxa"/>
            <w:vAlign w:val="center"/>
            <w:vMerge w:val="restart"/>
          </w:tcPr>
          <w:p>
            <w:pPr>
              <w:pStyle w:val="12385"/>
              <w:pBdr/>
              <w:spacing/>
              <w:ind/>
              <w:rPr/>
            </w:pPr>
            <w:r>
              <w:t xml:space="preserve">Потери, Гкал</w:t>
            </w:r>
            <w:r/>
          </w:p>
        </w:tc>
        <w:tc>
          <w:tcPr>
            <w:shd w:val="clear" w:color="000000" w:fill="d9d9d9"/>
            <w:tcBorders>
              <w:top w:val="single" w:color="000000" w:sz="4" w:space="0"/>
              <w:left w:val="single" w:color="000000" w:sz="4" w:space="0"/>
              <w:bottom w:val="single" w:color="000000" w:sz="4" w:space="0"/>
              <w:right w:val="single" w:color="000000" w:sz="4" w:space="0"/>
            </w:tcBorders>
            <w:tcW w:w="1282" w:type="dxa"/>
            <w:vAlign w:val="center"/>
            <w:vMerge w:val="restart"/>
          </w:tcPr>
          <w:p>
            <w:pPr>
              <w:pStyle w:val="12385"/>
              <w:pBdr/>
              <w:spacing/>
              <w:ind/>
              <w:rPr/>
            </w:pPr>
            <w:r>
              <w:t xml:space="preserve">Отпуск тепловой энергии с коллекторов источников тепловой энергии, Гкал</w:t>
            </w:r>
            <w:r/>
          </w:p>
        </w:tc>
        <w:tc>
          <w:tcPr>
            <w:shd w:val="clear" w:color="000000" w:fill="d9d9d9"/>
            <w:tcBorders>
              <w:top w:val="single" w:color="000000" w:sz="4" w:space="0"/>
              <w:left w:val="single" w:color="000000" w:sz="4" w:space="0"/>
              <w:bottom w:val="single" w:color="000000" w:sz="4" w:space="0"/>
              <w:right w:val="single" w:color="000000" w:sz="4" w:space="0"/>
            </w:tcBorders>
            <w:tcW w:w="1305" w:type="dxa"/>
            <w:vAlign w:val="center"/>
            <w:vMerge w:val="restart"/>
          </w:tcPr>
          <w:p>
            <w:pPr>
              <w:pStyle w:val="12385"/>
              <w:pBdr/>
              <w:spacing/>
              <w:ind/>
              <w:rPr/>
            </w:pPr>
            <w:r>
              <w:t xml:space="preserve">Расход тепловой энергии на собственные нужды, Гкал</w:t>
            </w:r>
            <w:r/>
          </w:p>
        </w:tc>
        <w:tc>
          <w:tcPr>
            <w:shd w:val="clear" w:color="000000" w:fill="d9d9d9"/>
            <w:tcBorders>
              <w:top w:val="single" w:color="000000" w:sz="4" w:space="0"/>
              <w:left w:val="single" w:color="000000" w:sz="4" w:space="0"/>
              <w:bottom w:val="single" w:color="000000" w:sz="4" w:space="0"/>
              <w:right w:val="single" w:color="000000" w:sz="4" w:space="0"/>
            </w:tcBorders>
            <w:tcW w:w="1364" w:type="dxa"/>
            <w:vAlign w:val="center"/>
            <w:vMerge w:val="restart"/>
          </w:tcPr>
          <w:p>
            <w:pPr>
              <w:pStyle w:val="12385"/>
              <w:pBdr/>
              <w:spacing/>
              <w:ind/>
              <w:rPr/>
            </w:pPr>
            <w:r>
              <w:t xml:space="preserve">Объем производства тепловой энергии в год, Гкал</w:t>
            </w:r>
            <w:r/>
          </w:p>
        </w:tc>
      </w:tr>
      <w:tr>
        <w:trPr>
          <w:trHeight w:val="20"/>
        </w:trPr>
        <w:tc>
          <w:tcPr>
            <w:tcBorders>
              <w:top w:val="single" w:color="000000" w:sz="4" w:space="0"/>
              <w:left w:val="single" w:color="000000" w:sz="4" w:space="0"/>
              <w:bottom w:val="single" w:color="000000" w:sz="4" w:space="0"/>
              <w:right w:val="single" w:color="000000" w:sz="4" w:space="0"/>
            </w:tcBorders>
            <w:tcW w:w="847"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3336"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509"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087"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46" w:type="dxa"/>
            <w:vAlign w:val="center"/>
            <w:vMerge w:val="continue"/>
          </w:tcPr>
          <w:p>
            <w:pPr>
              <w:pStyle w:val="12385"/>
              <w:pBdr/>
              <w:spacing/>
              <w:ind/>
              <w:rPr/>
            </w:pPr>
            <w:r/>
            <w:r/>
          </w:p>
        </w:tc>
        <w:tc>
          <w:tcPr>
            <w:shd w:val="clear" w:color="000000" w:fill="d9d9d9"/>
            <w:tcBorders>
              <w:bottom w:val="single" w:color="000000" w:sz="4" w:space="0"/>
              <w:right w:val="single" w:color="000000" w:sz="4" w:space="0"/>
            </w:tcBorders>
            <w:tcW w:w="1297" w:type="dxa"/>
            <w:vAlign w:val="center"/>
          </w:tcPr>
          <w:p>
            <w:pPr>
              <w:pStyle w:val="12385"/>
              <w:pBdr/>
              <w:spacing/>
              <w:ind/>
              <w:rPr/>
            </w:pPr>
            <w:r>
              <w:t xml:space="preserve">Всего, полезный отпуск тепловой энергии, Гкал</w:t>
            </w:r>
            <w:r/>
          </w:p>
        </w:tc>
        <w:tc>
          <w:tcPr>
            <w:tcBorders>
              <w:top w:val="single" w:color="000000" w:sz="4" w:space="0"/>
              <w:left w:val="single" w:color="000000" w:sz="4" w:space="0"/>
              <w:bottom w:val="single" w:color="000000" w:sz="4" w:space="0"/>
              <w:right w:val="single" w:color="000000" w:sz="4" w:space="0"/>
            </w:tcBorders>
            <w:tcW w:w="895"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282"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305"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364" w:type="dxa"/>
            <w:vAlign w:val="center"/>
            <w:vMerge w:val="continue"/>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rFonts w:ascii="Calibri" w:hAnsi="Calibri"/>
                <w:sz w:val="22"/>
                <w:szCs w:val="22"/>
              </w:rPr>
            </w:pPr>
            <w:r>
              <w:rPr>
                <w:rFonts w:ascii="Calibri" w:hAnsi="Calibri"/>
                <w:sz w:val="22"/>
                <w:szCs w:val="22"/>
              </w:rPr>
            </w:r>
            <w:r>
              <w:rPr>
                <w:rFonts w:ascii="Calibri" w:hAnsi="Calibri"/>
                <w:sz w:val="22"/>
                <w:szCs w:val="22"/>
              </w:rPr>
            </w:r>
          </w:p>
        </w:tc>
        <w:tc>
          <w:tcPr>
            <w:gridSpan w:val="3"/>
            <w:tcBorders>
              <w:top w:val="single" w:color="000000" w:sz="4" w:space="0"/>
              <w:bottom w:val="single" w:color="000000" w:sz="4" w:space="0"/>
              <w:right w:val="single" w:color="000000" w:sz="4" w:space="0"/>
            </w:tcBorders>
            <w:tcW w:w="5932" w:type="dxa"/>
            <w:vAlign w:val="center"/>
          </w:tcPr>
          <w:p>
            <w:pPr>
              <w:pStyle w:val="12385"/>
              <w:pBdr/>
              <w:spacing/>
              <w:ind/>
              <w:rPr>
                <w:rFonts w:cs="Times New Roman"/>
              </w:rPr>
            </w:pPr>
            <w:r>
              <w:t xml:space="preserve">2025 год</w:t>
            </w:r>
            <w:r>
              <w:rPr>
                <w:rFonts w:cs="Times New Roman"/>
              </w:rPr>
            </w:r>
          </w:p>
        </w:tc>
        <w:tc>
          <w:tcPr>
            <w:tcBorders>
              <w:bottom w:val="single" w:color="000000" w:sz="4" w:space="0"/>
              <w:right w:val="single" w:color="000000" w:sz="4" w:space="0"/>
            </w:tcBorders>
            <w:tcW w:w="1646" w:type="dxa"/>
            <w:vAlign w:val="center"/>
          </w:tcPr>
          <w:p>
            <w:pPr>
              <w:pStyle w:val="12385"/>
              <w:pBdr/>
              <w:spacing/>
              <w:ind/>
              <w:rPr/>
            </w:pPr>
            <w:r/>
            <w:r/>
          </w:p>
        </w:tc>
        <w:tc>
          <w:tcPr>
            <w:tcBorders>
              <w:bottom w:val="single" w:color="000000" w:sz="4" w:space="0"/>
              <w:right w:val="single" w:color="000000" w:sz="4" w:space="0"/>
            </w:tcBorders>
            <w:tcW w:w="1297" w:type="dxa"/>
            <w:vAlign w:val="center"/>
          </w:tcPr>
          <w:p>
            <w:pPr>
              <w:pStyle w:val="12385"/>
              <w:pBdr/>
              <w:spacing/>
              <w:ind/>
              <w:rPr/>
            </w:pPr>
            <w:r/>
            <w:r/>
          </w:p>
        </w:tc>
        <w:tc>
          <w:tcPr>
            <w:tcBorders>
              <w:bottom w:val="single" w:color="000000" w:sz="4" w:space="0"/>
              <w:right w:val="single" w:color="000000" w:sz="4" w:space="0"/>
            </w:tcBorders>
            <w:tcW w:w="895" w:type="dxa"/>
            <w:vAlign w:val="center"/>
          </w:tcPr>
          <w:p>
            <w:pPr>
              <w:pStyle w:val="12385"/>
              <w:pBdr/>
              <w:spacing/>
              <w:ind/>
              <w:rPr/>
            </w:pPr>
            <w:r/>
            <w:r/>
          </w:p>
        </w:tc>
        <w:tc>
          <w:tcPr>
            <w:tcBorders>
              <w:bottom w:val="single" w:color="000000" w:sz="4" w:space="0"/>
              <w:right w:val="single" w:color="000000" w:sz="4" w:space="0"/>
            </w:tcBorders>
            <w:tcW w:w="1282" w:type="dxa"/>
            <w:vAlign w:val="center"/>
          </w:tcPr>
          <w:p>
            <w:pPr>
              <w:pStyle w:val="12385"/>
              <w:pBdr/>
              <w:spacing/>
              <w:ind/>
              <w:rPr/>
            </w:pPr>
            <w:r/>
            <w:r/>
          </w:p>
        </w:tc>
        <w:tc>
          <w:tcPr>
            <w:tcBorders>
              <w:bottom w:val="single" w:color="000000" w:sz="4" w:space="0"/>
              <w:right w:val="single" w:color="000000" w:sz="4" w:space="0"/>
            </w:tcBorders>
            <w:tcW w:w="1305" w:type="dxa"/>
            <w:vAlign w:val="center"/>
          </w:tcPr>
          <w:p>
            <w:pPr>
              <w:pStyle w:val="12385"/>
              <w:pBdr/>
              <w:spacing/>
              <w:ind/>
              <w:rPr/>
            </w:pPr>
            <w:r/>
            <w:r/>
          </w:p>
        </w:tc>
        <w:tc>
          <w:tcPr>
            <w:tcBorders>
              <w:bottom w:val="single" w:color="000000" w:sz="4" w:space="0"/>
              <w:right w:val="single" w:color="000000" w:sz="4" w:space="0"/>
            </w:tcBorders>
            <w:tcW w:w="1364"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1</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509" w:type="dxa"/>
            <w:vAlign w:val="center"/>
          </w:tcPr>
          <w:p>
            <w:pPr>
              <w:pStyle w:val="12385"/>
              <w:pBdr/>
              <w:spacing/>
              <w:ind/>
              <w:rPr/>
            </w:pPr>
            <w:r>
              <w:t xml:space="preserve">0,17</w:t>
            </w:r>
            <w:r/>
          </w:p>
        </w:tc>
        <w:tc>
          <w:tcPr>
            <w:tcBorders>
              <w:bottom w:val="single" w:color="000000" w:sz="4" w:space="0"/>
              <w:right w:val="single" w:color="000000" w:sz="4" w:space="0"/>
            </w:tcBorders>
            <w:tcW w:w="1087" w:type="dxa"/>
            <w:vAlign w:val="center"/>
          </w:tcPr>
          <w:p>
            <w:pPr>
              <w:pStyle w:val="12385"/>
              <w:pBdr/>
              <w:spacing/>
              <w:ind/>
              <w:rPr/>
            </w:pPr>
            <w:r>
              <w:t xml:space="preserve">0,004</w:t>
            </w:r>
            <w:r/>
          </w:p>
        </w:tc>
        <w:tc>
          <w:tcPr>
            <w:tcBorders>
              <w:bottom w:val="single" w:color="000000" w:sz="4" w:space="0"/>
              <w:right w:val="single" w:color="000000" w:sz="4" w:space="0"/>
            </w:tcBorders>
            <w:tcW w:w="1646" w:type="dxa"/>
            <w:vAlign w:val="center"/>
          </w:tcPr>
          <w:p>
            <w:pPr>
              <w:pStyle w:val="12385"/>
              <w:pBdr/>
              <w:spacing/>
              <w:ind/>
              <w:rPr/>
            </w:pPr>
            <w:r>
              <w:t xml:space="preserve">0,050</w:t>
            </w:r>
            <w:r/>
          </w:p>
        </w:tc>
        <w:tc>
          <w:tcPr>
            <w:tcBorders>
              <w:bottom w:val="single" w:color="000000" w:sz="4" w:space="0"/>
              <w:right w:val="single" w:color="000000" w:sz="4" w:space="0"/>
            </w:tcBorders>
            <w:tcW w:w="1297" w:type="dxa"/>
            <w:vAlign w:val="center"/>
          </w:tcPr>
          <w:p>
            <w:pPr>
              <w:pStyle w:val="12385"/>
              <w:pBdr/>
              <w:spacing/>
              <w:ind/>
              <w:rPr/>
            </w:pPr>
            <w:r>
              <w:t xml:space="preserve">108,10</w:t>
            </w:r>
            <w:r/>
          </w:p>
        </w:tc>
        <w:tc>
          <w:tcPr>
            <w:tcBorders>
              <w:bottom w:val="single" w:color="000000" w:sz="4" w:space="0"/>
              <w:right w:val="single" w:color="000000" w:sz="4" w:space="0"/>
            </w:tcBorders>
            <w:tcW w:w="895" w:type="dxa"/>
            <w:vAlign w:val="center"/>
          </w:tcPr>
          <w:p>
            <w:pPr>
              <w:pStyle w:val="12385"/>
              <w:pBdr/>
              <w:spacing/>
              <w:ind/>
              <w:rPr/>
            </w:pPr>
            <w:r>
              <w:t xml:space="preserve">8,47</w:t>
            </w:r>
            <w:r/>
          </w:p>
        </w:tc>
        <w:tc>
          <w:tcPr>
            <w:tcBorders>
              <w:bottom w:val="single" w:color="000000" w:sz="4" w:space="0"/>
              <w:right w:val="single" w:color="000000" w:sz="4" w:space="0"/>
            </w:tcBorders>
            <w:tcW w:w="1282" w:type="dxa"/>
            <w:vAlign w:val="center"/>
          </w:tcPr>
          <w:p>
            <w:pPr>
              <w:pStyle w:val="12385"/>
              <w:pBdr/>
              <w:spacing/>
              <w:ind/>
              <w:rPr/>
            </w:pPr>
            <w:r>
              <w:t xml:space="preserve">116,57</w:t>
            </w:r>
            <w:r/>
          </w:p>
        </w:tc>
        <w:tc>
          <w:tcPr>
            <w:tcBorders>
              <w:bottom w:val="single" w:color="000000" w:sz="4" w:space="0"/>
              <w:right w:val="single" w:color="000000" w:sz="4" w:space="0"/>
            </w:tcBorders>
            <w:tcW w:w="1305" w:type="dxa"/>
            <w:vAlign w:val="center"/>
          </w:tcPr>
          <w:p>
            <w:pPr>
              <w:pStyle w:val="12385"/>
              <w:pBdr/>
              <w:spacing/>
              <w:ind/>
              <w:rPr/>
            </w:pPr>
            <w:r>
              <w:t xml:space="preserve">2,01</w:t>
            </w:r>
            <w:r/>
          </w:p>
        </w:tc>
        <w:tc>
          <w:tcPr>
            <w:tcBorders>
              <w:bottom w:val="single" w:color="000000" w:sz="4" w:space="0"/>
              <w:right w:val="single" w:color="000000" w:sz="4" w:space="0"/>
            </w:tcBorders>
            <w:tcW w:w="1364" w:type="dxa"/>
            <w:vAlign w:val="center"/>
          </w:tcPr>
          <w:p>
            <w:pPr>
              <w:pStyle w:val="12385"/>
              <w:pBdr/>
              <w:spacing/>
              <w:ind/>
              <w:rPr/>
            </w:pPr>
            <w:r>
              <w:t xml:space="preserve">118,58</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2</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509" w:type="dxa"/>
            <w:vAlign w:val="center"/>
          </w:tcPr>
          <w:p>
            <w:pPr>
              <w:pStyle w:val="12385"/>
              <w:pBdr/>
              <w:spacing/>
              <w:ind/>
              <w:rPr/>
            </w:pPr>
            <w:r>
              <w:t xml:space="preserve">0,34</w:t>
            </w:r>
            <w:r/>
          </w:p>
        </w:tc>
        <w:tc>
          <w:tcPr>
            <w:tcBorders>
              <w:bottom w:val="single" w:color="000000" w:sz="4" w:space="0"/>
              <w:right w:val="single" w:color="000000" w:sz="4" w:space="0"/>
            </w:tcBorders>
            <w:tcW w:w="1087" w:type="dxa"/>
            <w:vAlign w:val="center"/>
          </w:tcPr>
          <w:p>
            <w:pPr>
              <w:pStyle w:val="12385"/>
              <w:pBdr/>
              <w:spacing/>
              <w:ind/>
              <w:rPr/>
            </w:pPr>
            <w:r>
              <w:t xml:space="preserve">0,010</w:t>
            </w:r>
            <w:r/>
          </w:p>
        </w:tc>
        <w:tc>
          <w:tcPr>
            <w:tcBorders>
              <w:bottom w:val="single" w:color="000000" w:sz="4" w:space="0"/>
              <w:right w:val="single" w:color="000000" w:sz="4" w:space="0"/>
            </w:tcBorders>
            <w:tcW w:w="1646" w:type="dxa"/>
            <w:vAlign w:val="center"/>
          </w:tcPr>
          <w:p>
            <w:pPr>
              <w:pStyle w:val="12385"/>
              <w:pBdr/>
              <w:spacing/>
              <w:ind/>
              <w:rPr/>
            </w:pPr>
            <w:r>
              <w:t xml:space="preserve">0,120</w:t>
            </w:r>
            <w:r/>
          </w:p>
        </w:tc>
        <w:tc>
          <w:tcPr>
            <w:tcBorders>
              <w:bottom w:val="single" w:color="000000" w:sz="4" w:space="0"/>
              <w:right w:val="single" w:color="000000" w:sz="4" w:space="0"/>
            </w:tcBorders>
            <w:tcW w:w="1297" w:type="dxa"/>
            <w:vAlign w:val="center"/>
          </w:tcPr>
          <w:p>
            <w:pPr>
              <w:pStyle w:val="12385"/>
              <w:pBdr/>
              <w:spacing/>
              <w:ind/>
              <w:rPr/>
            </w:pPr>
            <w:r>
              <w:t xml:space="preserve">290,65</w:t>
            </w:r>
            <w:r/>
          </w:p>
        </w:tc>
        <w:tc>
          <w:tcPr>
            <w:tcBorders>
              <w:bottom w:val="single" w:color="000000" w:sz="4" w:space="0"/>
              <w:right w:val="single" w:color="000000" w:sz="4" w:space="0"/>
            </w:tcBorders>
            <w:tcW w:w="895" w:type="dxa"/>
            <w:vAlign w:val="center"/>
          </w:tcPr>
          <w:p>
            <w:pPr>
              <w:pStyle w:val="12385"/>
              <w:pBdr/>
              <w:spacing/>
              <w:ind/>
              <w:rPr/>
            </w:pPr>
            <w:r>
              <w:t xml:space="preserve">23,96</w:t>
            </w:r>
            <w:r/>
          </w:p>
        </w:tc>
        <w:tc>
          <w:tcPr>
            <w:tcBorders>
              <w:bottom w:val="single" w:color="000000" w:sz="4" w:space="0"/>
              <w:right w:val="single" w:color="000000" w:sz="4" w:space="0"/>
            </w:tcBorders>
            <w:tcW w:w="1282" w:type="dxa"/>
            <w:vAlign w:val="center"/>
          </w:tcPr>
          <w:p>
            <w:pPr>
              <w:pStyle w:val="12385"/>
              <w:pBdr/>
              <w:spacing/>
              <w:ind/>
              <w:rPr/>
            </w:pPr>
            <w:r>
              <w:t xml:space="preserve">314,61</w:t>
            </w:r>
            <w:r/>
          </w:p>
        </w:tc>
        <w:tc>
          <w:tcPr>
            <w:tcBorders>
              <w:bottom w:val="single" w:color="000000" w:sz="4" w:space="0"/>
              <w:right w:val="single" w:color="000000" w:sz="4" w:space="0"/>
            </w:tcBorders>
            <w:tcW w:w="1305" w:type="dxa"/>
            <w:vAlign w:val="center"/>
          </w:tcPr>
          <w:p>
            <w:pPr>
              <w:pStyle w:val="12385"/>
              <w:pBdr/>
              <w:spacing/>
              <w:ind/>
              <w:rPr/>
            </w:pPr>
            <w:r>
              <w:t xml:space="preserve">1,55</w:t>
            </w:r>
            <w:r/>
          </w:p>
        </w:tc>
        <w:tc>
          <w:tcPr>
            <w:tcBorders>
              <w:bottom w:val="single" w:color="000000" w:sz="4" w:space="0"/>
              <w:right w:val="single" w:color="000000" w:sz="4" w:space="0"/>
            </w:tcBorders>
            <w:tcW w:w="1364" w:type="dxa"/>
            <w:vAlign w:val="center"/>
          </w:tcPr>
          <w:p>
            <w:pPr>
              <w:pStyle w:val="12385"/>
              <w:pBdr/>
              <w:spacing/>
              <w:ind/>
              <w:rPr/>
            </w:pPr>
            <w:r>
              <w:t xml:space="preserve">316,16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3</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509" w:type="dxa"/>
            <w:vAlign w:val="center"/>
          </w:tcPr>
          <w:p>
            <w:pPr>
              <w:pStyle w:val="12385"/>
              <w:pBdr/>
              <w:spacing/>
              <w:ind/>
              <w:rPr/>
            </w:pPr>
            <w:r>
              <w:t xml:space="preserve">0,17</w:t>
            </w:r>
            <w:r/>
          </w:p>
        </w:tc>
        <w:tc>
          <w:tcPr>
            <w:tcBorders>
              <w:bottom w:val="single" w:color="000000" w:sz="4" w:space="0"/>
              <w:right w:val="single" w:color="000000" w:sz="4" w:space="0"/>
            </w:tcBorders>
            <w:tcW w:w="1087" w:type="dxa"/>
            <w:vAlign w:val="center"/>
          </w:tcPr>
          <w:p>
            <w:pPr>
              <w:pStyle w:val="12385"/>
              <w:pBdr/>
              <w:spacing/>
              <w:ind/>
              <w:rPr/>
            </w:pPr>
            <w:r>
              <w:t xml:space="preserve">0,003</w:t>
            </w:r>
            <w:r/>
          </w:p>
        </w:tc>
        <w:tc>
          <w:tcPr>
            <w:tcBorders>
              <w:bottom w:val="single" w:color="000000" w:sz="4" w:space="0"/>
              <w:right w:val="single" w:color="000000" w:sz="4" w:space="0"/>
            </w:tcBorders>
            <w:tcW w:w="1646" w:type="dxa"/>
            <w:vAlign w:val="center"/>
          </w:tcPr>
          <w:p>
            <w:pPr>
              <w:pStyle w:val="12385"/>
              <w:pBdr/>
              <w:spacing/>
              <w:ind/>
              <w:rPr/>
            </w:pPr>
            <w:r>
              <w:t xml:space="preserve">0,070</w:t>
            </w:r>
            <w:r/>
          </w:p>
        </w:tc>
        <w:tc>
          <w:tcPr>
            <w:tcBorders>
              <w:bottom w:val="single" w:color="000000" w:sz="4" w:space="0"/>
              <w:right w:val="single" w:color="000000" w:sz="4" w:space="0"/>
            </w:tcBorders>
            <w:tcW w:w="1297" w:type="dxa"/>
            <w:vAlign w:val="center"/>
          </w:tcPr>
          <w:p>
            <w:pPr>
              <w:pStyle w:val="12385"/>
              <w:pBdr/>
              <w:spacing/>
              <w:ind/>
              <w:rPr/>
            </w:pPr>
            <w:r>
              <w:t xml:space="preserve">150,84</w:t>
            </w:r>
            <w:r/>
          </w:p>
        </w:tc>
        <w:tc>
          <w:tcPr>
            <w:tcBorders>
              <w:bottom w:val="single" w:color="000000" w:sz="4" w:space="0"/>
              <w:right w:val="single" w:color="000000" w:sz="4" w:space="0"/>
            </w:tcBorders>
            <w:tcW w:w="895" w:type="dxa"/>
            <w:vAlign w:val="center"/>
          </w:tcPr>
          <w:p>
            <w:pPr>
              <w:pStyle w:val="12385"/>
              <w:pBdr/>
              <w:spacing/>
              <w:ind/>
              <w:rPr/>
            </w:pPr>
            <w:r>
              <w:t xml:space="preserve">7,27</w:t>
            </w:r>
            <w:r/>
          </w:p>
        </w:tc>
        <w:tc>
          <w:tcPr>
            <w:tcBorders>
              <w:bottom w:val="single" w:color="000000" w:sz="4" w:space="0"/>
              <w:right w:val="single" w:color="000000" w:sz="4" w:space="0"/>
            </w:tcBorders>
            <w:tcW w:w="1282" w:type="dxa"/>
            <w:vAlign w:val="center"/>
          </w:tcPr>
          <w:p>
            <w:pPr>
              <w:pStyle w:val="12385"/>
              <w:pBdr/>
              <w:spacing/>
              <w:ind/>
              <w:rPr/>
            </w:pPr>
            <w:r>
              <w:t xml:space="preserve">158,11</w:t>
            </w:r>
            <w:r/>
          </w:p>
        </w:tc>
        <w:tc>
          <w:tcPr>
            <w:tcBorders>
              <w:bottom w:val="single" w:color="000000" w:sz="4" w:space="0"/>
              <w:right w:val="single" w:color="000000" w:sz="4" w:space="0"/>
            </w:tcBorders>
            <w:tcW w:w="1305" w:type="dxa"/>
            <w:vAlign w:val="center"/>
          </w:tcPr>
          <w:p>
            <w:pPr>
              <w:pStyle w:val="12385"/>
              <w:pBdr/>
              <w:spacing/>
              <w:ind/>
              <w:rPr/>
            </w:pPr>
            <w:r>
              <w:t xml:space="preserve">1,85</w:t>
            </w:r>
            <w:r/>
          </w:p>
        </w:tc>
        <w:tc>
          <w:tcPr>
            <w:tcBorders>
              <w:bottom w:val="single" w:color="000000" w:sz="4" w:space="0"/>
              <w:right w:val="single" w:color="000000" w:sz="4" w:space="0"/>
            </w:tcBorders>
            <w:tcW w:w="1364" w:type="dxa"/>
            <w:vAlign w:val="center"/>
          </w:tcPr>
          <w:p>
            <w:pPr>
              <w:pStyle w:val="12385"/>
              <w:pBdr/>
              <w:spacing/>
              <w:ind/>
              <w:rPr/>
            </w:pPr>
            <w:r>
              <w:t xml:space="preserve">159,96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rFonts w:ascii="Calibri" w:hAnsi="Calibri"/>
                <w:sz w:val="22"/>
                <w:szCs w:val="22"/>
              </w:rPr>
            </w:pPr>
            <w:r>
              <w:rPr>
                <w:rFonts w:ascii="Calibri" w:hAnsi="Calibri"/>
                <w:sz w:val="22"/>
                <w:szCs w:val="22"/>
              </w:rPr>
            </w:r>
            <w:r>
              <w:rPr>
                <w:rFonts w:ascii="Calibri" w:hAnsi="Calibri"/>
                <w:sz w:val="22"/>
                <w:szCs w:val="22"/>
              </w:rPr>
            </w:r>
          </w:p>
        </w:tc>
        <w:tc>
          <w:tcPr>
            <w:gridSpan w:val="3"/>
            <w:tcBorders>
              <w:top w:val="single" w:color="000000" w:sz="4" w:space="0"/>
              <w:bottom w:val="single" w:color="000000" w:sz="4" w:space="0"/>
              <w:right w:val="single" w:color="000000" w:sz="4" w:space="0"/>
            </w:tcBorders>
            <w:tcW w:w="5932" w:type="dxa"/>
            <w:vAlign w:val="center"/>
          </w:tcPr>
          <w:p>
            <w:pPr>
              <w:pStyle w:val="12385"/>
              <w:pBdr/>
              <w:spacing/>
              <w:ind/>
              <w:rPr>
                <w:rFonts w:cs="Times New Roman"/>
              </w:rPr>
            </w:pPr>
            <w:r>
              <w:t xml:space="preserve">2026 год</w:t>
            </w:r>
            <w:r>
              <w:rPr>
                <w:rFonts w:cs="Times New Roman"/>
              </w:rPr>
            </w:r>
          </w:p>
        </w:tc>
        <w:tc>
          <w:tcPr>
            <w:tcBorders>
              <w:bottom w:val="single" w:color="000000" w:sz="4" w:space="0"/>
              <w:right w:val="single" w:color="000000" w:sz="4" w:space="0"/>
            </w:tcBorders>
            <w:tcW w:w="1646" w:type="dxa"/>
            <w:vAlign w:val="center"/>
          </w:tcPr>
          <w:p>
            <w:pPr>
              <w:pStyle w:val="12385"/>
              <w:pBdr/>
              <w:spacing/>
              <w:ind/>
              <w:rPr/>
            </w:pPr>
            <w:r/>
            <w:r/>
          </w:p>
        </w:tc>
        <w:tc>
          <w:tcPr>
            <w:tcBorders>
              <w:bottom w:val="single" w:color="000000" w:sz="4" w:space="0"/>
              <w:right w:val="single" w:color="000000" w:sz="4" w:space="0"/>
            </w:tcBorders>
            <w:tcW w:w="1297" w:type="dxa"/>
            <w:vAlign w:val="center"/>
          </w:tcPr>
          <w:p>
            <w:pPr>
              <w:pStyle w:val="12385"/>
              <w:pBdr/>
              <w:spacing/>
              <w:ind/>
              <w:rPr/>
            </w:pPr>
            <w:r/>
            <w:r/>
          </w:p>
        </w:tc>
        <w:tc>
          <w:tcPr>
            <w:tcBorders>
              <w:bottom w:val="single" w:color="000000" w:sz="4" w:space="0"/>
              <w:right w:val="single" w:color="000000" w:sz="4" w:space="0"/>
            </w:tcBorders>
            <w:tcW w:w="895" w:type="dxa"/>
            <w:vAlign w:val="center"/>
          </w:tcPr>
          <w:p>
            <w:pPr>
              <w:pStyle w:val="12385"/>
              <w:pBdr/>
              <w:spacing/>
              <w:ind/>
              <w:rPr/>
            </w:pPr>
            <w:r/>
            <w:r/>
          </w:p>
        </w:tc>
        <w:tc>
          <w:tcPr>
            <w:tcBorders>
              <w:bottom w:val="single" w:color="000000" w:sz="4" w:space="0"/>
              <w:right w:val="single" w:color="000000" w:sz="4" w:space="0"/>
            </w:tcBorders>
            <w:tcW w:w="1282" w:type="dxa"/>
            <w:vAlign w:val="center"/>
          </w:tcPr>
          <w:p>
            <w:pPr>
              <w:pStyle w:val="12385"/>
              <w:pBdr/>
              <w:spacing/>
              <w:ind/>
              <w:rPr/>
            </w:pPr>
            <w:r/>
            <w:r/>
          </w:p>
        </w:tc>
        <w:tc>
          <w:tcPr>
            <w:tcBorders>
              <w:bottom w:val="single" w:color="000000" w:sz="4" w:space="0"/>
              <w:right w:val="single" w:color="000000" w:sz="4" w:space="0"/>
            </w:tcBorders>
            <w:tcW w:w="1305" w:type="dxa"/>
            <w:vAlign w:val="center"/>
          </w:tcPr>
          <w:p>
            <w:pPr>
              <w:pStyle w:val="12385"/>
              <w:pBdr/>
              <w:spacing/>
              <w:ind/>
              <w:rPr/>
            </w:pPr>
            <w:r/>
            <w:r/>
          </w:p>
        </w:tc>
        <w:tc>
          <w:tcPr>
            <w:tcBorders>
              <w:bottom w:val="single" w:color="000000" w:sz="4" w:space="0"/>
              <w:right w:val="single" w:color="000000" w:sz="4" w:space="0"/>
            </w:tcBorders>
            <w:tcW w:w="1364"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1</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509" w:type="dxa"/>
            <w:vAlign w:val="center"/>
          </w:tcPr>
          <w:p>
            <w:pPr>
              <w:pStyle w:val="12385"/>
              <w:pBdr/>
              <w:spacing/>
              <w:ind/>
              <w:rPr/>
            </w:pPr>
            <w:r>
              <w:t xml:space="preserve">0,17</w:t>
            </w:r>
            <w:r/>
          </w:p>
        </w:tc>
        <w:tc>
          <w:tcPr>
            <w:tcBorders>
              <w:bottom w:val="single" w:color="000000" w:sz="4" w:space="0"/>
              <w:right w:val="single" w:color="000000" w:sz="4" w:space="0"/>
            </w:tcBorders>
            <w:tcW w:w="1087" w:type="dxa"/>
            <w:vAlign w:val="center"/>
          </w:tcPr>
          <w:p>
            <w:pPr>
              <w:pStyle w:val="12385"/>
              <w:pBdr/>
              <w:spacing/>
              <w:ind/>
              <w:rPr/>
            </w:pPr>
            <w:r>
              <w:t xml:space="preserve">0,004</w:t>
            </w:r>
            <w:r/>
          </w:p>
        </w:tc>
        <w:tc>
          <w:tcPr>
            <w:tcBorders>
              <w:bottom w:val="single" w:color="000000" w:sz="4" w:space="0"/>
              <w:right w:val="single" w:color="000000" w:sz="4" w:space="0"/>
            </w:tcBorders>
            <w:tcW w:w="1646" w:type="dxa"/>
            <w:vAlign w:val="center"/>
          </w:tcPr>
          <w:p>
            <w:pPr>
              <w:pStyle w:val="12385"/>
              <w:pBdr/>
              <w:spacing/>
              <w:ind/>
              <w:rPr/>
            </w:pPr>
            <w:r>
              <w:t xml:space="preserve">0,050</w:t>
            </w:r>
            <w:r/>
          </w:p>
        </w:tc>
        <w:tc>
          <w:tcPr>
            <w:tcBorders>
              <w:bottom w:val="single" w:color="000000" w:sz="4" w:space="0"/>
              <w:right w:val="single" w:color="000000" w:sz="4" w:space="0"/>
            </w:tcBorders>
            <w:tcW w:w="1297" w:type="dxa"/>
            <w:vAlign w:val="center"/>
          </w:tcPr>
          <w:p>
            <w:pPr>
              <w:pStyle w:val="12385"/>
              <w:pBdr/>
              <w:spacing/>
              <w:ind/>
              <w:rPr/>
            </w:pPr>
            <w:r>
              <w:t xml:space="preserve">108,10</w:t>
            </w:r>
            <w:r/>
          </w:p>
        </w:tc>
        <w:tc>
          <w:tcPr>
            <w:tcBorders>
              <w:bottom w:val="single" w:color="000000" w:sz="4" w:space="0"/>
              <w:right w:val="single" w:color="000000" w:sz="4" w:space="0"/>
            </w:tcBorders>
            <w:tcW w:w="895" w:type="dxa"/>
            <w:vAlign w:val="center"/>
          </w:tcPr>
          <w:p>
            <w:pPr>
              <w:pStyle w:val="12385"/>
              <w:pBdr/>
              <w:spacing/>
              <w:ind/>
              <w:rPr/>
            </w:pPr>
            <w:r>
              <w:t xml:space="preserve">8,47</w:t>
            </w:r>
            <w:r/>
          </w:p>
        </w:tc>
        <w:tc>
          <w:tcPr>
            <w:tcBorders>
              <w:bottom w:val="single" w:color="000000" w:sz="4" w:space="0"/>
              <w:right w:val="single" w:color="000000" w:sz="4" w:space="0"/>
            </w:tcBorders>
            <w:tcW w:w="1282" w:type="dxa"/>
            <w:vAlign w:val="center"/>
          </w:tcPr>
          <w:p>
            <w:pPr>
              <w:pStyle w:val="12385"/>
              <w:pBdr/>
              <w:spacing/>
              <w:ind/>
              <w:rPr/>
            </w:pPr>
            <w:r>
              <w:t xml:space="preserve">116,57</w:t>
            </w:r>
            <w:r/>
          </w:p>
        </w:tc>
        <w:tc>
          <w:tcPr>
            <w:tcBorders>
              <w:bottom w:val="single" w:color="000000" w:sz="4" w:space="0"/>
              <w:right w:val="single" w:color="000000" w:sz="4" w:space="0"/>
            </w:tcBorders>
            <w:tcW w:w="1305" w:type="dxa"/>
            <w:vAlign w:val="center"/>
          </w:tcPr>
          <w:p>
            <w:pPr>
              <w:pStyle w:val="12385"/>
              <w:pBdr/>
              <w:spacing/>
              <w:ind/>
              <w:rPr/>
            </w:pPr>
            <w:r>
              <w:t xml:space="preserve">2,01</w:t>
            </w:r>
            <w:r/>
          </w:p>
        </w:tc>
        <w:tc>
          <w:tcPr>
            <w:tcBorders>
              <w:bottom w:val="single" w:color="000000" w:sz="4" w:space="0"/>
              <w:right w:val="single" w:color="000000" w:sz="4" w:space="0"/>
            </w:tcBorders>
            <w:tcW w:w="1364" w:type="dxa"/>
            <w:vAlign w:val="center"/>
          </w:tcPr>
          <w:p>
            <w:pPr>
              <w:pStyle w:val="12385"/>
              <w:pBdr/>
              <w:spacing/>
              <w:ind/>
              <w:rPr/>
            </w:pPr>
            <w:r>
              <w:t xml:space="preserve">118,58</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2</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509" w:type="dxa"/>
            <w:vAlign w:val="center"/>
          </w:tcPr>
          <w:p>
            <w:pPr>
              <w:pStyle w:val="12385"/>
              <w:pBdr/>
              <w:spacing/>
              <w:ind/>
              <w:rPr/>
            </w:pPr>
            <w:r>
              <w:t xml:space="preserve">0,34</w:t>
            </w:r>
            <w:r/>
          </w:p>
        </w:tc>
        <w:tc>
          <w:tcPr>
            <w:tcBorders>
              <w:bottom w:val="single" w:color="000000" w:sz="4" w:space="0"/>
              <w:right w:val="single" w:color="000000" w:sz="4" w:space="0"/>
            </w:tcBorders>
            <w:tcW w:w="1087" w:type="dxa"/>
            <w:vAlign w:val="center"/>
          </w:tcPr>
          <w:p>
            <w:pPr>
              <w:pStyle w:val="12385"/>
              <w:pBdr/>
              <w:spacing/>
              <w:ind/>
              <w:rPr/>
            </w:pPr>
            <w:r>
              <w:t xml:space="preserve">0,010</w:t>
            </w:r>
            <w:r/>
          </w:p>
        </w:tc>
        <w:tc>
          <w:tcPr>
            <w:tcBorders>
              <w:bottom w:val="single" w:color="000000" w:sz="4" w:space="0"/>
              <w:right w:val="single" w:color="000000" w:sz="4" w:space="0"/>
            </w:tcBorders>
            <w:tcW w:w="1646" w:type="dxa"/>
            <w:vAlign w:val="center"/>
          </w:tcPr>
          <w:p>
            <w:pPr>
              <w:pStyle w:val="12385"/>
              <w:pBdr/>
              <w:spacing/>
              <w:ind/>
              <w:rPr/>
            </w:pPr>
            <w:r>
              <w:t xml:space="preserve">0,120</w:t>
            </w:r>
            <w:r/>
          </w:p>
        </w:tc>
        <w:tc>
          <w:tcPr>
            <w:tcBorders>
              <w:bottom w:val="single" w:color="000000" w:sz="4" w:space="0"/>
              <w:right w:val="single" w:color="000000" w:sz="4" w:space="0"/>
            </w:tcBorders>
            <w:tcW w:w="1297" w:type="dxa"/>
            <w:vAlign w:val="center"/>
          </w:tcPr>
          <w:p>
            <w:pPr>
              <w:pStyle w:val="12385"/>
              <w:pBdr/>
              <w:spacing/>
              <w:ind/>
              <w:rPr/>
            </w:pPr>
            <w:r>
              <w:t xml:space="preserve">290,65</w:t>
            </w:r>
            <w:r/>
          </w:p>
        </w:tc>
        <w:tc>
          <w:tcPr>
            <w:tcBorders>
              <w:bottom w:val="single" w:color="000000" w:sz="4" w:space="0"/>
              <w:right w:val="single" w:color="000000" w:sz="4" w:space="0"/>
            </w:tcBorders>
            <w:tcW w:w="895" w:type="dxa"/>
            <w:vAlign w:val="center"/>
          </w:tcPr>
          <w:p>
            <w:pPr>
              <w:pStyle w:val="12385"/>
              <w:pBdr/>
              <w:spacing/>
              <w:ind/>
              <w:rPr/>
            </w:pPr>
            <w:r>
              <w:t xml:space="preserve">23,96</w:t>
            </w:r>
            <w:r/>
          </w:p>
        </w:tc>
        <w:tc>
          <w:tcPr>
            <w:tcBorders>
              <w:bottom w:val="single" w:color="000000" w:sz="4" w:space="0"/>
              <w:right w:val="single" w:color="000000" w:sz="4" w:space="0"/>
            </w:tcBorders>
            <w:tcW w:w="1282" w:type="dxa"/>
            <w:vAlign w:val="center"/>
          </w:tcPr>
          <w:p>
            <w:pPr>
              <w:pStyle w:val="12385"/>
              <w:pBdr/>
              <w:spacing/>
              <w:ind/>
              <w:rPr/>
            </w:pPr>
            <w:r>
              <w:t xml:space="preserve">314,61</w:t>
            </w:r>
            <w:r/>
          </w:p>
        </w:tc>
        <w:tc>
          <w:tcPr>
            <w:tcBorders>
              <w:bottom w:val="single" w:color="000000" w:sz="4" w:space="0"/>
              <w:right w:val="single" w:color="000000" w:sz="4" w:space="0"/>
            </w:tcBorders>
            <w:tcW w:w="1305" w:type="dxa"/>
            <w:vAlign w:val="center"/>
          </w:tcPr>
          <w:p>
            <w:pPr>
              <w:pStyle w:val="12385"/>
              <w:pBdr/>
              <w:spacing/>
              <w:ind/>
              <w:rPr/>
            </w:pPr>
            <w:r>
              <w:t xml:space="preserve">1,55</w:t>
            </w:r>
            <w:r/>
          </w:p>
        </w:tc>
        <w:tc>
          <w:tcPr>
            <w:tcBorders>
              <w:bottom w:val="single" w:color="000000" w:sz="4" w:space="0"/>
              <w:right w:val="single" w:color="000000" w:sz="4" w:space="0"/>
            </w:tcBorders>
            <w:tcW w:w="1364" w:type="dxa"/>
            <w:vAlign w:val="center"/>
          </w:tcPr>
          <w:p>
            <w:pPr>
              <w:pStyle w:val="12385"/>
              <w:pBdr/>
              <w:spacing/>
              <w:ind/>
              <w:rPr/>
            </w:pPr>
            <w:r>
              <w:t xml:space="preserve">316,16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3</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509" w:type="dxa"/>
            <w:vAlign w:val="center"/>
          </w:tcPr>
          <w:p>
            <w:pPr>
              <w:pStyle w:val="12385"/>
              <w:pBdr/>
              <w:spacing/>
              <w:ind/>
              <w:rPr/>
            </w:pPr>
            <w:r>
              <w:t xml:space="preserve">0,17</w:t>
            </w:r>
            <w:r/>
          </w:p>
        </w:tc>
        <w:tc>
          <w:tcPr>
            <w:tcBorders>
              <w:bottom w:val="single" w:color="000000" w:sz="4" w:space="0"/>
              <w:right w:val="single" w:color="000000" w:sz="4" w:space="0"/>
            </w:tcBorders>
            <w:tcW w:w="1087" w:type="dxa"/>
            <w:vAlign w:val="center"/>
          </w:tcPr>
          <w:p>
            <w:pPr>
              <w:pStyle w:val="12385"/>
              <w:pBdr/>
              <w:spacing/>
              <w:ind/>
              <w:rPr/>
            </w:pPr>
            <w:r>
              <w:t xml:space="preserve">0,003</w:t>
            </w:r>
            <w:r/>
          </w:p>
        </w:tc>
        <w:tc>
          <w:tcPr>
            <w:tcBorders>
              <w:bottom w:val="single" w:color="000000" w:sz="4" w:space="0"/>
              <w:right w:val="single" w:color="000000" w:sz="4" w:space="0"/>
            </w:tcBorders>
            <w:tcW w:w="1646" w:type="dxa"/>
            <w:vAlign w:val="center"/>
          </w:tcPr>
          <w:p>
            <w:pPr>
              <w:pStyle w:val="12385"/>
              <w:pBdr/>
              <w:spacing/>
              <w:ind/>
              <w:rPr/>
            </w:pPr>
            <w:r>
              <w:t xml:space="preserve">0,070</w:t>
            </w:r>
            <w:r/>
          </w:p>
        </w:tc>
        <w:tc>
          <w:tcPr>
            <w:tcBorders>
              <w:bottom w:val="single" w:color="000000" w:sz="4" w:space="0"/>
              <w:right w:val="single" w:color="000000" w:sz="4" w:space="0"/>
            </w:tcBorders>
            <w:tcW w:w="1297" w:type="dxa"/>
            <w:vAlign w:val="center"/>
          </w:tcPr>
          <w:p>
            <w:pPr>
              <w:pStyle w:val="12385"/>
              <w:pBdr/>
              <w:spacing/>
              <w:ind/>
              <w:rPr/>
            </w:pPr>
            <w:r>
              <w:t xml:space="preserve">150,84</w:t>
            </w:r>
            <w:r/>
          </w:p>
        </w:tc>
        <w:tc>
          <w:tcPr>
            <w:tcBorders>
              <w:bottom w:val="single" w:color="000000" w:sz="4" w:space="0"/>
              <w:right w:val="single" w:color="000000" w:sz="4" w:space="0"/>
            </w:tcBorders>
            <w:tcW w:w="895" w:type="dxa"/>
            <w:vAlign w:val="center"/>
          </w:tcPr>
          <w:p>
            <w:pPr>
              <w:pStyle w:val="12385"/>
              <w:pBdr/>
              <w:spacing/>
              <w:ind/>
              <w:rPr/>
            </w:pPr>
            <w:r>
              <w:t xml:space="preserve">7,27</w:t>
            </w:r>
            <w:r/>
          </w:p>
        </w:tc>
        <w:tc>
          <w:tcPr>
            <w:tcBorders>
              <w:bottom w:val="single" w:color="000000" w:sz="4" w:space="0"/>
              <w:right w:val="single" w:color="000000" w:sz="4" w:space="0"/>
            </w:tcBorders>
            <w:tcW w:w="1282" w:type="dxa"/>
            <w:vAlign w:val="center"/>
          </w:tcPr>
          <w:p>
            <w:pPr>
              <w:pStyle w:val="12385"/>
              <w:pBdr/>
              <w:spacing/>
              <w:ind/>
              <w:rPr/>
            </w:pPr>
            <w:r>
              <w:t xml:space="preserve">158,11</w:t>
            </w:r>
            <w:r/>
          </w:p>
        </w:tc>
        <w:tc>
          <w:tcPr>
            <w:tcBorders>
              <w:bottom w:val="single" w:color="000000" w:sz="4" w:space="0"/>
              <w:right w:val="single" w:color="000000" w:sz="4" w:space="0"/>
            </w:tcBorders>
            <w:tcW w:w="1305" w:type="dxa"/>
            <w:vAlign w:val="center"/>
          </w:tcPr>
          <w:p>
            <w:pPr>
              <w:pStyle w:val="12385"/>
              <w:pBdr/>
              <w:spacing/>
              <w:ind/>
              <w:rPr/>
            </w:pPr>
            <w:r>
              <w:t xml:space="preserve">1,85</w:t>
            </w:r>
            <w:r/>
          </w:p>
        </w:tc>
        <w:tc>
          <w:tcPr>
            <w:tcBorders>
              <w:bottom w:val="single" w:color="000000" w:sz="4" w:space="0"/>
              <w:right w:val="single" w:color="000000" w:sz="4" w:space="0"/>
            </w:tcBorders>
            <w:tcW w:w="1364" w:type="dxa"/>
            <w:vAlign w:val="center"/>
          </w:tcPr>
          <w:p>
            <w:pPr>
              <w:pStyle w:val="12385"/>
              <w:pBdr/>
              <w:spacing/>
              <w:ind/>
              <w:rPr/>
            </w:pPr>
            <w:r>
              <w:t xml:space="preserve">159,96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rFonts w:ascii="Calibri" w:hAnsi="Calibri"/>
                <w:sz w:val="22"/>
                <w:szCs w:val="22"/>
              </w:rPr>
            </w:pPr>
            <w:r>
              <w:rPr>
                <w:rFonts w:ascii="Calibri" w:hAnsi="Calibri"/>
                <w:sz w:val="22"/>
                <w:szCs w:val="22"/>
              </w:rPr>
            </w:r>
            <w:r>
              <w:rPr>
                <w:rFonts w:ascii="Calibri" w:hAnsi="Calibri"/>
                <w:sz w:val="22"/>
                <w:szCs w:val="22"/>
              </w:rPr>
            </w:r>
          </w:p>
        </w:tc>
        <w:tc>
          <w:tcPr>
            <w:gridSpan w:val="3"/>
            <w:tcBorders>
              <w:top w:val="single" w:color="000000" w:sz="4" w:space="0"/>
              <w:bottom w:val="single" w:color="000000" w:sz="4" w:space="0"/>
              <w:right w:val="single" w:color="000000" w:sz="4" w:space="0"/>
            </w:tcBorders>
            <w:tcW w:w="5932" w:type="dxa"/>
            <w:vAlign w:val="center"/>
          </w:tcPr>
          <w:p>
            <w:pPr>
              <w:pStyle w:val="12385"/>
              <w:pBdr/>
              <w:spacing/>
              <w:ind/>
              <w:rPr>
                <w:rFonts w:cs="Times New Roman"/>
              </w:rPr>
            </w:pPr>
            <w:r>
              <w:t xml:space="preserve">2027-2028 год</w:t>
            </w:r>
            <w:r>
              <w:rPr>
                <w:rFonts w:cs="Times New Roman"/>
              </w:rPr>
            </w:r>
          </w:p>
        </w:tc>
        <w:tc>
          <w:tcPr>
            <w:tcBorders>
              <w:bottom w:val="single" w:color="000000" w:sz="4" w:space="0"/>
              <w:right w:val="single" w:color="000000" w:sz="4" w:space="0"/>
            </w:tcBorders>
            <w:tcW w:w="1646" w:type="dxa"/>
            <w:vAlign w:val="center"/>
          </w:tcPr>
          <w:p>
            <w:pPr>
              <w:pStyle w:val="12385"/>
              <w:pBdr/>
              <w:spacing/>
              <w:ind/>
              <w:rPr/>
            </w:pPr>
            <w:r/>
            <w:r/>
          </w:p>
        </w:tc>
        <w:tc>
          <w:tcPr>
            <w:tcBorders>
              <w:bottom w:val="single" w:color="000000" w:sz="4" w:space="0"/>
              <w:right w:val="single" w:color="000000" w:sz="4" w:space="0"/>
            </w:tcBorders>
            <w:tcW w:w="1297" w:type="dxa"/>
            <w:vAlign w:val="center"/>
          </w:tcPr>
          <w:p>
            <w:pPr>
              <w:pStyle w:val="12385"/>
              <w:pBdr/>
              <w:spacing/>
              <w:ind/>
              <w:rPr/>
            </w:pPr>
            <w:r/>
            <w:r/>
          </w:p>
        </w:tc>
        <w:tc>
          <w:tcPr>
            <w:tcBorders>
              <w:bottom w:val="single" w:color="000000" w:sz="4" w:space="0"/>
              <w:right w:val="single" w:color="000000" w:sz="4" w:space="0"/>
            </w:tcBorders>
            <w:tcW w:w="895" w:type="dxa"/>
            <w:vAlign w:val="center"/>
          </w:tcPr>
          <w:p>
            <w:pPr>
              <w:pStyle w:val="12385"/>
              <w:pBdr/>
              <w:spacing/>
              <w:ind/>
              <w:rPr/>
            </w:pPr>
            <w:r/>
            <w:r/>
          </w:p>
        </w:tc>
        <w:tc>
          <w:tcPr>
            <w:tcBorders>
              <w:bottom w:val="single" w:color="000000" w:sz="4" w:space="0"/>
              <w:right w:val="single" w:color="000000" w:sz="4" w:space="0"/>
            </w:tcBorders>
            <w:tcW w:w="1282" w:type="dxa"/>
            <w:vAlign w:val="center"/>
          </w:tcPr>
          <w:p>
            <w:pPr>
              <w:pStyle w:val="12385"/>
              <w:pBdr/>
              <w:spacing/>
              <w:ind/>
              <w:rPr/>
            </w:pPr>
            <w:r/>
            <w:r/>
          </w:p>
        </w:tc>
        <w:tc>
          <w:tcPr>
            <w:tcBorders>
              <w:bottom w:val="single" w:color="000000" w:sz="4" w:space="0"/>
              <w:right w:val="single" w:color="000000" w:sz="4" w:space="0"/>
            </w:tcBorders>
            <w:tcW w:w="1305" w:type="dxa"/>
            <w:vAlign w:val="center"/>
          </w:tcPr>
          <w:p>
            <w:pPr>
              <w:pStyle w:val="12385"/>
              <w:pBdr/>
              <w:spacing/>
              <w:ind/>
              <w:rPr/>
            </w:pPr>
            <w:r/>
            <w:r/>
          </w:p>
        </w:tc>
        <w:tc>
          <w:tcPr>
            <w:tcBorders>
              <w:bottom w:val="single" w:color="000000" w:sz="4" w:space="0"/>
              <w:right w:val="single" w:color="000000" w:sz="4" w:space="0"/>
            </w:tcBorders>
            <w:tcW w:w="1364"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1</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509" w:type="dxa"/>
            <w:vAlign w:val="center"/>
          </w:tcPr>
          <w:p>
            <w:pPr>
              <w:pStyle w:val="12385"/>
              <w:pBdr/>
              <w:spacing/>
              <w:ind/>
              <w:rPr/>
            </w:pPr>
            <w:r>
              <w:t xml:space="preserve">0,17</w:t>
            </w:r>
            <w:r/>
          </w:p>
        </w:tc>
        <w:tc>
          <w:tcPr>
            <w:tcBorders>
              <w:bottom w:val="single" w:color="000000" w:sz="4" w:space="0"/>
              <w:right w:val="single" w:color="000000" w:sz="4" w:space="0"/>
            </w:tcBorders>
            <w:tcW w:w="1087" w:type="dxa"/>
            <w:vAlign w:val="center"/>
          </w:tcPr>
          <w:p>
            <w:pPr>
              <w:pStyle w:val="12385"/>
              <w:pBdr/>
              <w:spacing/>
              <w:ind/>
              <w:rPr/>
            </w:pPr>
            <w:r>
              <w:t xml:space="preserve">0,004</w:t>
            </w:r>
            <w:r/>
          </w:p>
        </w:tc>
        <w:tc>
          <w:tcPr>
            <w:tcBorders>
              <w:bottom w:val="single" w:color="000000" w:sz="4" w:space="0"/>
              <w:right w:val="single" w:color="000000" w:sz="4" w:space="0"/>
            </w:tcBorders>
            <w:tcW w:w="1646" w:type="dxa"/>
            <w:vAlign w:val="center"/>
          </w:tcPr>
          <w:p>
            <w:pPr>
              <w:pStyle w:val="12385"/>
              <w:pBdr/>
              <w:spacing/>
              <w:ind/>
              <w:rPr/>
            </w:pPr>
            <w:r>
              <w:t xml:space="preserve">0,050</w:t>
            </w:r>
            <w:r/>
          </w:p>
        </w:tc>
        <w:tc>
          <w:tcPr>
            <w:tcBorders>
              <w:bottom w:val="single" w:color="000000" w:sz="4" w:space="0"/>
              <w:right w:val="single" w:color="000000" w:sz="4" w:space="0"/>
            </w:tcBorders>
            <w:tcW w:w="1297" w:type="dxa"/>
            <w:vAlign w:val="center"/>
          </w:tcPr>
          <w:p>
            <w:pPr>
              <w:pStyle w:val="12385"/>
              <w:pBdr/>
              <w:spacing/>
              <w:ind/>
              <w:rPr/>
            </w:pPr>
            <w:r>
              <w:t xml:space="preserve">108,10</w:t>
            </w:r>
            <w:r/>
          </w:p>
        </w:tc>
        <w:tc>
          <w:tcPr>
            <w:tcBorders>
              <w:bottom w:val="single" w:color="000000" w:sz="4" w:space="0"/>
              <w:right w:val="single" w:color="000000" w:sz="4" w:space="0"/>
            </w:tcBorders>
            <w:tcW w:w="895" w:type="dxa"/>
            <w:vAlign w:val="center"/>
          </w:tcPr>
          <w:p>
            <w:pPr>
              <w:pStyle w:val="12385"/>
              <w:pBdr/>
              <w:spacing/>
              <w:ind/>
              <w:rPr/>
            </w:pPr>
            <w:r>
              <w:t xml:space="preserve">8,47</w:t>
            </w:r>
            <w:r/>
          </w:p>
        </w:tc>
        <w:tc>
          <w:tcPr>
            <w:tcBorders>
              <w:bottom w:val="single" w:color="000000" w:sz="4" w:space="0"/>
              <w:right w:val="single" w:color="000000" w:sz="4" w:space="0"/>
            </w:tcBorders>
            <w:tcW w:w="1282" w:type="dxa"/>
            <w:vAlign w:val="center"/>
          </w:tcPr>
          <w:p>
            <w:pPr>
              <w:pStyle w:val="12385"/>
              <w:pBdr/>
              <w:spacing/>
              <w:ind/>
              <w:rPr/>
            </w:pPr>
            <w:r>
              <w:t xml:space="preserve">116,57</w:t>
            </w:r>
            <w:r/>
          </w:p>
        </w:tc>
        <w:tc>
          <w:tcPr>
            <w:tcBorders>
              <w:bottom w:val="single" w:color="000000" w:sz="4" w:space="0"/>
              <w:right w:val="single" w:color="000000" w:sz="4" w:space="0"/>
            </w:tcBorders>
            <w:tcW w:w="1305" w:type="dxa"/>
            <w:vAlign w:val="center"/>
          </w:tcPr>
          <w:p>
            <w:pPr>
              <w:pStyle w:val="12385"/>
              <w:pBdr/>
              <w:spacing/>
              <w:ind/>
              <w:rPr/>
            </w:pPr>
            <w:r>
              <w:t xml:space="preserve">2,01</w:t>
            </w:r>
            <w:r/>
          </w:p>
        </w:tc>
        <w:tc>
          <w:tcPr>
            <w:tcBorders>
              <w:bottom w:val="single" w:color="000000" w:sz="4" w:space="0"/>
              <w:right w:val="single" w:color="000000" w:sz="4" w:space="0"/>
            </w:tcBorders>
            <w:tcW w:w="1364" w:type="dxa"/>
            <w:vAlign w:val="center"/>
          </w:tcPr>
          <w:p>
            <w:pPr>
              <w:pStyle w:val="12385"/>
              <w:pBdr/>
              <w:spacing/>
              <w:ind/>
              <w:rPr/>
            </w:pPr>
            <w:r>
              <w:t xml:space="preserve">118,58</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2</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509" w:type="dxa"/>
            <w:vAlign w:val="center"/>
          </w:tcPr>
          <w:p>
            <w:pPr>
              <w:pStyle w:val="12385"/>
              <w:pBdr/>
              <w:spacing/>
              <w:ind/>
              <w:rPr/>
            </w:pPr>
            <w:r>
              <w:t xml:space="preserve">0,34</w:t>
            </w:r>
            <w:r/>
          </w:p>
        </w:tc>
        <w:tc>
          <w:tcPr>
            <w:tcBorders>
              <w:bottom w:val="single" w:color="000000" w:sz="4" w:space="0"/>
              <w:right w:val="single" w:color="000000" w:sz="4" w:space="0"/>
            </w:tcBorders>
            <w:tcW w:w="1087" w:type="dxa"/>
            <w:vAlign w:val="center"/>
          </w:tcPr>
          <w:p>
            <w:pPr>
              <w:pStyle w:val="12385"/>
              <w:pBdr/>
              <w:spacing/>
              <w:ind/>
              <w:rPr/>
            </w:pPr>
            <w:r>
              <w:t xml:space="preserve">0,010</w:t>
            </w:r>
            <w:r/>
          </w:p>
        </w:tc>
        <w:tc>
          <w:tcPr>
            <w:tcBorders>
              <w:bottom w:val="single" w:color="000000" w:sz="4" w:space="0"/>
              <w:right w:val="single" w:color="000000" w:sz="4" w:space="0"/>
            </w:tcBorders>
            <w:tcW w:w="1646" w:type="dxa"/>
            <w:vAlign w:val="center"/>
          </w:tcPr>
          <w:p>
            <w:pPr>
              <w:pStyle w:val="12385"/>
              <w:pBdr/>
              <w:spacing/>
              <w:ind/>
              <w:rPr/>
            </w:pPr>
            <w:r>
              <w:t xml:space="preserve">0,120</w:t>
            </w:r>
            <w:r/>
          </w:p>
        </w:tc>
        <w:tc>
          <w:tcPr>
            <w:tcBorders>
              <w:bottom w:val="single" w:color="000000" w:sz="4" w:space="0"/>
              <w:right w:val="single" w:color="000000" w:sz="4" w:space="0"/>
            </w:tcBorders>
            <w:tcW w:w="1297" w:type="dxa"/>
            <w:vAlign w:val="center"/>
          </w:tcPr>
          <w:p>
            <w:pPr>
              <w:pStyle w:val="12385"/>
              <w:pBdr/>
              <w:spacing/>
              <w:ind/>
              <w:rPr/>
            </w:pPr>
            <w:r>
              <w:t xml:space="preserve">290,65</w:t>
            </w:r>
            <w:r/>
          </w:p>
        </w:tc>
        <w:tc>
          <w:tcPr>
            <w:tcBorders>
              <w:bottom w:val="single" w:color="000000" w:sz="4" w:space="0"/>
              <w:right w:val="single" w:color="000000" w:sz="4" w:space="0"/>
            </w:tcBorders>
            <w:tcW w:w="895" w:type="dxa"/>
            <w:vAlign w:val="center"/>
          </w:tcPr>
          <w:p>
            <w:pPr>
              <w:pStyle w:val="12385"/>
              <w:pBdr/>
              <w:spacing/>
              <w:ind/>
              <w:rPr/>
            </w:pPr>
            <w:r>
              <w:t xml:space="preserve">23,96</w:t>
            </w:r>
            <w:r/>
          </w:p>
        </w:tc>
        <w:tc>
          <w:tcPr>
            <w:tcBorders>
              <w:bottom w:val="single" w:color="000000" w:sz="4" w:space="0"/>
              <w:right w:val="single" w:color="000000" w:sz="4" w:space="0"/>
            </w:tcBorders>
            <w:tcW w:w="1282" w:type="dxa"/>
            <w:vAlign w:val="center"/>
          </w:tcPr>
          <w:p>
            <w:pPr>
              <w:pStyle w:val="12385"/>
              <w:pBdr/>
              <w:spacing/>
              <w:ind/>
              <w:rPr/>
            </w:pPr>
            <w:r>
              <w:t xml:space="preserve">314,61</w:t>
            </w:r>
            <w:r/>
          </w:p>
        </w:tc>
        <w:tc>
          <w:tcPr>
            <w:tcBorders>
              <w:bottom w:val="single" w:color="000000" w:sz="4" w:space="0"/>
              <w:right w:val="single" w:color="000000" w:sz="4" w:space="0"/>
            </w:tcBorders>
            <w:tcW w:w="1305" w:type="dxa"/>
            <w:vAlign w:val="center"/>
          </w:tcPr>
          <w:p>
            <w:pPr>
              <w:pStyle w:val="12385"/>
              <w:pBdr/>
              <w:spacing/>
              <w:ind/>
              <w:rPr/>
            </w:pPr>
            <w:r>
              <w:t xml:space="preserve">1,55</w:t>
            </w:r>
            <w:r/>
          </w:p>
        </w:tc>
        <w:tc>
          <w:tcPr>
            <w:tcBorders>
              <w:bottom w:val="single" w:color="000000" w:sz="4" w:space="0"/>
              <w:right w:val="single" w:color="000000" w:sz="4" w:space="0"/>
            </w:tcBorders>
            <w:tcW w:w="1364" w:type="dxa"/>
            <w:vAlign w:val="center"/>
          </w:tcPr>
          <w:p>
            <w:pPr>
              <w:pStyle w:val="12385"/>
              <w:pBdr/>
              <w:spacing/>
              <w:ind/>
              <w:rPr/>
            </w:pPr>
            <w:r>
              <w:t xml:space="preserve">316,16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3</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509" w:type="dxa"/>
            <w:vAlign w:val="center"/>
          </w:tcPr>
          <w:p>
            <w:pPr>
              <w:pStyle w:val="12385"/>
              <w:pBdr/>
              <w:spacing/>
              <w:ind/>
              <w:rPr/>
            </w:pPr>
            <w:r>
              <w:t xml:space="preserve">3,40</w:t>
            </w:r>
            <w:r/>
          </w:p>
        </w:tc>
        <w:tc>
          <w:tcPr>
            <w:tcBorders>
              <w:bottom w:val="single" w:color="000000" w:sz="4" w:space="0"/>
              <w:right w:val="single" w:color="000000" w:sz="4" w:space="0"/>
            </w:tcBorders>
            <w:tcW w:w="1087" w:type="dxa"/>
            <w:vAlign w:val="center"/>
          </w:tcPr>
          <w:p>
            <w:pPr>
              <w:pStyle w:val="12385"/>
              <w:pBdr/>
              <w:spacing/>
              <w:ind/>
              <w:rPr/>
            </w:pPr>
            <w:r>
              <w:t xml:space="preserve">0,003</w:t>
            </w:r>
            <w:r/>
          </w:p>
        </w:tc>
        <w:tc>
          <w:tcPr>
            <w:tcBorders>
              <w:bottom w:val="single" w:color="000000" w:sz="4" w:space="0"/>
              <w:right w:val="single" w:color="000000" w:sz="4" w:space="0"/>
            </w:tcBorders>
            <w:tcW w:w="1646" w:type="dxa"/>
            <w:vAlign w:val="center"/>
          </w:tcPr>
          <w:p>
            <w:pPr>
              <w:pStyle w:val="12385"/>
              <w:pBdr/>
              <w:spacing/>
              <w:ind/>
              <w:rPr/>
            </w:pPr>
            <w:r>
              <w:t xml:space="preserve">0,070</w:t>
            </w:r>
            <w:r/>
          </w:p>
        </w:tc>
        <w:tc>
          <w:tcPr>
            <w:tcBorders>
              <w:bottom w:val="single" w:color="000000" w:sz="4" w:space="0"/>
              <w:right w:val="single" w:color="000000" w:sz="4" w:space="0"/>
            </w:tcBorders>
            <w:tcW w:w="1297" w:type="dxa"/>
            <w:vAlign w:val="center"/>
          </w:tcPr>
          <w:p>
            <w:pPr>
              <w:pStyle w:val="12385"/>
              <w:pBdr/>
              <w:spacing/>
              <w:ind/>
              <w:rPr/>
            </w:pPr>
            <w:r>
              <w:t xml:space="preserve">150,84</w:t>
            </w:r>
            <w:r/>
          </w:p>
        </w:tc>
        <w:tc>
          <w:tcPr>
            <w:tcBorders>
              <w:bottom w:val="single" w:color="000000" w:sz="4" w:space="0"/>
              <w:right w:val="single" w:color="000000" w:sz="4" w:space="0"/>
            </w:tcBorders>
            <w:tcW w:w="895" w:type="dxa"/>
            <w:vAlign w:val="center"/>
          </w:tcPr>
          <w:p>
            <w:pPr>
              <w:pStyle w:val="12385"/>
              <w:pBdr/>
              <w:spacing/>
              <w:ind/>
              <w:rPr/>
            </w:pPr>
            <w:r>
              <w:t xml:space="preserve">7,27</w:t>
            </w:r>
            <w:r/>
          </w:p>
        </w:tc>
        <w:tc>
          <w:tcPr>
            <w:tcBorders>
              <w:bottom w:val="single" w:color="000000" w:sz="4" w:space="0"/>
              <w:right w:val="single" w:color="000000" w:sz="4" w:space="0"/>
            </w:tcBorders>
            <w:tcW w:w="1282" w:type="dxa"/>
            <w:vAlign w:val="center"/>
          </w:tcPr>
          <w:p>
            <w:pPr>
              <w:pStyle w:val="12385"/>
              <w:pBdr/>
              <w:spacing/>
              <w:ind/>
              <w:rPr/>
            </w:pPr>
            <w:r>
              <w:t xml:space="preserve">158,11</w:t>
            </w:r>
            <w:r/>
          </w:p>
        </w:tc>
        <w:tc>
          <w:tcPr>
            <w:tcBorders>
              <w:bottom w:val="single" w:color="000000" w:sz="4" w:space="0"/>
              <w:right w:val="single" w:color="000000" w:sz="4" w:space="0"/>
            </w:tcBorders>
            <w:tcW w:w="1305" w:type="dxa"/>
            <w:vAlign w:val="center"/>
          </w:tcPr>
          <w:p>
            <w:pPr>
              <w:pStyle w:val="12385"/>
              <w:pBdr/>
              <w:spacing/>
              <w:ind/>
              <w:rPr/>
            </w:pPr>
            <w:r>
              <w:t xml:space="preserve">1,85</w:t>
            </w:r>
            <w:r/>
          </w:p>
        </w:tc>
        <w:tc>
          <w:tcPr>
            <w:tcBorders>
              <w:bottom w:val="single" w:color="000000" w:sz="4" w:space="0"/>
              <w:right w:val="single" w:color="000000" w:sz="4" w:space="0"/>
            </w:tcBorders>
            <w:tcW w:w="1364" w:type="dxa"/>
            <w:vAlign w:val="center"/>
          </w:tcPr>
          <w:p>
            <w:pPr>
              <w:pStyle w:val="12385"/>
              <w:pBdr/>
              <w:spacing/>
              <w:ind/>
              <w:rPr/>
            </w:pPr>
            <w:r>
              <w:t xml:space="preserve">159,96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rFonts w:ascii="Calibri" w:hAnsi="Calibri"/>
                <w:sz w:val="22"/>
                <w:szCs w:val="22"/>
              </w:rPr>
            </w:pPr>
            <w:r>
              <w:rPr>
                <w:rFonts w:ascii="Calibri" w:hAnsi="Calibri"/>
                <w:sz w:val="22"/>
                <w:szCs w:val="22"/>
              </w:rPr>
            </w:r>
            <w:r>
              <w:rPr>
                <w:rFonts w:ascii="Calibri" w:hAnsi="Calibri"/>
                <w:sz w:val="22"/>
                <w:szCs w:val="22"/>
              </w:rPr>
            </w:r>
          </w:p>
        </w:tc>
        <w:tc>
          <w:tcPr>
            <w:gridSpan w:val="3"/>
            <w:tcBorders>
              <w:top w:val="single" w:color="000000" w:sz="4" w:space="0"/>
              <w:bottom w:val="single" w:color="000000" w:sz="4" w:space="0"/>
              <w:right w:val="single" w:color="000000" w:sz="4" w:space="0"/>
            </w:tcBorders>
            <w:tcW w:w="5932" w:type="dxa"/>
            <w:vAlign w:val="center"/>
          </w:tcPr>
          <w:p>
            <w:pPr>
              <w:pStyle w:val="12385"/>
              <w:pBdr/>
              <w:spacing/>
              <w:ind/>
              <w:rPr>
                <w:rFonts w:cs="Times New Roman"/>
              </w:rPr>
            </w:pPr>
            <w:r>
              <w:t xml:space="preserve">2029-2038 годы</w:t>
            </w:r>
            <w:r>
              <w:rPr>
                <w:rFonts w:cs="Times New Roman"/>
              </w:rPr>
            </w:r>
          </w:p>
        </w:tc>
        <w:tc>
          <w:tcPr>
            <w:tcBorders>
              <w:bottom w:val="single" w:color="000000" w:sz="4" w:space="0"/>
              <w:right w:val="single" w:color="000000" w:sz="4" w:space="0"/>
            </w:tcBorders>
            <w:tcW w:w="1646" w:type="dxa"/>
            <w:vAlign w:val="center"/>
          </w:tcPr>
          <w:p>
            <w:pPr>
              <w:pStyle w:val="12385"/>
              <w:pBdr/>
              <w:spacing/>
              <w:ind/>
              <w:rPr/>
            </w:pPr>
            <w:r/>
            <w:r/>
          </w:p>
        </w:tc>
        <w:tc>
          <w:tcPr>
            <w:tcBorders>
              <w:bottom w:val="single" w:color="000000" w:sz="4" w:space="0"/>
              <w:right w:val="single" w:color="000000" w:sz="4" w:space="0"/>
            </w:tcBorders>
            <w:tcW w:w="1297" w:type="dxa"/>
            <w:vAlign w:val="center"/>
          </w:tcPr>
          <w:p>
            <w:pPr>
              <w:pStyle w:val="12385"/>
              <w:pBdr/>
              <w:spacing/>
              <w:ind/>
              <w:rPr/>
            </w:pPr>
            <w:r/>
            <w:r/>
          </w:p>
        </w:tc>
        <w:tc>
          <w:tcPr>
            <w:tcBorders>
              <w:bottom w:val="single" w:color="000000" w:sz="4" w:space="0"/>
              <w:right w:val="single" w:color="000000" w:sz="4" w:space="0"/>
            </w:tcBorders>
            <w:tcW w:w="895" w:type="dxa"/>
            <w:vAlign w:val="center"/>
          </w:tcPr>
          <w:p>
            <w:pPr>
              <w:pStyle w:val="12385"/>
              <w:pBdr/>
              <w:spacing/>
              <w:ind/>
              <w:rPr/>
            </w:pPr>
            <w:r/>
            <w:r/>
          </w:p>
        </w:tc>
        <w:tc>
          <w:tcPr>
            <w:tcBorders>
              <w:bottom w:val="single" w:color="000000" w:sz="4" w:space="0"/>
              <w:right w:val="single" w:color="000000" w:sz="4" w:space="0"/>
            </w:tcBorders>
            <w:tcW w:w="1282" w:type="dxa"/>
            <w:vAlign w:val="center"/>
          </w:tcPr>
          <w:p>
            <w:pPr>
              <w:pStyle w:val="12385"/>
              <w:pBdr/>
              <w:spacing/>
              <w:ind/>
              <w:rPr/>
            </w:pPr>
            <w:r/>
            <w:r/>
          </w:p>
        </w:tc>
        <w:tc>
          <w:tcPr>
            <w:tcBorders>
              <w:bottom w:val="single" w:color="000000" w:sz="4" w:space="0"/>
              <w:right w:val="single" w:color="000000" w:sz="4" w:space="0"/>
            </w:tcBorders>
            <w:tcW w:w="1305" w:type="dxa"/>
            <w:vAlign w:val="center"/>
          </w:tcPr>
          <w:p>
            <w:pPr>
              <w:pStyle w:val="12385"/>
              <w:pBdr/>
              <w:spacing/>
              <w:ind/>
              <w:rPr/>
            </w:pPr>
            <w:r/>
            <w:r/>
          </w:p>
        </w:tc>
        <w:tc>
          <w:tcPr>
            <w:tcBorders>
              <w:bottom w:val="single" w:color="000000" w:sz="4" w:space="0"/>
              <w:right w:val="single" w:color="000000" w:sz="4" w:space="0"/>
            </w:tcBorders>
            <w:tcW w:w="1364" w:type="dxa"/>
            <w:vAlign w:val="center"/>
          </w:tcPr>
          <w:p>
            <w:pPr>
              <w:pStyle w:val="12385"/>
              <w:pBdr/>
              <w:spacing/>
              <w:ind/>
              <w:rPr/>
            </w:pPr>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1</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1509" w:type="dxa"/>
            <w:vAlign w:val="center"/>
          </w:tcPr>
          <w:p>
            <w:pPr>
              <w:pStyle w:val="12385"/>
              <w:pBdr/>
              <w:spacing/>
              <w:ind/>
              <w:rPr/>
            </w:pPr>
            <w:r>
              <w:t xml:space="preserve">0,17</w:t>
            </w:r>
            <w:r/>
          </w:p>
        </w:tc>
        <w:tc>
          <w:tcPr>
            <w:tcBorders>
              <w:bottom w:val="single" w:color="000000" w:sz="4" w:space="0"/>
              <w:right w:val="single" w:color="000000" w:sz="4" w:space="0"/>
            </w:tcBorders>
            <w:tcW w:w="1087" w:type="dxa"/>
            <w:vAlign w:val="center"/>
          </w:tcPr>
          <w:p>
            <w:pPr>
              <w:pStyle w:val="12385"/>
              <w:pBdr/>
              <w:spacing/>
              <w:ind/>
              <w:rPr/>
            </w:pPr>
            <w:r>
              <w:t xml:space="preserve">0,004</w:t>
            </w:r>
            <w:r/>
          </w:p>
        </w:tc>
        <w:tc>
          <w:tcPr>
            <w:tcBorders>
              <w:bottom w:val="single" w:color="000000" w:sz="4" w:space="0"/>
              <w:right w:val="single" w:color="000000" w:sz="4" w:space="0"/>
            </w:tcBorders>
            <w:tcW w:w="1646" w:type="dxa"/>
            <w:vAlign w:val="center"/>
          </w:tcPr>
          <w:p>
            <w:pPr>
              <w:pStyle w:val="12385"/>
              <w:pBdr/>
              <w:spacing/>
              <w:ind/>
              <w:rPr/>
            </w:pPr>
            <w:r>
              <w:t xml:space="preserve">0,050</w:t>
            </w:r>
            <w:r/>
          </w:p>
        </w:tc>
        <w:tc>
          <w:tcPr>
            <w:tcBorders>
              <w:bottom w:val="single" w:color="000000" w:sz="4" w:space="0"/>
              <w:right w:val="single" w:color="000000" w:sz="4" w:space="0"/>
            </w:tcBorders>
            <w:tcW w:w="1297" w:type="dxa"/>
            <w:vAlign w:val="center"/>
          </w:tcPr>
          <w:p>
            <w:pPr>
              <w:pStyle w:val="12385"/>
              <w:pBdr/>
              <w:spacing/>
              <w:ind/>
              <w:rPr/>
            </w:pPr>
            <w:r>
              <w:t xml:space="preserve">108,10</w:t>
            </w:r>
            <w:r/>
          </w:p>
        </w:tc>
        <w:tc>
          <w:tcPr>
            <w:tcBorders>
              <w:bottom w:val="single" w:color="000000" w:sz="4" w:space="0"/>
              <w:right w:val="single" w:color="000000" w:sz="4" w:space="0"/>
            </w:tcBorders>
            <w:tcW w:w="895" w:type="dxa"/>
            <w:vAlign w:val="center"/>
          </w:tcPr>
          <w:p>
            <w:pPr>
              <w:pStyle w:val="12385"/>
              <w:pBdr/>
              <w:spacing/>
              <w:ind/>
              <w:rPr/>
            </w:pPr>
            <w:r>
              <w:t xml:space="preserve">8,47</w:t>
            </w:r>
            <w:r/>
          </w:p>
        </w:tc>
        <w:tc>
          <w:tcPr>
            <w:tcBorders>
              <w:bottom w:val="single" w:color="000000" w:sz="4" w:space="0"/>
              <w:right w:val="single" w:color="000000" w:sz="4" w:space="0"/>
            </w:tcBorders>
            <w:tcW w:w="1282" w:type="dxa"/>
            <w:vAlign w:val="center"/>
          </w:tcPr>
          <w:p>
            <w:pPr>
              <w:pStyle w:val="12385"/>
              <w:pBdr/>
              <w:spacing/>
              <w:ind/>
              <w:rPr/>
            </w:pPr>
            <w:r>
              <w:t xml:space="preserve">116,57</w:t>
            </w:r>
            <w:r/>
          </w:p>
        </w:tc>
        <w:tc>
          <w:tcPr>
            <w:tcBorders>
              <w:bottom w:val="single" w:color="000000" w:sz="4" w:space="0"/>
              <w:right w:val="single" w:color="000000" w:sz="4" w:space="0"/>
            </w:tcBorders>
            <w:tcW w:w="1305" w:type="dxa"/>
            <w:vAlign w:val="center"/>
          </w:tcPr>
          <w:p>
            <w:pPr>
              <w:pStyle w:val="12385"/>
              <w:pBdr/>
              <w:spacing/>
              <w:ind/>
              <w:rPr/>
            </w:pPr>
            <w:r>
              <w:t xml:space="preserve">2,01</w:t>
            </w:r>
            <w:r/>
          </w:p>
        </w:tc>
        <w:tc>
          <w:tcPr>
            <w:tcBorders>
              <w:bottom w:val="single" w:color="000000" w:sz="4" w:space="0"/>
              <w:right w:val="single" w:color="000000" w:sz="4" w:space="0"/>
            </w:tcBorders>
            <w:tcW w:w="1364" w:type="dxa"/>
            <w:vAlign w:val="center"/>
          </w:tcPr>
          <w:p>
            <w:pPr>
              <w:pStyle w:val="12385"/>
              <w:pBdr/>
              <w:spacing/>
              <w:ind/>
              <w:rPr/>
            </w:pPr>
            <w:r>
              <w:t xml:space="preserve">118,58</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2</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1509" w:type="dxa"/>
            <w:vAlign w:val="center"/>
          </w:tcPr>
          <w:p>
            <w:pPr>
              <w:pStyle w:val="12385"/>
              <w:pBdr/>
              <w:spacing/>
              <w:ind/>
              <w:rPr/>
            </w:pPr>
            <w:r>
              <w:t xml:space="preserve">0,34</w:t>
            </w:r>
            <w:r/>
          </w:p>
        </w:tc>
        <w:tc>
          <w:tcPr>
            <w:tcBorders>
              <w:bottom w:val="single" w:color="000000" w:sz="4" w:space="0"/>
              <w:right w:val="single" w:color="000000" w:sz="4" w:space="0"/>
            </w:tcBorders>
            <w:tcW w:w="1087" w:type="dxa"/>
            <w:vAlign w:val="center"/>
          </w:tcPr>
          <w:p>
            <w:pPr>
              <w:pStyle w:val="12385"/>
              <w:pBdr/>
              <w:spacing/>
              <w:ind/>
              <w:rPr/>
            </w:pPr>
            <w:r>
              <w:t xml:space="preserve">0,010</w:t>
            </w:r>
            <w:r/>
          </w:p>
        </w:tc>
        <w:tc>
          <w:tcPr>
            <w:tcBorders>
              <w:bottom w:val="single" w:color="000000" w:sz="4" w:space="0"/>
              <w:right w:val="single" w:color="000000" w:sz="4" w:space="0"/>
            </w:tcBorders>
            <w:tcW w:w="1646" w:type="dxa"/>
            <w:vAlign w:val="center"/>
          </w:tcPr>
          <w:p>
            <w:pPr>
              <w:pStyle w:val="12385"/>
              <w:pBdr/>
              <w:spacing/>
              <w:ind/>
              <w:rPr/>
            </w:pPr>
            <w:r>
              <w:t xml:space="preserve">0,120</w:t>
            </w:r>
            <w:r/>
          </w:p>
        </w:tc>
        <w:tc>
          <w:tcPr>
            <w:tcBorders>
              <w:bottom w:val="single" w:color="000000" w:sz="4" w:space="0"/>
              <w:right w:val="single" w:color="000000" w:sz="4" w:space="0"/>
            </w:tcBorders>
            <w:tcW w:w="1297" w:type="dxa"/>
            <w:vAlign w:val="center"/>
          </w:tcPr>
          <w:p>
            <w:pPr>
              <w:pStyle w:val="12385"/>
              <w:pBdr/>
              <w:spacing/>
              <w:ind/>
              <w:rPr/>
            </w:pPr>
            <w:r>
              <w:t xml:space="preserve">290,65</w:t>
            </w:r>
            <w:r/>
          </w:p>
        </w:tc>
        <w:tc>
          <w:tcPr>
            <w:tcBorders>
              <w:bottom w:val="single" w:color="000000" w:sz="4" w:space="0"/>
              <w:right w:val="single" w:color="000000" w:sz="4" w:space="0"/>
            </w:tcBorders>
            <w:tcW w:w="895" w:type="dxa"/>
            <w:vAlign w:val="center"/>
          </w:tcPr>
          <w:p>
            <w:pPr>
              <w:pStyle w:val="12385"/>
              <w:pBdr/>
              <w:spacing/>
              <w:ind/>
              <w:rPr/>
            </w:pPr>
            <w:r>
              <w:t xml:space="preserve">23,96</w:t>
            </w:r>
            <w:r/>
          </w:p>
        </w:tc>
        <w:tc>
          <w:tcPr>
            <w:tcBorders>
              <w:bottom w:val="single" w:color="000000" w:sz="4" w:space="0"/>
              <w:right w:val="single" w:color="000000" w:sz="4" w:space="0"/>
            </w:tcBorders>
            <w:tcW w:w="1282" w:type="dxa"/>
            <w:vAlign w:val="center"/>
          </w:tcPr>
          <w:p>
            <w:pPr>
              <w:pStyle w:val="12385"/>
              <w:pBdr/>
              <w:spacing/>
              <w:ind/>
              <w:rPr/>
            </w:pPr>
            <w:r>
              <w:t xml:space="preserve">314,61</w:t>
            </w:r>
            <w:r/>
          </w:p>
        </w:tc>
        <w:tc>
          <w:tcPr>
            <w:tcBorders>
              <w:bottom w:val="single" w:color="000000" w:sz="4" w:space="0"/>
              <w:right w:val="single" w:color="000000" w:sz="4" w:space="0"/>
            </w:tcBorders>
            <w:tcW w:w="1305" w:type="dxa"/>
            <w:vAlign w:val="center"/>
          </w:tcPr>
          <w:p>
            <w:pPr>
              <w:pStyle w:val="12385"/>
              <w:pBdr/>
              <w:spacing/>
              <w:ind/>
              <w:rPr/>
            </w:pPr>
            <w:r>
              <w:t xml:space="preserve">1,55</w:t>
            </w:r>
            <w:r/>
          </w:p>
        </w:tc>
        <w:tc>
          <w:tcPr>
            <w:tcBorders>
              <w:bottom w:val="single" w:color="000000" w:sz="4" w:space="0"/>
              <w:right w:val="single" w:color="000000" w:sz="4" w:space="0"/>
            </w:tcBorders>
            <w:tcW w:w="1364" w:type="dxa"/>
            <w:vAlign w:val="center"/>
          </w:tcPr>
          <w:p>
            <w:pPr>
              <w:pStyle w:val="12385"/>
              <w:pBdr/>
              <w:spacing/>
              <w:ind/>
              <w:rPr/>
            </w:pPr>
            <w:r>
              <w:t xml:space="preserve">316,16</w:t>
            </w:r>
            <w:r/>
          </w:p>
        </w:tc>
      </w:tr>
      <w:tr>
        <w:trPr>
          <w:trHeight w:val="20"/>
        </w:trPr>
        <w:tc>
          <w:tcPr>
            <w:tcBorders>
              <w:left w:val="single" w:color="000000" w:sz="4" w:space="0"/>
              <w:bottom w:val="single" w:color="000000" w:sz="4" w:space="0"/>
              <w:right w:val="single" w:color="000000" w:sz="4" w:space="0"/>
            </w:tcBorders>
            <w:tcW w:w="847" w:type="dxa"/>
            <w:vAlign w:val="center"/>
          </w:tcPr>
          <w:p>
            <w:pPr>
              <w:pStyle w:val="12385"/>
              <w:pBdr/>
              <w:spacing/>
              <w:ind/>
              <w:rPr/>
            </w:pPr>
            <w:r>
              <w:t xml:space="preserve">3</w:t>
            </w:r>
            <w:r/>
          </w:p>
        </w:tc>
        <w:tc>
          <w:tcPr>
            <w:tcBorders>
              <w:bottom w:val="single" w:color="000000" w:sz="4" w:space="0"/>
              <w:right w:val="single" w:color="000000" w:sz="4" w:space="0"/>
            </w:tcBorders>
            <w:tcW w:w="3336"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1509" w:type="dxa"/>
            <w:vAlign w:val="center"/>
          </w:tcPr>
          <w:p>
            <w:pPr>
              <w:pStyle w:val="12385"/>
              <w:pBdr/>
              <w:spacing/>
              <w:ind/>
              <w:rPr/>
            </w:pPr>
            <w:r>
              <w:t xml:space="preserve">3,40</w:t>
            </w:r>
            <w:r/>
          </w:p>
        </w:tc>
        <w:tc>
          <w:tcPr>
            <w:tcBorders>
              <w:bottom w:val="single" w:color="000000" w:sz="4" w:space="0"/>
              <w:right w:val="single" w:color="000000" w:sz="4" w:space="0"/>
            </w:tcBorders>
            <w:tcW w:w="1087" w:type="dxa"/>
            <w:vAlign w:val="center"/>
          </w:tcPr>
          <w:p>
            <w:pPr>
              <w:pStyle w:val="12385"/>
              <w:pBdr/>
              <w:spacing/>
              <w:ind/>
              <w:rPr/>
            </w:pPr>
            <w:r>
              <w:t xml:space="preserve">0,003</w:t>
            </w:r>
            <w:r/>
          </w:p>
        </w:tc>
        <w:tc>
          <w:tcPr>
            <w:tcBorders>
              <w:bottom w:val="single" w:color="000000" w:sz="4" w:space="0"/>
              <w:right w:val="single" w:color="000000" w:sz="4" w:space="0"/>
            </w:tcBorders>
            <w:tcW w:w="1646" w:type="dxa"/>
            <w:vAlign w:val="center"/>
          </w:tcPr>
          <w:p>
            <w:pPr>
              <w:pStyle w:val="12385"/>
              <w:pBdr/>
              <w:spacing/>
              <w:ind/>
              <w:rPr/>
            </w:pPr>
            <w:r>
              <w:t xml:space="preserve">0,070</w:t>
            </w:r>
            <w:r/>
          </w:p>
        </w:tc>
        <w:tc>
          <w:tcPr>
            <w:tcBorders>
              <w:bottom w:val="single" w:color="000000" w:sz="4" w:space="0"/>
              <w:right w:val="single" w:color="000000" w:sz="4" w:space="0"/>
            </w:tcBorders>
            <w:tcW w:w="1297" w:type="dxa"/>
            <w:vAlign w:val="center"/>
          </w:tcPr>
          <w:p>
            <w:pPr>
              <w:pStyle w:val="12385"/>
              <w:pBdr/>
              <w:spacing/>
              <w:ind/>
              <w:rPr/>
            </w:pPr>
            <w:r>
              <w:t xml:space="preserve">150,84</w:t>
            </w:r>
            <w:r/>
          </w:p>
        </w:tc>
        <w:tc>
          <w:tcPr>
            <w:tcBorders>
              <w:bottom w:val="single" w:color="000000" w:sz="4" w:space="0"/>
              <w:right w:val="single" w:color="000000" w:sz="4" w:space="0"/>
            </w:tcBorders>
            <w:tcW w:w="895" w:type="dxa"/>
            <w:vAlign w:val="center"/>
          </w:tcPr>
          <w:p>
            <w:pPr>
              <w:pStyle w:val="12385"/>
              <w:pBdr/>
              <w:spacing/>
              <w:ind/>
              <w:rPr/>
            </w:pPr>
            <w:r>
              <w:t xml:space="preserve">7,27</w:t>
            </w:r>
            <w:r/>
          </w:p>
        </w:tc>
        <w:tc>
          <w:tcPr>
            <w:tcBorders>
              <w:bottom w:val="single" w:color="000000" w:sz="4" w:space="0"/>
              <w:right w:val="single" w:color="000000" w:sz="4" w:space="0"/>
            </w:tcBorders>
            <w:tcW w:w="1282" w:type="dxa"/>
            <w:vAlign w:val="center"/>
          </w:tcPr>
          <w:p>
            <w:pPr>
              <w:pStyle w:val="12385"/>
              <w:pBdr/>
              <w:spacing/>
              <w:ind/>
              <w:rPr/>
            </w:pPr>
            <w:r>
              <w:t xml:space="preserve">158,11</w:t>
            </w:r>
            <w:r/>
          </w:p>
        </w:tc>
        <w:tc>
          <w:tcPr>
            <w:tcBorders>
              <w:bottom w:val="single" w:color="000000" w:sz="4" w:space="0"/>
              <w:right w:val="single" w:color="000000" w:sz="4" w:space="0"/>
            </w:tcBorders>
            <w:tcW w:w="1305" w:type="dxa"/>
            <w:vAlign w:val="center"/>
          </w:tcPr>
          <w:p>
            <w:pPr>
              <w:pStyle w:val="12385"/>
              <w:pBdr/>
              <w:spacing/>
              <w:ind/>
              <w:rPr/>
            </w:pPr>
            <w:r>
              <w:t xml:space="preserve">1,85</w:t>
            </w:r>
            <w:r/>
          </w:p>
        </w:tc>
        <w:tc>
          <w:tcPr>
            <w:tcBorders>
              <w:bottom w:val="single" w:color="000000" w:sz="4" w:space="0"/>
              <w:right w:val="single" w:color="000000" w:sz="4" w:space="0"/>
            </w:tcBorders>
            <w:tcW w:w="1364" w:type="dxa"/>
            <w:vAlign w:val="center"/>
          </w:tcPr>
          <w:p>
            <w:pPr>
              <w:pStyle w:val="12385"/>
              <w:pBdr/>
              <w:spacing/>
              <w:ind/>
              <w:rPr/>
            </w:pPr>
            <w:r>
              <w:t xml:space="preserve">159,96</w:t>
            </w:r>
            <w:r/>
          </w:p>
        </w:tc>
      </w:tr>
    </w:tbl>
    <w:p>
      <w:pPr>
        <w:pBdr/>
        <w:spacing/>
        <w:ind/>
        <w:rPr/>
        <w:sectPr>
          <w:headerReference w:type="default" r:id="rId102"/>
          <w:headerReference w:type="first" r:id="rId103"/>
          <w:footerReference w:type="default" r:id="rId370"/>
          <w:footerReference w:type="first" r:id="rId371"/>
          <w:footnotePr/>
          <w:endnotePr/>
          <w:type w:val="nextPage"/>
          <w:pgSz w:h="11906" w:orient="landscape" w:w="16838"/>
          <w:pgMar w:top="1701" w:right="1134" w:bottom="851" w:left="1134" w:header="567" w:footer="454" w:gutter="0"/>
          <w:cols w:num="1" w:sep="0" w:space="1701" w:equalWidth="1"/>
        </w:sectPr>
      </w:pPr>
      <w:r/>
      <w:r/>
    </w:p>
    <w:p>
      <w:pPr>
        <w:pStyle w:val="10534"/>
        <w:widowControl w:val="true"/>
        <w:numPr>
          <w:ilvl w:val="0"/>
          <w:numId w:val="13"/>
        </w:numPr>
        <w:pBdr/>
        <w:bidi w:val="false"/>
        <w:spacing w:after="240" w:before="120" w:line="360" w:lineRule="auto"/>
        <w:ind w:right="0" w:hanging="340" w:left="397"/>
        <w:contextualSpacing w:val="true"/>
        <w:jc w:val="center"/>
        <w:rPr>
          <w:spacing w:val="0"/>
        </w:rPr>
      </w:pPr>
      <w:r>
        <w:rPr>
          <w:spacing w:val="0"/>
        </w:rPr>
        <w:t xml:space="preserve"> </w:t>
      </w:r>
      <w:bookmarkStart w:id="692" w:name="_Toc9154867"/>
      <w:r/>
      <w:bookmarkStart w:id="693" w:name="_Toc521411585"/>
      <w:r/>
      <w:bookmarkStart w:id="694" w:name="_Toc166767229"/>
      <w:r/>
      <w:bookmarkStart w:id="695" w:name="_Toc198483569"/>
      <w:r/>
      <w:bookmarkStart w:id="696" w:name="_Toc84971013"/>
      <w:r>
        <w:rPr>
          <w:rFonts w:eastAsia="Times New Roman" w:cs="Times New Roman"/>
          <w:b/>
          <w:smallCaps/>
          <w:spacing w:val="0"/>
          <w:sz w:val="28"/>
          <w:szCs w:val="36"/>
          <w:lang w:eastAsia="en-US" w:bidi="en-US"/>
        </w:rPr>
        <w:t xml:space="preserve">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w:t>
      </w:r>
      <w:r>
        <w:rPr>
          <w:rFonts w:eastAsia="Times New Roman" w:cs="Times New Roman"/>
          <w:b/>
          <w:smallCaps/>
          <w:spacing w:val="0"/>
          <w:sz w:val="28"/>
          <w:szCs w:val="36"/>
          <w:lang w:eastAsia="en-US" w:bidi="en-US"/>
        </w:rPr>
        <w:t xml:space="preserve">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692"/>
      <w:r/>
      <w:bookmarkEnd w:id="693"/>
      <w:r/>
      <w:bookmarkEnd w:id="694"/>
      <w:r/>
      <w:bookmarkEnd w:id="695"/>
      <w:r/>
      <w:bookmarkEnd w:id="696"/>
      <w:r/>
      <w:r>
        <w:rPr>
          <w:spacing w:val="0"/>
        </w:rPr>
      </w:r>
    </w:p>
    <w:p>
      <w:pPr>
        <w:pStyle w:val="12960"/>
        <w:pBdr/>
        <w:spacing/>
        <w:ind/>
        <w:rPr/>
      </w:pPr>
      <w:r>
        <w:t xml:space="preserve">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r/>
    </w:p>
    <w:p>
      <w:pPr>
        <w:pStyle w:val="12960"/>
        <w:pBdr/>
        <w:spacing/>
        <w:ind/>
        <w:rPr/>
      </w:pPr>
      <w:r>
        <w:t xml:space="preserve">Планируемые для размещения объекты федерального значения, объекты регионального значения и местного значения района Схемой территориального планирования мероприятия не предусмотрены.</w:t>
      </w:r>
      <w:r/>
    </w:p>
    <w:p>
      <w:pPr>
        <w:pStyle w:val="10535"/>
        <w:keepNext w:val="true"/>
        <w:widowControl w:val="true"/>
        <w:numPr>
          <w:ilvl w:val="1"/>
          <w:numId w:val="121"/>
        </w:numPr>
        <w:pBdr/>
        <w:bidi w:val="false"/>
        <w:spacing w:after="240" w:before="360" w:line="360" w:lineRule="auto"/>
        <w:ind w:right="0" w:hanging="737" w:left="737"/>
        <w:jc w:val="center"/>
        <w:rPr>
          <w:rFonts w:cs="Times New Roman"/>
        </w:rPr>
      </w:pPr>
      <w:r/>
      <w:bookmarkStart w:id="697" w:name="_Toc166767230"/>
      <w:r/>
      <w:bookmarkStart w:id="698" w:name="_Toc198483570"/>
      <w:r>
        <w:rPr>
          <w:rFonts w:cs="Times New Roman"/>
        </w:rPr>
        <w:t xml:space="preserve">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697"/>
      <w:r/>
      <w:bookmarkEnd w:id="698"/>
      <w:r/>
      <w:r>
        <w:rPr>
          <w:rFonts w:cs="Times New Roman"/>
        </w:rPr>
      </w:r>
    </w:p>
    <w:p>
      <w:pPr>
        <w:pStyle w:val="12960"/>
        <w:pBdr/>
        <w:spacing/>
        <w:ind/>
        <w:rPr/>
      </w:pPr>
      <w:r>
        <w:t xml:space="preserve">Соглас</w:t>
      </w:r>
      <w:r>
        <w:t xml:space="preserve">но Федеральному закону от 27 июля 2010 года №190-ФЗ (ред. от 01.05.2023)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w:t>
      </w:r>
      <w:r>
        <w:t xml:space="preserve">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r/>
    </w:p>
    <w:p>
      <w:pPr>
        <w:pStyle w:val="12960"/>
        <w:pBdr/>
        <w:spacing/>
        <w:ind/>
        <w:rPr/>
      </w:pPr>
      <w:r>
        <w:t xml:space="preserve">Перечень потребителей или категорий потребителей тепловой энергии (мощности), теплоносителя, имеющих право на</w:t>
      </w:r>
      <w:r>
        <w:t xml:space="preserve">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r/>
    </w:p>
    <w:p>
      <w:pPr>
        <w:pStyle w:val="12960"/>
        <w:pBdr/>
        <w:spacing/>
        <w:ind/>
        <w:rPr/>
      </w:pPr>
      <w:r>
        <w:t xml:space="preserve">Льготные тарифы могут быть установлены для социально значимых потребителей тепловой энергии</w:t>
      </w:r>
      <w:r>
        <w:t xml:space="preserve"> (или для отдельных объектов таких потребителей), к которым, согласно перечню Постановления Правительства РФ № 808 "Об организации теплоснабжения в Российской Федерации и о внесении изменений в некоторые акты Правительства Российской Федерации", относятся:</w:t>
      </w:r>
      <w:r/>
    </w:p>
    <w:p>
      <w:pPr>
        <w:pStyle w:val="13832"/>
        <w:numPr>
          <w:ilvl w:val="0"/>
          <w:numId w:val="61"/>
        </w:numPr>
        <w:pBdr/>
        <w:spacing/>
        <w:ind w:hanging="284" w:left="1135"/>
        <w:rPr/>
      </w:pPr>
      <w:r>
        <w:t xml:space="preserve">органы государственной власти;</w:t>
      </w:r>
      <w:r/>
    </w:p>
    <w:p>
      <w:pPr>
        <w:pStyle w:val="13832"/>
        <w:numPr>
          <w:ilvl w:val="0"/>
          <w:numId w:val="61"/>
        </w:numPr>
        <w:pBdr/>
        <w:spacing/>
        <w:ind w:hanging="284" w:left="1135"/>
        <w:rPr/>
      </w:pPr>
      <w:r>
        <w:t xml:space="preserve">медицинские учреждения;</w:t>
      </w:r>
      <w:r/>
    </w:p>
    <w:p>
      <w:pPr>
        <w:pStyle w:val="13832"/>
        <w:numPr>
          <w:ilvl w:val="0"/>
          <w:numId w:val="61"/>
        </w:numPr>
        <w:pBdr/>
        <w:spacing/>
        <w:ind w:hanging="284" w:left="1135"/>
        <w:rPr/>
      </w:pPr>
      <w:r>
        <w:t xml:space="preserve">учебные заведения начального и среднего образования;</w:t>
      </w:r>
      <w:r/>
    </w:p>
    <w:p>
      <w:pPr>
        <w:pStyle w:val="13832"/>
        <w:numPr>
          <w:ilvl w:val="0"/>
          <w:numId w:val="61"/>
        </w:numPr>
        <w:pBdr/>
        <w:spacing/>
        <w:ind w:hanging="284" w:left="1135"/>
        <w:rPr/>
      </w:pPr>
      <w:r>
        <w:t xml:space="preserve">учреждения социального обеспечения;</w:t>
      </w:r>
      <w:r/>
    </w:p>
    <w:p>
      <w:pPr>
        <w:pStyle w:val="13832"/>
        <w:numPr>
          <w:ilvl w:val="0"/>
          <w:numId w:val="61"/>
        </w:numPr>
        <w:pBdr/>
        <w:spacing/>
        <w:ind w:hanging="284" w:left="1135"/>
        <w:rPr/>
      </w:pPr>
      <w:r>
        <w:t xml:space="preserve">метрополитен;</w:t>
      </w:r>
      <w:r/>
    </w:p>
    <w:p>
      <w:pPr>
        <w:pStyle w:val="13832"/>
        <w:keepNext w:val="false"/>
        <w:widowControl w:val="true"/>
        <w:numPr>
          <w:ilvl w:val="0"/>
          <w:numId w:val="61"/>
        </w:numPr>
        <w:pBdr/>
        <w:bidi w:val="false"/>
        <w:spacing w:after="0" w:before="0" w:line="360" w:lineRule="auto"/>
        <w:ind w:right="0" w:firstLine="567" w:left="0"/>
        <w:jc w:val="both"/>
        <w:rPr/>
      </w:pPr>
      <w:r>
        <w:t xml:space="preserve">воинские части Министерства обороны Росс</w:t>
      </w:r>
      <w:r>
        <w:t xml:space="preserve">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r/>
    </w:p>
    <w:p>
      <w:pPr>
        <w:pStyle w:val="13832"/>
        <w:numPr>
          <w:ilvl w:val="0"/>
          <w:numId w:val="61"/>
        </w:numPr>
        <w:pBdr/>
        <w:spacing/>
        <w:ind w:hanging="284" w:left="1135"/>
        <w:rPr/>
      </w:pPr>
      <w:r>
        <w:t xml:space="preserve">исправительно-трудовые учреждения, следственные изоляторы, тюрьмы;</w:t>
      </w:r>
      <w:r/>
    </w:p>
    <w:p>
      <w:pPr>
        <w:pStyle w:val="13832"/>
        <w:keepNext w:val="false"/>
        <w:widowControl w:val="true"/>
        <w:numPr>
          <w:ilvl w:val="0"/>
          <w:numId w:val="61"/>
        </w:numPr>
        <w:pBdr/>
        <w:bidi w:val="false"/>
        <w:spacing w:after="0" w:before="0" w:line="360" w:lineRule="auto"/>
        <w:ind w:right="0" w:firstLine="567" w:left="0"/>
        <w:jc w:val="both"/>
        <w:rPr/>
      </w:pPr>
      <w:r>
        <w:t xml:space="preserve">федеральные ядерные центры и объекты, работающие с ядерным топливом и материалами;</w:t>
      </w:r>
      <w:r/>
    </w:p>
    <w:p>
      <w:pPr>
        <w:pStyle w:val="13832"/>
        <w:keepNext w:val="false"/>
        <w:widowControl w:val="true"/>
        <w:numPr>
          <w:ilvl w:val="0"/>
          <w:numId w:val="61"/>
        </w:numPr>
        <w:pBdr/>
        <w:bidi w:val="false"/>
        <w:spacing w:after="0" w:before="0" w:line="360" w:lineRule="auto"/>
        <w:ind w:right="0" w:firstLine="567" w:left="0"/>
        <w:jc w:val="both"/>
        <w:rPr/>
      </w:pPr>
      <w:r>
        <w:t xml:space="preserve">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r/>
    </w:p>
    <w:p>
      <w:pPr>
        <w:pStyle w:val="13832"/>
        <w:numPr>
          <w:ilvl w:val="0"/>
          <w:numId w:val="61"/>
        </w:numPr>
        <w:pBdr/>
        <w:spacing/>
        <w:ind w:hanging="284" w:left="1135"/>
        <w:rPr/>
      </w:pPr>
      <w:r>
        <w:t xml:space="preserve">животноводческие и птицеводческие хозяйства, теплицы;</w:t>
      </w:r>
      <w:r/>
    </w:p>
    <w:p>
      <w:pPr>
        <w:pStyle w:val="13832"/>
        <w:keepNext w:val="false"/>
        <w:widowControl w:val="true"/>
        <w:numPr>
          <w:ilvl w:val="0"/>
          <w:numId w:val="61"/>
        </w:numPr>
        <w:pBdr/>
        <w:bidi w:val="false"/>
        <w:spacing w:after="0" w:before="0" w:line="360" w:lineRule="auto"/>
        <w:ind w:right="0" w:firstLine="567" w:left="0"/>
        <w:jc w:val="both"/>
        <w:rPr/>
      </w:pPr>
      <w:r>
        <w:t xml:space="preserve">объекты вентиляции, водоотлива и основные подъемные устройства уг</w:t>
      </w:r>
      <w:r>
        <w:rPr>
          <w:lang w:val="en-US"/>
        </w:rPr>
        <w:t xml:space="preserve">o</w:t>
      </w:r>
      <w:r>
        <w:t xml:space="preserve">льных и горнорудных организаций;</w:t>
      </w:r>
      <w:r/>
    </w:p>
    <w:p>
      <w:pPr>
        <w:pStyle w:val="13832"/>
        <w:keepNext w:val="false"/>
        <w:widowControl w:val="true"/>
        <w:numPr>
          <w:ilvl w:val="0"/>
          <w:numId w:val="61"/>
        </w:numPr>
        <w:pBdr/>
        <w:bidi w:val="false"/>
        <w:spacing w:after="0" w:before="0" w:line="360" w:lineRule="auto"/>
        <w:ind w:right="0" w:firstLine="567" w:left="0"/>
        <w:jc w:val="both"/>
        <w:rPr/>
      </w:pPr>
      <w:r>
        <w:t xml:space="preserve">объекты систем диспетчерского управления железнодорожного, водного и воздушного транспорта.</w:t>
      </w: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699" w:name="_Toc198483571"/>
      <w:r/>
      <w:bookmarkStart w:id="700" w:name="_Toc166767231"/>
      <w:r/>
      <w:bookmarkStart w:id="701" w:name="_bookmark79"/>
      <w:r/>
      <w:bookmarkEnd w:id="701"/>
      <w:r>
        <w:rPr>
          <w:rFonts w:cs="Times New Roman"/>
        </w:rPr>
        <w:t xml:space="preserve">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699"/>
      <w:r/>
      <w:bookmarkEnd w:id="700"/>
      <w:r/>
      <w:r>
        <w:rPr>
          <w:rFonts w:cs="Times New Roman"/>
        </w:rPr>
      </w:r>
    </w:p>
    <w:p>
      <w:pPr>
        <w:pStyle w:val="12960"/>
        <w:pBdr/>
        <w:spacing/>
        <w:ind/>
        <w:rPr/>
      </w:pPr>
      <w: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w:t>
      </w:r>
      <w:r/>
    </w:p>
    <w:p>
      <w:pPr>
        <w:pStyle w:val="12960"/>
        <w:pBdr/>
        <w:spacing/>
        <w:ind/>
        <w:rPr/>
      </w:pPr>
      <w:r>
        <w:t xml:space="preserve">Одновременно Федеральным законом от 27.07.2010 г. №190-ФЗ (ред. от 01.05.2023) «О теплоснабжении» определено, что поставки тепловой энергии (мощности), теплоносителя объектами, введенными в</w:t>
      </w:r>
      <w:r>
        <w:t xml:space="preserve">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r/>
    </w:p>
    <w:p>
      <w:pPr>
        <w:pStyle w:val="12960"/>
        <w:pBdr/>
        <w:spacing/>
        <w:ind/>
        <w:rPr/>
      </w:pPr>
      <w:r>
        <w:t xml:space="preserve">Основными параметрами формирования долгосрочной цены являются:</w:t>
      </w:r>
      <w:r/>
    </w:p>
    <w:p>
      <w:pPr>
        <w:pStyle w:val="13832"/>
        <w:numPr>
          <w:ilvl w:val="0"/>
          <w:numId w:val="61"/>
        </w:numPr>
        <w:pBdr/>
        <w:spacing/>
        <w:ind w:hanging="284" w:left="1135"/>
        <w:rPr/>
      </w:pPr>
      <w:r>
        <w:t xml:space="preserve">обеспечение экономической доступности услуг теплоснабжения потребителям;</w:t>
      </w:r>
      <w:r/>
    </w:p>
    <w:p>
      <w:pPr>
        <w:pStyle w:val="13832"/>
        <w:keepNext w:val="false"/>
        <w:widowControl w:val="true"/>
        <w:numPr>
          <w:ilvl w:val="0"/>
          <w:numId w:val="61"/>
        </w:numPr>
        <w:pBdr/>
        <w:tabs>
          <w:tab w:val="left" w:leader="none" w:pos="563"/>
          <w:tab w:val="left" w:leader="none" w:pos="845"/>
          <w:tab w:val="clear" w:leader="none" w:pos="1134"/>
        </w:tabs>
        <w:bidi w:val="false"/>
        <w:spacing w:after="0" w:before="0" w:line="360" w:lineRule="auto"/>
        <w:ind w:right="0" w:firstLine="567" w:left="0"/>
        <w:jc w:val="both"/>
        <w:rPr/>
      </w:pPr>
      <w:r>
        <w:t xml:space="preserve">в НВВ для расчета цены поставки тепловой энергии включаются экономически обоснованные эксплуатационные издержки;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в НВВ для расчета цены поставки тепловой энергии включается амортизация по объектам инвестирования и расходы на финансирование капитальных вложений (в</w:t>
      </w:r>
      <w:r>
        <w:t xml:space="preserve">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необходимость выработки мер по сглаживанию ценовых последствий инвестирования (оптимальное «нагружение» цены инвестиционной составляющей);</w:t>
      </w:r>
      <w:r/>
    </w:p>
    <w:p>
      <w:pPr>
        <w:pStyle w:val="13832"/>
        <w:keepNext w:val="false"/>
        <w:widowControl w:val="true"/>
        <w:numPr>
          <w:ilvl w:val="0"/>
          <w:numId w:val="61"/>
        </w:numPr>
        <w:pBdr/>
        <w:tabs>
          <w:tab w:val="left" w:leader="none" w:pos="1017"/>
          <w:tab w:val="clear" w:leader="none" w:pos="1134"/>
        </w:tabs>
        <w:bidi w:val="false"/>
        <w:spacing w:after="0" w:before="0" w:line="360" w:lineRule="auto"/>
        <w:ind w:right="0" w:firstLine="567" w:left="0"/>
        <w:jc w:val="both"/>
        <w:rPr/>
      </w:pPr>
      <w:r>
        <w:t xml:space="preserve">обеспечение компромисса интересов стор</w:t>
      </w:r>
      <w:r>
        <w:t xml:space="preserve">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r/>
    </w:p>
    <w:p>
      <w:pPr>
        <w:pStyle w:val="12960"/>
        <w:pBdr/>
        <w:spacing/>
        <w:ind/>
        <w:rPr/>
      </w:pPr>
      <w:r>
        <w:t xml:space="preserve">Прерогатива заключения долгоср</w:t>
      </w:r>
      <w:r>
        <w:t xml:space="preserve">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 свободных долгосрочных договоров на данном этапе не представляется возможным.</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702" w:name="_Toc198483572"/>
      <w:r/>
      <w:bookmarkStart w:id="703" w:name="_Toc166767232"/>
      <w:r/>
      <w:bookmarkStart w:id="704" w:name="_bookmark80"/>
      <w:r/>
      <w:bookmarkEnd w:id="704"/>
      <w:r>
        <w:rPr>
          <w:rFonts w:cs="Times New Roman"/>
        </w:rPr>
        <w:t xml:space="preserve">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702"/>
      <w:r/>
      <w:bookmarkEnd w:id="703"/>
      <w:r/>
      <w:r>
        <w:rPr>
          <w:rFonts w:cs="Times New Roman"/>
        </w:rPr>
      </w:r>
    </w:p>
    <w:p>
      <w:pPr>
        <w:pStyle w:val="12960"/>
        <w:pBdr/>
        <w:spacing/>
        <w:ind/>
        <w:rPr/>
      </w:pPr>
      <w:r>
        <w:t xml:space="preserve">В настоящее время данная модель применима только для теплосетевых организаций, поскольку Методические указания, утвержденные Приказом </w:t>
      </w:r>
      <w:r>
        <w:t xml:space="preserve">ФСТ от 01.09.2010 г.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w:t>
      </w:r>
      <w:r>
        <w:t xml:space="preserve">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r/>
    </w:p>
    <w:p>
      <w:pPr>
        <w:pStyle w:val="12960"/>
        <w:pBdr/>
        <w:spacing/>
        <w:ind/>
        <w:rPr/>
      </w:pPr>
      <w:r>
        <w:t xml:space="preserve">При установлении долгосрочных тарифов фиксируются две группы параметров:</w:t>
      </w:r>
      <w:r/>
    </w:p>
    <w:p>
      <w:pPr>
        <w:pStyle w:val="13832"/>
        <w:keepNext w:val="false"/>
        <w:widowControl w:val="true"/>
        <w:numPr>
          <w:ilvl w:val="0"/>
          <w:numId w:val="61"/>
        </w:numPr>
        <w:pBdr/>
        <w:bidi w:val="false"/>
        <w:spacing w:after="0" w:before="0" w:line="360" w:lineRule="auto"/>
        <w:ind w:right="0" w:firstLine="567" w:left="0"/>
        <w:jc w:val="both"/>
        <w:rPr/>
      </w:pPr>
      <w:r>
        <w:t xml:space="preserve">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r/>
    </w:p>
    <w:p>
      <w:pPr>
        <w:pStyle w:val="13832"/>
        <w:keepNext w:val="false"/>
        <w:widowControl w:val="true"/>
        <w:numPr>
          <w:ilvl w:val="0"/>
          <w:numId w:val="61"/>
        </w:numPr>
        <w:pBdr/>
        <w:bidi w:val="false"/>
        <w:spacing w:after="0" w:before="0" w:line="360" w:lineRule="auto"/>
        <w:ind w:right="0" w:firstLine="567" w:left="0"/>
        <w:jc w:val="both"/>
        <w:rPr/>
      </w:pPr>
      <w:r>
        <w:t xml:space="preserve">не пересматриваемые в течение</w:t>
      </w:r>
      <w:r>
        <w:t xml:space="preserve">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r/>
    </w:p>
    <w:p>
      <w:pPr>
        <w:pStyle w:val="13832"/>
        <w:keepNext w:val="false"/>
        <w:widowControl w:val="true"/>
        <w:numPr>
          <w:ilvl w:val="0"/>
          <w:numId w:val="61"/>
        </w:numPr>
        <w:pBdr/>
        <w:bidi w:val="false"/>
        <w:spacing w:after="0" w:before="0" w:line="360" w:lineRule="auto"/>
        <w:ind w:right="0" w:firstLine="567" w:left="0"/>
        <w:jc w:val="both"/>
        <w:rPr/>
      </w:pPr>
      <w:r>
        <w:t xml:space="preserve">определен порядок формирования НВВ организации, принимаемой к расчету при</w:t>
      </w:r>
      <w:r>
        <w:t xml:space="preserve">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r/>
    </w:p>
    <w:p>
      <w:pPr>
        <w:pStyle w:val="12960"/>
        <w:pBdr/>
        <w:spacing/>
        <w:ind/>
        <w:rPr/>
      </w:pPr>
      <w:r>
        <w:t xml:space="preserve">Основные параметры формирования долгосрочных тарифов методом RAB:</w:t>
      </w:r>
      <w:r/>
    </w:p>
    <w:p>
      <w:pPr>
        <w:pStyle w:val="13832"/>
        <w:keepNext w:val="false"/>
        <w:widowControl w:val="true"/>
        <w:numPr>
          <w:ilvl w:val="0"/>
          <w:numId w:val="61"/>
        </w:numPr>
        <w:pBdr/>
        <w:bidi w:val="false"/>
        <w:spacing w:after="0" w:before="0" w:line="360" w:lineRule="auto"/>
        <w:ind w:right="0" w:firstLine="567" w:left="0"/>
        <w:jc w:val="both"/>
        <w:rPr/>
      </w:pPr>
      <w: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w:t>
      </w:r>
      <w:r/>
    </w:p>
    <w:p>
      <w:pPr>
        <w:pStyle w:val="13832"/>
        <w:keepNext w:val="false"/>
        <w:widowControl w:val="true"/>
        <w:numPr>
          <w:ilvl w:val="0"/>
          <w:numId w:val="61"/>
        </w:numPr>
        <w:pBdr/>
        <w:bidi w:val="false"/>
        <w:spacing w:after="0" w:before="0" w:line="360" w:lineRule="auto"/>
        <w:ind w:right="0" w:firstLine="510" w:left="0"/>
        <w:jc w:val="both"/>
        <w:rPr/>
      </w:pPr>
      <w:r>
        <w:t xml:space="preserve">инвестиционная составляющая, исходя из расходов на возврат первоначального и нового капитала при реализации ИП организации;</w:t>
      </w:r>
      <w:r/>
    </w:p>
    <w:p>
      <w:pPr>
        <w:pStyle w:val="13832"/>
        <w:keepNext w:val="false"/>
        <w:widowControl w:val="true"/>
        <w:numPr>
          <w:ilvl w:val="0"/>
          <w:numId w:val="61"/>
        </w:numPr>
        <w:pBdr/>
        <w:bidi w:val="false"/>
        <w:spacing w:after="0" w:before="0" w:line="360" w:lineRule="auto"/>
        <w:ind w:right="0" w:firstLine="567" w:left="0"/>
        <w:jc w:val="both"/>
        <w:rPr/>
      </w:pPr>
      <w:r>
        <w:t xml:space="preserve">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r/>
    </w:p>
    <w:p>
      <w:pPr>
        <w:pStyle w:val="13832"/>
        <w:keepNext w:val="false"/>
        <w:widowControl w:val="true"/>
        <w:numPr>
          <w:ilvl w:val="0"/>
          <w:numId w:val="61"/>
        </w:numPr>
        <w:pBdr/>
        <w:bidi w:val="false"/>
        <w:spacing w:after="0" w:before="0" w:line="360" w:lineRule="auto"/>
        <w:ind w:right="0" w:firstLine="567" w:left="0"/>
        <w:jc w:val="both"/>
        <w:rPr/>
      </w:pPr>
      <w:r>
        <w:t xml:space="preserve">срок возврата инвестирова</w:t>
      </w:r>
      <w:r>
        <w:t xml:space="preserve">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r/>
    </w:p>
    <w:p>
      <w:pPr>
        <w:pStyle w:val="13832"/>
        <w:keepNext w:val="false"/>
        <w:widowControl w:val="true"/>
        <w:numPr>
          <w:ilvl w:val="0"/>
          <w:numId w:val="61"/>
        </w:numPr>
        <w:pBdr/>
        <w:bidi w:val="false"/>
        <w:spacing w:after="0" w:before="0" w:line="360" w:lineRule="auto"/>
        <w:ind w:right="0" w:firstLine="567" w:left="0"/>
        <w:jc w:val="both"/>
        <w:rPr/>
      </w:pPr>
      <w:r>
        <w:t xml:space="preserve">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w:t>
      </w:r>
      <w:r>
        <w:t xml:space="preserve">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r/>
    </w:p>
    <w:p>
      <w:pPr>
        <w:pStyle w:val="13832"/>
        <w:keepNext w:val="false"/>
        <w:widowControl w:val="true"/>
        <w:numPr>
          <w:ilvl w:val="0"/>
          <w:numId w:val="61"/>
        </w:numPr>
        <w:pBdr/>
        <w:bidi w:val="false"/>
        <w:spacing w:after="0" w:before="0" w:line="360" w:lineRule="auto"/>
        <w:ind w:right="0" w:firstLine="567" w:left="0"/>
        <w:jc w:val="both"/>
        <w:rPr/>
      </w:pPr>
      <w:r>
        <w:t xml:space="preserve">устанавливается норма доходности инвестированного капитала, созданного до и посл</w:t>
      </w:r>
      <w:r>
        <w:t xml:space="preserve">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r/>
    </w:p>
    <w:p>
      <w:pPr>
        <w:pStyle w:val="13832"/>
        <w:keepNext w:val="false"/>
        <w:widowControl w:val="true"/>
        <w:numPr>
          <w:ilvl w:val="0"/>
          <w:numId w:val="61"/>
        </w:numPr>
        <w:pBdr/>
        <w:bidi w:val="false"/>
        <w:spacing w:after="0" w:before="0" w:line="360" w:lineRule="auto"/>
        <w:ind w:right="0" w:firstLine="567" w:left="0"/>
        <w:jc w:val="both"/>
        <w:rPr/>
      </w:pPr>
      <w:r>
        <w:t xml:space="preserve">осуществляется перераспределение расчетных объемов НВВ периодов регулирования в целях сглаживания роста тарифов (не более 12 % НВВ регулируемого периода).</w:t>
      </w:r>
      <w:r/>
    </w:p>
    <w:p>
      <w:pPr>
        <w:pStyle w:val="12960"/>
        <w:pBdr/>
        <w:spacing/>
        <w:ind/>
        <w:rPr/>
      </w:pPr>
      <w:r>
        <w:t xml:space="preserve">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w:t>
      </w:r>
      <w:r>
        <w:t xml:space="preserve">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w:t>
      </w:r>
      <w:r>
        <w:t xml:space="preserve">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w:t>
      </w:r>
      <w:r>
        <w:t xml:space="preserve">,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r/>
    </w:p>
    <w:p>
      <w:pPr>
        <w:pStyle w:val="12960"/>
        <w:pBdr/>
        <w:spacing/>
        <w:ind/>
        <w:rPr/>
      </w:pPr>
      <w:r>
        <w:t xml:space="preserve">Использование данного метода разрешено только для теплосетевых организаций из списка пило</w:t>
      </w:r>
      <w:r>
        <w:t xml:space="preserve">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104"/>
          <w:headerReference w:type="first" r:id="rId105"/>
          <w:footerReference w:type="default" r:id="rId372"/>
          <w:footerReference w:type="first" r:id="rId373"/>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pPr>
      <w:r/>
      <w:bookmarkStart w:id="705" w:name="_Toc9154868"/>
      <w:r/>
      <w:bookmarkStart w:id="706" w:name="_Toc84971014"/>
      <w:r/>
      <w:bookmarkStart w:id="707" w:name="_Toc166767233"/>
      <w:r/>
      <w:bookmarkStart w:id="708" w:name="_Toc198483573"/>
      <w:r>
        <w:rPr>
          <w:spacing w:val="0"/>
        </w:rPr>
        <w:t xml:space="preserve">ГЛАВА 3. ЭЛЕКТРОННАЯ МОДЕЛЬ СИСТЕМЫ ТЕПЛОСНАБЖЕНИЯ ПОСЕЛЕНИЯ</w:t>
      </w:r>
      <w:bookmarkEnd w:id="705"/>
      <w:r/>
      <w:bookmarkEnd w:id="706"/>
      <w:r/>
      <w:bookmarkEnd w:id="707"/>
      <w:r/>
      <w:bookmarkEnd w:id="708"/>
      <w:r/>
      <w:r>
        <w:rPr>
          <w:spacing w:val="0"/>
        </w:rPr>
      </w:r>
    </w:p>
    <w:p>
      <w:pPr>
        <w:pStyle w:val="12960"/>
        <w:pBdr/>
        <w:spacing/>
        <w:ind/>
        <w:rPr/>
      </w:pPr>
      <w:r>
        <w:t xml:space="preserve">В соответствии с п. 1а Постановления Правительства РФ от 3.04.2020 г. №405 «О внесении изменений в П</w:t>
      </w:r>
      <w:r>
        <w:t xml:space="preserve">П РФ от 22.02.2012 г. «О требованиях к схемам теплоснабжения, порядку их разработки и утверждения», настоящая Глава является необязательной для поселений численностью населения до 100 тыс. человек, в связи с чем в настоящей актуализации не разрабатывается.</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0534"/>
        <w:numPr>
          <w:ilvl w:val="0"/>
          <w:numId w:val="0"/>
        </w:numPr>
        <w:pBdr/>
        <w:spacing/>
        <w:ind w:firstLine="0" w:left="0"/>
        <w:rPr>
          <w:spacing w:val="0"/>
        </w:rPr>
      </w:pPr>
      <w:r/>
      <w:bookmarkStart w:id="709" w:name="_Toc166767234"/>
      <w:r/>
      <w:bookmarkStart w:id="710" w:name="_Toc9154869"/>
      <w:r/>
      <w:bookmarkStart w:id="711" w:name="_Toc84971015"/>
      <w:r/>
      <w:bookmarkStart w:id="712" w:name="_Toc198483574"/>
      <w:r>
        <w:rPr>
          <w:spacing w:val="0"/>
        </w:rPr>
        <w:t xml:space="preserve">ГЛАВА 4. СУЩЕСТВУЮЩИЕ И ПЕРСПЕКТИВНЫЕ БАЛАНСЫ ТЕПЛОВОЙ МОЩНОСТИ ИСТОЧНИКОВ ТЕПЛОВОЙ ЭНЕРГИИ И ТЕПЛОВОЙ НАГРУЗКИ ПОТРЕБИТЕЛЕЙ</w:t>
      </w:r>
      <w:bookmarkEnd w:id="709"/>
      <w:r/>
      <w:bookmarkEnd w:id="710"/>
      <w:r/>
      <w:bookmarkEnd w:id="711"/>
      <w:r/>
      <w:bookmarkEnd w:id="712"/>
      <w:r/>
      <w:r>
        <w:rPr>
          <w:spacing w:val="0"/>
        </w:rPr>
      </w:r>
    </w:p>
    <w:p>
      <w:pPr>
        <w:pStyle w:val="10533"/>
        <w:pBdr/>
        <w:spacing/>
        <w:ind/>
        <w:rPr/>
        <w:sectPr>
          <w:headerReference w:type="default" r:id="rId106"/>
          <w:headerReference w:type="first" r:id="rId107"/>
          <w:footerReference w:type="default" r:id="rId374"/>
          <w:footerReference w:type="first" r:id="rId375"/>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22"/>
        </w:numPr>
        <w:pBdr/>
        <w:spacing/>
        <w:ind/>
        <w:rPr>
          <w:rFonts w:ascii="Times New Roman" w:hAnsi="Times New Roman" w:eastAsia="Times New Roman" w:cs="Times New Roman"/>
          <w:b/>
          <w:smallCaps/>
          <w:spacing w:val="0"/>
          <w:sz w:val="28"/>
          <w:szCs w:val="36"/>
          <w:lang w:eastAsia="en-US" w:bidi="en-US"/>
        </w:rPr>
      </w:pPr>
      <w:r/>
      <w:bookmarkStart w:id="713" w:name="_Toc198483575"/>
      <w:r/>
      <w:bookmarkStart w:id="714" w:name="_Toc166767235"/>
      <w:r/>
      <w:bookmarkStart w:id="715" w:name="_Toc84971016"/>
      <w:r/>
      <w:bookmarkStart w:id="716" w:name="_Toc9154870"/>
      <w:r>
        <w:rPr>
          <w:rFonts w:eastAsia="Times New Roman" w:cs="Times New Roman"/>
          <w:b/>
          <w:smallCaps/>
          <w:spacing w:val="0"/>
          <w:sz w:val="28"/>
          <w:szCs w:val="36"/>
          <w:lang w:eastAsia="en-US" w:bidi="en-US"/>
        </w:rPr>
        <w:t xml:space="preserve">Балансы существующей на базовый период схемы теплоснабжения (акт</w:t>
      </w:r>
      <w:r>
        <w:rPr>
          <w:rFonts w:eastAsia="Times New Roman" w:cs="Times New Roman"/>
          <w:b/>
          <w:smallCaps/>
          <w:spacing w:val="0"/>
          <w:sz w:val="28"/>
          <w:szCs w:val="36"/>
          <w:lang w:eastAsia="en-US" w:bidi="en-US"/>
        </w:rPr>
        <w:t xml:space="preserve">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w:t>
      </w:r>
      <w:r>
        <w:rPr>
          <w:rFonts w:eastAsia="Times New Roman" w:cs="Times New Roman"/>
          <w:b/>
          <w:smallCaps/>
          <w:spacing w:val="0"/>
          <w:sz w:val="28"/>
          <w:szCs w:val="36"/>
          <w:lang w:eastAsia="en-US" w:bidi="en-US"/>
        </w:rPr>
        <w:t xml:space="preserve">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w:t>
      </w:r>
      <w:r>
        <w:rPr>
          <w:rFonts w:eastAsia="Times New Roman" w:cs="Times New Roman"/>
          <w:b/>
          <w:smallCaps/>
          <w:spacing w:val="0"/>
          <w:sz w:val="28"/>
          <w:szCs w:val="36"/>
          <w:lang w:eastAsia="en-US" w:bidi="en-US"/>
        </w:rPr>
        <w:t xml:space="preserve">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713"/>
      <w:r/>
      <w:bookmarkEnd w:id="714"/>
      <w:r/>
      <w:bookmarkEnd w:id="715"/>
      <w:r/>
      <w:bookmarkEnd w:id="716"/>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На территории муниципального образования Астаповское по состоянию на 01.01.2026г. одна теплоснабжающая организация, производящие и транспортирующие тепловую энергию потребителям: </w:t>
      </w:r>
      <w:r/>
    </w:p>
    <w:p>
      <w:pPr>
        <w:pStyle w:val="13832"/>
        <w:numPr>
          <w:ilvl w:val="0"/>
          <w:numId w:val="61"/>
        </w:numPr>
        <w:pBdr/>
        <w:spacing/>
        <w:ind w:hanging="284" w:left="1135"/>
        <w:rPr/>
      </w:pPr>
      <w:r>
        <w:t xml:space="preserve">ООО «АГК». </w:t>
      </w:r>
      <w:r/>
    </w:p>
    <w:p>
      <w:pPr>
        <w:pStyle w:val="12960"/>
        <w:pBdr/>
        <w:spacing/>
        <w:ind/>
        <w:rPr>
          <w:color w:val="auto"/>
        </w:rPr>
      </w:pPr>
      <w:r>
        <w:rPr>
          <w:color w:val="auto"/>
        </w:rPr>
        <w:t xml:space="preserve">Система централизованного теплоснабжения (СЦТ) муниципального образования состоит из 1 секционированной зоны действия (эксплуатационной ответственности) теплоснабжающих и теплосетевых организаций, представляет собой:</w:t>
      </w:r>
      <w:r>
        <w:rPr>
          <w:color w:val="auto"/>
        </w:rPr>
      </w:r>
    </w:p>
    <w:p>
      <w:pPr>
        <w:pStyle w:val="13832"/>
        <w:numPr>
          <w:ilvl w:val="0"/>
          <w:numId w:val="61"/>
        </w:numPr>
        <w:pBdr/>
        <w:spacing/>
        <w:ind w:hanging="284" w:left="1135"/>
        <w:rPr>
          <w:rFonts w:eastAsia="Calibri"/>
        </w:rPr>
      </w:pPr>
      <w:r>
        <w:rPr>
          <w:rFonts w:eastAsia="Calibri"/>
        </w:rPr>
        <w:t xml:space="preserve">СЦТ 1 - зона действия ООО «АГК». </w:t>
      </w:r>
      <w:r>
        <w:rPr>
          <w:rFonts w:eastAsia="Calibri"/>
        </w:rPr>
      </w:r>
    </w:p>
    <w:p>
      <w:pPr>
        <w:pStyle w:val="12960"/>
        <w:pBdr/>
        <w:spacing/>
        <w:ind/>
        <w:rPr/>
      </w:pPr>
      <w:r>
        <w:t xml:space="preserve">Поставку (транспортировку) тепловой энергии от котельной до потребителей обеспечивают ООО «АГК»</w:t>
      </w:r>
      <w:r/>
    </w:p>
    <w:p>
      <w:pPr>
        <w:pStyle w:val="12960"/>
        <w:pBdr/>
        <w:spacing/>
        <w:ind/>
        <w:rPr/>
      </w:pPr>
      <w:r>
        <w:t xml:space="preserve">Система централизованного теплоснабжения (СЦТ) муниципального образования состоит из 3 технологических зон:</w:t>
      </w:r>
      <w:r/>
    </w:p>
    <w:p>
      <w:pPr>
        <w:pStyle w:val="13832"/>
        <w:numPr>
          <w:ilvl w:val="0"/>
          <w:numId w:val="61"/>
        </w:numPr>
        <w:pBdr/>
        <w:spacing/>
        <w:ind w:hanging="284" w:left="1135"/>
        <w:rPr/>
      </w:pPr>
      <w:r>
        <w:t xml:space="preserve">СЦТ 1 - Зона действия источника тепловой энергии Котельная №5 д. Ясенки;</w:t>
      </w:r>
      <w:r/>
    </w:p>
    <w:p>
      <w:pPr>
        <w:pStyle w:val="13832"/>
        <w:numPr>
          <w:ilvl w:val="0"/>
          <w:numId w:val="61"/>
        </w:numPr>
        <w:pBdr/>
        <w:spacing/>
        <w:ind w:hanging="284" w:left="1135"/>
        <w:rPr/>
      </w:pPr>
      <w:r>
        <w:t xml:space="preserve">СЦТ 2 - Зона действия источника тепловой энергии Котельная №6 п. Первомайский;</w:t>
      </w:r>
      <w:r/>
    </w:p>
    <w:p>
      <w:pPr>
        <w:pStyle w:val="13832"/>
        <w:numPr>
          <w:ilvl w:val="0"/>
          <w:numId w:val="61"/>
        </w:numPr>
        <w:pBdr/>
        <w:spacing/>
        <w:ind w:hanging="284" w:left="1135"/>
        <w:rPr/>
      </w:pPr>
      <w:r>
        <w:t xml:space="preserve">СЦТ 3 - Зона действия источника тепловой энергии Котельная №7 с. Белый Колодезь.</w:t>
      </w:r>
      <w:r/>
    </w:p>
    <w:p>
      <w:pPr>
        <w:pStyle w:val="12960"/>
        <w:pBdr/>
        <w:spacing/>
        <w:ind/>
        <w:rPr/>
      </w:pPr>
      <w:r>
        <w:t xml:space="preserve">В случае подключения новых потребителей, существующие зоны теплоснабжения каждого теплового источника, к которому производится подключение, будут изменяться.</w:t>
      </w:r>
      <w:r/>
    </w:p>
    <w:p>
      <w:pPr>
        <w:pStyle w:val="12960"/>
        <w:pBdr/>
        <w:spacing/>
        <w:ind/>
        <w:rPr/>
        <w:sectPr>
          <w:headerReference w:type="default" r:id="rId108"/>
          <w:headerReference w:type="first" r:id="rId109"/>
          <w:footerReference w:type="default" r:id="rId376"/>
          <w:footerReference w:type="first" r:id="rId377"/>
          <w:footnotePr/>
          <w:endnotePr/>
          <w:type w:val="nextPage"/>
          <w:pgSz w:h="16838" w:orient="portrait" w:w="11906"/>
          <w:pgMar w:top="1134" w:right="850" w:bottom="1134" w:left="1701" w:header="567" w:footer="454" w:gutter="0"/>
          <w:cols w:num="1" w:sep="0" w:space="1701" w:equalWidth="1"/>
        </w:sectPr>
      </w:pPr>
      <w: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w:t>
      </w:r>
      <w:r>
        <w:t xml:space="preserve">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отражены в таблице.</w:t>
      </w:r>
      <w:r/>
    </w:p>
    <w:p>
      <w:pPr>
        <w:pStyle w:val="12960"/>
        <w:pBdr/>
        <w:spacing/>
        <w:ind/>
        <w:rPr>
          <w:b/>
          <w:bCs w:val="0"/>
        </w:rPr>
      </w:pPr>
      <w:r/>
      <w:bookmarkStart w:id="717" w:name="_Toc527946780"/>
      <w:r>
        <w:rPr>
          <w:b/>
          <w:bCs w:val="0"/>
        </w:rPr>
        <w:t xml:space="preserve">Таблица 4.1.1 – Прогнозы приростов спроса на тепловую мощность для централизованного теплоснабжения с разделением по видам теплопотребления, Гкал/ч</w:t>
      </w:r>
      <w:bookmarkEnd w:id="717"/>
      <w:r>
        <w:rPr>
          <w:b/>
          <w:bCs w:val="0"/>
        </w:rPr>
        <w:t xml:space="preserve"> </w:t>
      </w:r>
      <w:r>
        <w:rPr>
          <w:b/>
          <w:bCs w:val="0"/>
        </w:rPr>
      </w:r>
    </w:p>
    <w:tbl>
      <w:tblPr>
        <w:tblInd w:w="0" w:type="dxa"/>
        <w:tblW w:w="3900" w:type="pct"/>
        <w:tblCellMar>
          <w:left w:w="108" w:type="dxa"/>
          <w:top w:w="0" w:type="dxa"/>
          <w:right w:w="108" w:type="dxa"/>
          <w:bottom w:w="0" w:type="dxa"/>
        </w:tblCellMar>
        <w:tblBorders/>
        <w:tblLayout w:type="fixed"/>
        <w:tblLook w:val="04A0" w:firstRow="1" w:lastRow="0" w:firstColumn="1" w:lastColumn="0" w:noHBand="0" w:noVBand="1"/>
      </w:tblPr>
      <w:tblGrid>
        <w:gridCol w:w="1951"/>
        <w:gridCol w:w="975"/>
        <w:gridCol w:w="942"/>
        <w:gridCol w:w="964"/>
        <w:gridCol w:w="702"/>
        <w:gridCol w:w="712"/>
        <w:gridCol w:w="711"/>
        <w:gridCol w:w="1060"/>
        <w:gridCol w:w="1107"/>
        <w:gridCol w:w="1009"/>
        <w:gridCol w:w="1008"/>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1951"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975" w:type="dxa"/>
            <w:vAlign w:val="center"/>
          </w:tcPr>
          <w:p>
            <w:pPr>
              <w:pStyle w:val="12385"/>
              <w:pBdr/>
              <w:spacing/>
              <w:ind/>
              <w:rPr/>
            </w:pPr>
            <w:r>
              <w:t xml:space="preserve">Установленная тепловая мощность, Гкал/ч</w:t>
            </w:r>
            <w:r/>
          </w:p>
        </w:tc>
        <w:tc>
          <w:tcPr>
            <w:shd w:val="clear" w:color="000000" w:fill="d9d9d9"/>
            <w:tcBorders>
              <w:top w:val="single" w:color="000000" w:sz="4" w:space="0"/>
              <w:bottom w:val="single" w:color="000000" w:sz="4" w:space="0"/>
              <w:right w:val="single" w:color="000000" w:sz="4" w:space="0"/>
            </w:tcBorders>
            <w:tcW w:w="942" w:type="dxa"/>
            <w:vAlign w:val="center"/>
          </w:tcPr>
          <w:p>
            <w:pPr>
              <w:pStyle w:val="12385"/>
              <w:pBdr/>
              <w:spacing/>
              <w:ind/>
              <w:rPr/>
            </w:pPr>
            <w:r>
              <w:t xml:space="preserve">Фактическая располагаемая тепловая мощность источника, Гкал/ч</w:t>
            </w:r>
            <w:r/>
          </w:p>
        </w:tc>
        <w:tc>
          <w:tcPr>
            <w:shd w:val="clear" w:color="000000" w:fill="d9d9d9"/>
            <w:tcBorders>
              <w:top w:val="single" w:color="000000" w:sz="4" w:space="0"/>
              <w:bottom w:val="single" w:color="000000" w:sz="4" w:space="0"/>
              <w:right w:val="single" w:color="000000" w:sz="4" w:space="0"/>
            </w:tcBorders>
            <w:tcW w:w="964" w:type="dxa"/>
            <w:vAlign w:val="center"/>
          </w:tcPr>
          <w:p>
            <w:pPr>
              <w:pStyle w:val="12385"/>
              <w:pBdr/>
              <w:spacing/>
              <w:ind/>
              <w:rPr/>
            </w:pPr>
            <w:r>
              <w:t xml:space="preserve">Расход тепловой мощности на собственные и хозяйственные нужды, Гкал/ч</w:t>
            </w:r>
            <w:r/>
          </w:p>
        </w:tc>
        <w:tc>
          <w:tcPr>
            <w:shd w:val="clear" w:color="000000" w:fill="d9d9d9"/>
            <w:tcBorders>
              <w:top w:val="single" w:color="000000" w:sz="4" w:space="0"/>
              <w:bottom w:val="single" w:color="000000" w:sz="4" w:space="0"/>
              <w:right w:val="single" w:color="000000" w:sz="4" w:space="0"/>
            </w:tcBorders>
            <w:tcW w:w="702" w:type="dxa"/>
            <w:vAlign w:val="center"/>
          </w:tcPr>
          <w:p>
            <w:pPr>
              <w:pStyle w:val="12385"/>
              <w:pBdr/>
              <w:spacing/>
              <w:ind/>
              <w:rPr/>
            </w:pPr>
            <w:r>
              <w:t xml:space="preserve">Тепловая мощность нетто, Гкал/ч</w:t>
            </w:r>
            <w:r/>
          </w:p>
        </w:tc>
        <w:tc>
          <w:tcPr>
            <w:shd w:val="clear" w:color="000000" w:fill="d9d9d9"/>
            <w:tcBorders>
              <w:top w:val="single" w:color="000000" w:sz="4" w:space="0"/>
              <w:bottom w:val="single" w:color="000000" w:sz="4" w:space="0"/>
              <w:right w:val="single" w:color="000000" w:sz="4" w:space="0"/>
            </w:tcBorders>
            <w:tcW w:w="712" w:type="dxa"/>
            <w:vAlign w:val="center"/>
          </w:tcPr>
          <w:p>
            <w:pPr>
              <w:pStyle w:val="12385"/>
              <w:pBdr/>
              <w:spacing/>
              <w:ind/>
              <w:rPr/>
            </w:pPr>
            <w:r>
              <w:t xml:space="preserve">Потери мощности в тепловых сетях, %</w:t>
            </w:r>
            <w:r/>
          </w:p>
        </w:tc>
        <w:tc>
          <w:tcPr>
            <w:shd w:val="clear" w:color="000000" w:fill="d9d9d9"/>
            <w:tcBorders>
              <w:top w:val="single" w:color="000000" w:sz="4" w:space="0"/>
              <w:bottom w:val="single" w:color="000000" w:sz="4" w:space="0"/>
              <w:right w:val="single" w:color="000000" w:sz="4" w:space="0"/>
            </w:tcBorders>
            <w:tcW w:w="711" w:type="dxa"/>
            <w:vAlign w:val="center"/>
          </w:tcPr>
          <w:p>
            <w:pPr>
              <w:pStyle w:val="12385"/>
              <w:pBdr/>
              <w:spacing/>
              <w:ind/>
              <w:rPr/>
            </w:pPr>
            <w:r>
              <w:t xml:space="preserve">Потери мощности в тепловых сетях, Гкал/ч</w:t>
            </w:r>
            <w:r/>
          </w:p>
        </w:tc>
        <w:tc>
          <w:tcPr>
            <w:shd w:val="clear" w:color="000000" w:fill="d9d9d9"/>
            <w:tcBorders>
              <w:top w:val="single" w:color="000000" w:sz="4" w:space="0"/>
              <w:bottom w:val="single" w:color="000000" w:sz="4" w:space="0"/>
              <w:right w:val="single" w:color="000000" w:sz="4" w:space="0"/>
            </w:tcBorders>
            <w:tcW w:w="1060" w:type="dxa"/>
            <w:vAlign w:val="center"/>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107" w:type="dxa"/>
            <w:vAlign w:val="center"/>
          </w:tcPr>
          <w:p>
            <w:pPr>
              <w:pStyle w:val="12385"/>
              <w:pBdr/>
              <w:spacing/>
              <w:ind/>
              <w:rPr/>
            </w:pPr>
            <w:r>
              <w:t xml:space="preserve">Тепловая нагрузка с учетом потерь тепловой энергии при транспортировке, Гкал/час</w:t>
            </w:r>
            <w:r/>
          </w:p>
        </w:tc>
        <w:tc>
          <w:tcPr>
            <w:shd w:val="clear" w:color="000000" w:fill="d9d9d9"/>
            <w:tcBorders>
              <w:top w:val="single" w:color="000000" w:sz="4" w:space="0"/>
              <w:bottom w:val="single" w:color="000000" w:sz="4" w:space="0"/>
              <w:right w:val="single" w:color="000000" w:sz="4" w:space="0"/>
            </w:tcBorders>
            <w:tcW w:w="1009" w:type="dxa"/>
            <w:vAlign w:val="center"/>
          </w:tcPr>
          <w:p>
            <w:pPr>
              <w:pStyle w:val="12385"/>
              <w:pBdr/>
              <w:spacing/>
              <w:ind/>
              <w:rPr/>
            </w:pPr>
            <w:r>
              <w:t xml:space="preserve">Резерв/дефицит тепловой мощности (по фактической нагрузке), Гкал/ч</w:t>
            </w:r>
            <w:r/>
          </w:p>
        </w:tc>
        <w:tc>
          <w:tcPr>
            <w:shd w:val="clear" w:color="000000" w:fill="d9d9d9"/>
            <w:tcBorders>
              <w:top w:val="single" w:color="000000" w:sz="4" w:space="0"/>
              <w:bottom w:val="single" w:color="000000" w:sz="4" w:space="0"/>
              <w:right w:val="single" w:color="000000" w:sz="4" w:space="0"/>
            </w:tcBorders>
            <w:tcW w:w="1008" w:type="dxa"/>
            <w:vAlign w:val="center"/>
          </w:tcPr>
          <w:p>
            <w:pPr>
              <w:pStyle w:val="12385"/>
              <w:pBdr/>
              <w:spacing/>
              <w:ind/>
              <w:rPr/>
            </w:pPr>
            <w:r>
              <w:t xml:space="preserve">Резерв/дефицит тепловой мощности (по фактической нагрузке), %</w:t>
            </w: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2025 год</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r>
            <w:r>
              <w:rPr>
                <w:color w:val="000000"/>
              </w:rPr>
            </w:r>
          </w:p>
        </w:tc>
      </w:tr>
      <w:tr>
        <w:trPr>
          <w:trHeight w:val="20"/>
        </w:trPr>
        <w:tc>
          <w:tcPr>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№5 д. Ясенки</w:t>
            </w:r>
            <w:r>
              <w:rPr>
                <w:color w:val="000000"/>
              </w:rPr>
            </w:r>
          </w:p>
        </w:tc>
        <w:tc>
          <w:tcPr>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7,84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0,004</w:t>
            </w:r>
            <w:r>
              <w:rPr>
                <w:color w:val="000000"/>
              </w:rPr>
            </w:r>
          </w:p>
        </w:tc>
        <w:tc>
          <w:tcPr>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0,050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0,054</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0,117</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68,11</w:t>
            </w:r>
            <w:r>
              <w:rPr>
                <w:color w:val="000000"/>
              </w:rPr>
            </w:r>
          </w:p>
        </w:tc>
      </w:tr>
      <w:tr>
        <w:trPr>
          <w:trHeight w:val="20"/>
        </w:trPr>
        <w:tc>
          <w:tcPr>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№6 п. Первомайский</w:t>
            </w:r>
            <w:r>
              <w:rPr>
                <w:color w:val="000000"/>
              </w:rPr>
            </w:r>
          </w:p>
        </w:tc>
        <w:tc>
          <w:tcPr>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0,34</w:t>
            </w:r>
            <w:r>
              <w:rPr>
                <w:color w:val="000000"/>
              </w:rPr>
            </w:r>
          </w:p>
        </w:tc>
        <w:tc>
          <w:tcPr>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0,34</w:t>
            </w:r>
            <w:r>
              <w:rPr>
                <w:color w:val="000000"/>
              </w:rPr>
            </w:r>
          </w:p>
        </w:tc>
        <w:tc>
          <w:tcPr>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0,343</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8,24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0,010</w:t>
            </w:r>
            <w:r>
              <w:rPr>
                <w:color w:val="000000"/>
              </w:rPr>
            </w:r>
          </w:p>
        </w:tc>
        <w:tc>
          <w:tcPr>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0,120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0,130</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0,213</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62,05</w:t>
            </w:r>
            <w:r>
              <w:rPr>
                <w:color w:val="000000"/>
              </w:rPr>
            </w:r>
          </w:p>
        </w:tc>
      </w:tr>
      <w:tr>
        <w:trPr>
          <w:trHeight w:val="20"/>
        </w:trPr>
        <w:tc>
          <w:tcPr>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№7 с. Белый Колодезь</w:t>
            </w:r>
            <w:r>
              <w:rPr>
                <w:color w:val="000000"/>
              </w:rPr>
            </w:r>
          </w:p>
        </w:tc>
        <w:tc>
          <w:tcPr>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w:t>
            </w:r>
            <w:r>
              <w:rPr>
                <w:color w:val="000000"/>
              </w:rPr>
            </w:r>
          </w:p>
        </w:tc>
        <w:tc>
          <w:tcPr>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4,82</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0,003</w:t>
            </w:r>
            <w:r>
              <w:rPr>
                <w:color w:val="000000"/>
              </w:rPr>
            </w:r>
          </w:p>
        </w:tc>
        <w:tc>
          <w:tcPr>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0,070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0,073</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0,098</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56,84</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pPr>
            <w:r>
              <w:t xml:space="preserve">2026 год</w:t>
            </w:r>
            <w:r/>
          </w:p>
        </w:tc>
        <w:tc>
          <w:tcPr>
            <w:shd w:val="clear" w:color="000000" w:fill="ffffff"/>
            <w:tcBorders>
              <w:bottom w:val="single" w:color="000000" w:sz="4" w:space="0"/>
              <w:right w:val="single" w:color="000000" w:sz="4" w:space="0"/>
            </w:tcBorders>
            <w:tcW w:w="975" w:type="dxa"/>
            <w:vAlign w:val="center"/>
          </w:tcPr>
          <w:p>
            <w:pPr>
              <w:pStyle w:val="12385"/>
              <w:pBdr/>
              <w:spacing/>
              <w:ind/>
              <w:rPr/>
            </w:pPr>
            <w:r/>
            <w:r/>
          </w:p>
        </w:tc>
        <w:tc>
          <w:tcPr>
            <w:shd w:val="clear" w:color="000000" w:fill="ffffff"/>
            <w:tcBorders>
              <w:bottom w:val="single" w:color="000000" w:sz="4" w:space="0"/>
              <w:right w:val="single" w:color="000000" w:sz="4" w:space="0"/>
            </w:tcBorders>
            <w:tcW w:w="942" w:type="dxa"/>
            <w:vAlign w:val="center"/>
          </w:tcPr>
          <w:p>
            <w:pPr>
              <w:pStyle w:val="12385"/>
              <w:pBdr/>
              <w:spacing/>
              <w:ind/>
              <w:rPr/>
            </w:pPr>
            <w:r/>
            <w:r/>
          </w:p>
        </w:tc>
        <w:tc>
          <w:tcPr>
            <w:shd w:val="clear" w:color="000000" w:fill="ffffff"/>
            <w:tcBorders>
              <w:bottom w:val="single" w:color="000000" w:sz="4" w:space="0"/>
              <w:right w:val="single" w:color="000000" w:sz="4" w:space="0"/>
            </w:tcBorders>
            <w:tcW w:w="964" w:type="dxa"/>
            <w:vAlign w:val="center"/>
          </w:tcPr>
          <w:p>
            <w:pPr>
              <w:pStyle w:val="12385"/>
              <w:pBdr/>
              <w:spacing/>
              <w:ind/>
              <w:rPr/>
            </w:pPr>
            <w:r/>
            <w:r/>
          </w:p>
        </w:tc>
        <w:tc>
          <w:tcPr>
            <w:shd w:val="clear" w:color="000000" w:fill="ffffff"/>
            <w:tcBorders>
              <w:bottom w:val="single" w:color="000000" w:sz="4" w:space="0"/>
              <w:right w:val="single" w:color="000000" w:sz="4" w:space="0"/>
            </w:tcBorders>
            <w:tcW w:w="702" w:type="dxa"/>
            <w:vAlign w:val="center"/>
          </w:tcPr>
          <w:p>
            <w:pPr>
              <w:pStyle w:val="12385"/>
              <w:pBdr/>
              <w:spacing/>
              <w:ind/>
              <w:rPr/>
            </w:pPr>
            <w:r/>
            <w:r/>
          </w:p>
        </w:tc>
        <w:tc>
          <w:tcPr>
            <w:shd w:val="clear" w:color="000000" w:fill="ffffff"/>
            <w:tcBorders>
              <w:bottom w:val="single" w:color="000000" w:sz="4" w:space="0"/>
              <w:right w:val="single" w:color="000000" w:sz="4" w:space="0"/>
            </w:tcBorders>
            <w:tcW w:w="712" w:type="dxa"/>
            <w:vAlign w:val="center"/>
          </w:tcPr>
          <w:p>
            <w:pPr>
              <w:pStyle w:val="12385"/>
              <w:pBdr/>
              <w:spacing/>
              <w:ind/>
              <w:rPr/>
            </w:pPr>
            <w:r/>
            <w:r/>
          </w:p>
        </w:tc>
        <w:tc>
          <w:tcPr>
            <w:shd w:val="clear" w:color="000000" w:fill="ffffff"/>
            <w:tcBorders>
              <w:bottom w:val="single" w:color="000000" w:sz="4" w:space="0"/>
              <w:right w:val="single" w:color="000000" w:sz="4" w:space="0"/>
            </w:tcBorders>
            <w:tcW w:w="711" w:type="dxa"/>
            <w:vAlign w:val="center"/>
          </w:tcPr>
          <w:p>
            <w:pPr>
              <w:pStyle w:val="12385"/>
              <w:pBdr/>
              <w:spacing/>
              <w:ind/>
              <w:rPr/>
            </w:pPr>
            <w:r/>
            <w:r/>
          </w:p>
        </w:tc>
        <w:tc>
          <w:tcPr>
            <w:shd w:val="clear" w:color="000000" w:fill="ffffff"/>
            <w:tcBorders>
              <w:bottom w:val="single" w:color="000000" w:sz="4" w:space="0"/>
              <w:right w:val="single" w:color="000000" w:sz="4" w:space="0"/>
            </w:tcBorders>
            <w:tcW w:w="1060" w:type="dxa"/>
            <w:vAlign w:val="center"/>
          </w:tcPr>
          <w:p>
            <w:pPr>
              <w:pStyle w:val="12385"/>
              <w:pBdr/>
              <w:spacing/>
              <w:ind/>
              <w:rPr/>
            </w:pPr>
            <w:r/>
            <w:r/>
          </w:p>
        </w:tc>
        <w:tc>
          <w:tcPr>
            <w:shd w:val="clear" w:color="000000" w:fill="ffffff"/>
            <w:tcBorders>
              <w:bottom w:val="single" w:color="000000" w:sz="4" w:space="0"/>
              <w:right w:val="single" w:color="000000" w:sz="4" w:space="0"/>
            </w:tcBorders>
            <w:tcW w:w="1107" w:type="dxa"/>
            <w:vAlign w:val="center"/>
          </w:tcPr>
          <w:p>
            <w:pPr>
              <w:pStyle w:val="12385"/>
              <w:pBdr/>
              <w:spacing/>
              <w:ind/>
              <w:rPr/>
            </w:pPr>
            <w:r/>
            <w:r/>
          </w:p>
        </w:tc>
        <w:tc>
          <w:tcPr>
            <w:shd w:val="clear" w:color="000000" w:fill="ffffff"/>
            <w:tcBorders>
              <w:bottom w:val="single" w:color="000000" w:sz="4" w:space="0"/>
              <w:right w:val="single" w:color="000000" w:sz="4" w:space="0"/>
            </w:tcBorders>
            <w:tcW w:w="1009" w:type="dxa"/>
            <w:vAlign w:val="center"/>
          </w:tcPr>
          <w:p>
            <w:pPr>
              <w:pStyle w:val="12385"/>
              <w:pBdr/>
              <w:spacing/>
              <w:ind/>
              <w:rPr/>
            </w:pPr>
            <w:r/>
            <w:r/>
          </w:p>
        </w:tc>
        <w:tc>
          <w:tcPr>
            <w:shd w:val="clear" w:color="000000" w:fill="ffffff"/>
            <w:tcBorders>
              <w:bottom w:val="single" w:color="000000" w:sz="4" w:space="0"/>
              <w:right w:val="single" w:color="000000" w:sz="4" w:space="0"/>
            </w:tcBorders>
            <w:tcW w:w="100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№5 д. Ясенки</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7,84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0,004</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0,050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0,054</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0,117</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68,11</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№6 п. Первомайский</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0,344</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0,344</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0,343</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8,24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0,010</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0,120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0,130</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0,213</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62,05</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№7 с. Белый Колодезь</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4,82</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0,003</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0,070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0,073</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0,098</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56,84</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pPr>
            <w:r>
              <w:t xml:space="preserve">2027-2028 год</w:t>
            </w:r>
            <w:r/>
          </w:p>
        </w:tc>
        <w:tc>
          <w:tcPr>
            <w:shd w:val="clear" w:color="000000" w:fill="ffffff"/>
            <w:tcBorders>
              <w:bottom w:val="single" w:color="000000" w:sz="4" w:space="0"/>
              <w:right w:val="single" w:color="000000" w:sz="4" w:space="0"/>
            </w:tcBorders>
            <w:tcW w:w="975" w:type="dxa"/>
            <w:vAlign w:val="center"/>
          </w:tcPr>
          <w:p>
            <w:pPr>
              <w:pStyle w:val="12385"/>
              <w:pBdr/>
              <w:spacing/>
              <w:ind/>
              <w:rPr/>
            </w:pPr>
            <w:r/>
            <w:r/>
          </w:p>
        </w:tc>
        <w:tc>
          <w:tcPr>
            <w:shd w:val="clear" w:color="000000" w:fill="ffffff"/>
            <w:tcBorders>
              <w:bottom w:val="single" w:color="000000" w:sz="4" w:space="0"/>
              <w:right w:val="single" w:color="000000" w:sz="4" w:space="0"/>
            </w:tcBorders>
            <w:tcW w:w="942" w:type="dxa"/>
            <w:vAlign w:val="center"/>
          </w:tcPr>
          <w:p>
            <w:pPr>
              <w:pStyle w:val="12385"/>
              <w:pBdr/>
              <w:spacing/>
              <w:ind/>
              <w:rPr/>
            </w:pPr>
            <w:r/>
            <w:r/>
          </w:p>
        </w:tc>
        <w:tc>
          <w:tcPr>
            <w:shd w:val="clear" w:color="000000" w:fill="ffffff"/>
            <w:tcBorders>
              <w:bottom w:val="single" w:color="000000" w:sz="4" w:space="0"/>
              <w:right w:val="single" w:color="000000" w:sz="4" w:space="0"/>
            </w:tcBorders>
            <w:tcW w:w="964" w:type="dxa"/>
            <w:vAlign w:val="center"/>
          </w:tcPr>
          <w:p>
            <w:pPr>
              <w:pStyle w:val="12385"/>
              <w:pBdr/>
              <w:spacing/>
              <w:ind/>
              <w:rPr/>
            </w:pPr>
            <w:r/>
            <w:r/>
          </w:p>
        </w:tc>
        <w:tc>
          <w:tcPr>
            <w:shd w:val="clear" w:color="000000" w:fill="ffffff"/>
            <w:tcBorders>
              <w:bottom w:val="single" w:color="000000" w:sz="4" w:space="0"/>
              <w:right w:val="single" w:color="000000" w:sz="4" w:space="0"/>
            </w:tcBorders>
            <w:tcW w:w="702" w:type="dxa"/>
            <w:vAlign w:val="center"/>
          </w:tcPr>
          <w:p>
            <w:pPr>
              <w:pStyle w:val="12385"/>
              <w:pBdr/>
              <w:spacing/>
              <w:ind/>
              <w:rPr/>
            </w:pPr>
            <w:r/>
            <w:r/>
          </w:p>
        </w:tc>
        <w:tc>
          <w:tcPr>
            <w:shd w:val="clear" w:color="000000" w:fill="ffffff"/>
            <w:tcBorders>
              <w:bottom w:val="single" w:color="000000" w:sz="4" w:space="0"/>
              <w:right w:val="single" w:color="000000" w:sz="4" w:space="0"/>
            </w:tcBorders>
            <w:tcW w:w="712" w:type="dxa"/>
            <w:vAlign w:val="center"/>
          </w:tcPr>
          <w:p>
            <w:pPr>
              <w:pStyle w:val="12385"/>
              <w:pBdr/>
              <w:spacing/>
              <w:ind/>
              <w:rPr/>
            </w:pPr>
            <w:r/>
            <w:r/>
          </w:p>
        </w:tc>
        <w:tc>
          <w:tcPr>
            <w:shd w:val="clear" w:color="000000" w:fill="ffffff"/>
            <w:tcBorders>
              <w:bottom w:val="single" w:color="000000" w:sz="4" w:space="0"/>
              <w:right w:val="single" w:color="000000" w:sz="4" w:space="0"/>
            </w:tcBorders>
            <w:tcW w:w="711" w:type="dxa"/>
            <w:vAlign w:val="center"/>
          </w:tcPr>
          <w:p>
            <w:pPr>
              <w:pStyle w:val="12385"/>
              <w:pBdr/>
              <w:spacing/>
              <w:ind/>
              <w:rPr/>
            </w:pPr>
            <w:r/>
            <w:r/>
          </w:p>
        </w:tc>
        <w:tc>
          <w:tcPr>
            <w:shd w:val="clear" w:color="000000" w:fill="ffffff"/>
            <w:tcBorders>
              <w:bottom w:val="single" w:color="000000" w:sz="4" w:space="0"/>
              <w:right w:val="single" w:color="000000" w:sz="4" w:space="0"/>
            </w:tcBorders>
            <w:tcW w:w="1060" w:type="dxa"/>
            <w:vAlign w:val="center"/>
          </w:tcPr>
          <w:p>
            <w:pPr>
              <w:pStyle w:val="12385"/>
              <w:pBdr/>
              <w:spacing/>
              <w:ind/>
              <w:rPr/>
            </w:pPr>
            <w:r/>
            <w:r/>
          </w:p>
        </w:tc>
        <w:tc>
          <w:tcPr>
            <w:shd w:val="clear" w:color="000000" w:fill="ffffff"/>
            <w:tcBorders>
              <w:bottom w:val="single" w:color="000000" w:sz="4" w:space="0"/>
              <w:right w:val="single" w:color="000000" w:sz="4" w:space="0"/>
            </w:tcBorders>
            <w:tcW w:w="1107" w:type="dxa"/>
            <w:vAlign w:val="center"/>
          </w:tcPr>
          <w:p>
            <w:pPr>
              <w:pStyle w:val="12385"/>
              <w:pBdr/>
              <w:spacing/>
              <w:ind/>
              <w:rPr/>
            </w:pPr>
            <w:r/>
            <w:r/>
          </w:p>
        </w:tc>
        <w:tc>
          <w:tcPr>
            <w:shd w:val="clear" w:color="000000" w:fill="ffffff"/>
            <w:tcBorders>
              <w:bottom w:val="single" w:color="000000" w:sz="4" w:space="0"/>
              <w:right w:val="single" w:color="000000" w:sz="4" w:space="0"/>
            </w:tcBorders>
            <w:tcW w:w="1009" w:type="dxa"/>
            <w:vAlign w:val="center"/>
          </w:tcPr>
          <w:p>
            <w:pPr>
              <w:pStyle w:val="12385"/>
              <w:pBdr/>
              <w:spacing/>
              <w:ind/>
              <w:rPr/>
            </w:pPr>
            <w:r/>
            <w:r/>
          </w:p>
        </w:tc>
        <w:tc>
          <w:tcPr>
            <w:shd w:val="clear" w:color="000000" w:fill="ffffff"/>
            <w:tcBorders>
              <w:bottom w:val="single" w:color="000000" w:sz="4" w:space="0"/>
              <w:right w:val="single" w:color="000000" w:sz="4" w:space="0"/>
            </w:tcBorders>
            <w:tcW w:w="100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№5 д. Ясенки</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7,84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0,004</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0,050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0,054</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0,117</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68,11</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№6 п. Первомайский</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0,344</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0,344</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0,343</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8,24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0,010</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0,120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0,130</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0,213</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62,05</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№7 с. Белый Колодезь</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4,82</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0,003</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0,070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0,073</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0,098</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56,84</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pPr>
            <w:r>
              <w:t xml:space="preserve">2029-2038 годы</w:t>
            </w:r>
            <w:r/>
          </w:p>
        </w:tc>
        <w:tc>
          <w:tcPr>
            <w:shd w:val="clear" w:color="000000" w:fill="ffffff"/>
            <w:tcBorders>
              <w:bottom w:val="single" w:color="000000" w:sz="4" w:space="0"/>
              <w:right w:val="single" w:color="000000" w:sz="4" w:space="0"/>
            </w:tcBorders>
            <w:tcW w:w="975" w:type="dxa"/>
            <w:vAlign w:val="center"/>
          </w:tcPr>
          <w:p>
            <w:pPr>
              <w:pStyle w:val="12385"/>
              <w:pBdr/>
              <w:spacing/>
              <w:ind/>
              <w:rPr/>
            </w:pPr>
            <w:r/>
            <w:r/>
          </w:p>
        </w:tc>
        <w:tc>
          <w:tcPr>
            <w:shd w:val="clear" w:color="000000" w:fill="ffffff"/>
            <w:tcBorders>
              <w:bottom w:val="single" w:color="000000" w:sz="4" w:space="0"/>
              <w:right w:val="single" w:color="000000" w:sz="4" w:space="0"/>
            </w:tcBorders>
            <w:tcW w:w="942" w:type="dxa"/>
            <w:vAlign w:val="center"/>
          </w:tcPr>
          <w:p>
            <w:pPr>
              <w:pStyle w:val="12385"/>
              <w:pBdr/>
              <w:spacing/>
              <w:ind/>
              <w:rPr/>
            </w:pPr>
            <w:r/>
            <w:r/>
          </w:p>
        </w:tc>
        <w:tc>
          <w:tcPr>
            <w:shd w:val="clear" w:color="000000" w:fill="ffffff"/>
            <w:tcBorders>
              <w:bottom w:val="single" w:color="000000" w:sz="4" w:space="0"/>
              <w:right w:val="single" w:color="000000" w:sz="4" w:space="0"/>
            </w:tcBorders>
            <w:tcW w:w="964" w:type="dxa"/>
            <w:vAlign w:val="center"/>
          </w:tcPr>
          <w:p>
            <w:pPr>
              <w:pStyle w:val="12385"/>
              <w:pBdr/>
              <w:spacing/>
              <w:ind/>
              <w:rPr/>
            </w:pPr>
            <w:r/>
            <w:r/>
          </w:p>
        </w:tc>
        <w:tc>
          <w:tcPr>
            <w:shd w:val="clear" w:color="000000" w:fill="ffffff"/>
            <w:tcBorders>
              <w:bottom w:val="single" w:color="000000" w:sz="4" w:space="0"/>
              <w:right w:val="single" w:color="000000" w:sz="4" w:space="0"/>
            </w:tcBorders>
            <w:tcW w:w="702" w:type="dxa"/>
            <w:vAlign w:val="center"/>
          </w:tcPr>
          <w:p>
            <w:pPr>
              <w:pStyle w:val="12385"/>
              <w:pBdr/>
              <w:spacing/>
              <w:ind/>
              <w:rPr/>
            </w:pPr>
            <w:r/>
            <w:r/>
          </w:p>
        </w:tc>
        <w:tc>
          <w:tcPr>
            <w:shd w:val="clear" w:color="000000" w:fill="ffffff"/>
            <w:tcBorders>
              <w:bottom w:val="single" w:color="000000" w:sz="4" w:space="0"/>
              <w:right w:val="single" w:color="000000" w:sz="4" w:space="0"/>
            </w:tcBorders>
            <w:tcW w:w="712" w:type="dxa"/>
            <w:vAlign w:val="center"/>
          </w:tcPr>
          <w:p>
            <w:pPr>
              <w:pStyle w:val="12385"/>
              <w:pBdr/>
              <w:spacing/>
              <w:ind/>
              <w:rPr/>
            </w:pPr>
            <w:r/>
            <w:r/>
          </w:p>
        </w:tc>
        <w:tc>
          <w:tcPr>
            <w:shd w:val="clear" w:color="000000" w:fill="ffffff"/>
            <w:tcBorders>
              <w:bottom w:val="single" w:color="000000" w:sz="4" w:space="0"/>
              <w:right w:val="single" w:color="000000" w:sz="4" w:space="0"/>
            </w:tcBorders>
            <w:tcW w:w="711" w:type="dxa"/>
            <w:vAlign w:val="center"/>
          </w:tcPr>
          <w:p>
            <w:pPr>
              <w:pStyle w:val="12385"/>
              <w:pBdr/>
              <w:spacing/>
              <w:ind/>
              <w:rPr/>
            </w:pPr>
            <w:r/>
            <w:r/>
          </w:p>
        </w:tc>
        <w:tc>
          <w:tcPr>
            <w:shd w:val="clear" w:color="000000" w:fill="ffffff"/>
            <w:tcBorders>
              <w:bottom w:val="single" w:color="000000" w:sz="4" w:space="0"/>
              <w:right w:val="single" w:color="000000" w:sz="4" w:space="0"/>
            </w:tcBorders>
            <w:tcW w:w="1060" w:type="dxa"/>
            <w:vAlign w:val="center"/>
          </w:tcPr>
          <w:p>
            <w:pPr>
              <w:pStyle w:val="12385"/>
              <w:pBdr/>
              <w:spacing/>
              <w:ind/>
              <w:rPr/>
            </w:pPr>
            <w:r/>
            <w:r/>
          </w:p>
        </w:tc>
        <w:tc>
          <w:tcPr>
            <w:shd w:val="clear" w:color="000000" w:fill="ffffff"/>
            <w:tcBorders>
              <w:bottom w:val="single" w:color="000000" w:sz="4" w:space="0"/>
              <w:right w:val="single" w:color="000000" w:sz="4" w:space="0"/>
            </w:tcBorders>
            <w:tcW w:w="1107" w:type="dxa"/>
            <w:vAlign w:val="center"/>
          </w:tcPr>
          <w:p>
            <w:pPr>
              <w:pStyle w:val="12385"/>
              <w:pBdr/>
              <w:spacing/>
              <w:ind/>
              <w:rPr/>
            </w:pPr>
            <w:r/>
            <w:r/>
          </w:p>
        </w:tc>
        <w:tc>
          <w:tcPr>
            <w:shd w:val="clear" w:color="000000" w:fill="ffffff"/>
            <w:tcBorders>
              <w:bottom w:val="single" w:color="000000" w:sz="4" w:space="0"/>
              <w:right w:val="single" w:color="000000" w:sz="4" w:space="0"/>
            </w:tcBorders>
            <w:tcW w:w="1009" w:type="dxa"/>
            <w:vAlign w:val="center"/>
          </w:tcPr>
          <w:p>
            <w:pPr>
              <w:pStyle w:val="12385"/>
              <w:pBdr/>
              <w:spacing/>
              <w:ind/>
              <w:rPr/>
            </w:pPr>
            <w:r/>
            <w:r/>
          </w:p>
        </w:tc>
        <w:tc>
          <w:tcPr>
            <w:shd w:val="clear" w:color="000000" w:fill="ffffff"/>
            <w:tcBorders>
              <w:bottom w:val="single" w:color="000000" w:sz="4" w:space="0"/>
              <w:right w:val="single" w:color="000000" w:sz="4" w:space="0"/>
            </w:tcBorders>
            <w:tcW w:w="100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№5 д. Ясенки</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7,84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0,004</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0,050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0,054</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0,117</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68,11</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№6 п. Первомайский</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0,344</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0,344</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0,343</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8,24</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0,010</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0,120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0,130</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0,213</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62,05</w:t>
            </w:r>
            <w:r>
              <w:rPr>
                <w:color w:val="000000"/>
              </w:rPr>
            </w:r>
          </w:p>
        </w:tc>
      </w:tr>
      <w:tr>
        <w:trPr>
          <w:trHeight w:val="20"/>
        </w:trPr>
        <w:tc>
          <w:tcPr>
            <w:shd w:val="clear" w:color="000000" w:fill="ffffff"/>
            <w:tcBorders>
              <w:left w:val="single" w:color="000000" w:sz="4" w:space="0"/>
              <w:bottom w:val="single" w:color="000000" w:sz="4" w:space="0"/>
              <w:right w:val="single" w:color="000000" w:sz="4" w:space="0"/>
            </w:tcBorders>
            <w:tcW w:w="1951" w:type="dxa"/>
            <w:vAlign w:val="center"/>
          </w:tcPr>
          <w:p>
            <w:pPr>
              <w:pStyle w:val="12385"/>
              <w:pBdr/>
              <w:spacing/>
              <w:ind/>
              <w:rPr>
                <w:color w:val="000000"/>
              </w:rPr>
            </w:pPr>
            <w:r>
              <w:rPr>
                <w:color w:val="000000"/>
              </w:rPr>
              <w:t xml:space="preserve">Котельная №7 с. Белый Колодезь</w:t>
            </w:r>
            <w:r>
              <w:rPr>
                <w:color w:val="000000"/>
              </w:rPr>
            </w:r>
          </w:p>
        </w:tc>
        <w:tc>
          <w:tcPr>
            <w:shd w:val="clear" w:color="000000" w:fill="ffffff"/>
            <w:tcBorders>
              <w:bottom w:val="single" w:color="000000" w:sz="4" w:space="0"/>
              <w:right w:val="single" w:color="000000" w:sz="4" w:space="0"/>
            </w:tcBorders>
            <w:tcW w:w="975"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42" w:type="dxa"/>
            <w:vAlign w:val="center"/>
          </w:tcPr>
          <w:p>
            <w:pPr>
              <w:pStyle w:val="12385"/>
              <w:pBdr/>
              <w:spacing/>
              <w:ind/>
              <w:rPr>
                <w:color w:val="000000"/>
              </w:rPr>
            </w:pPr>
            <w:r>
              <w:rPr>
                <w:color w:val="000000"/>
              </w:rPr>
              <w:t xml:space="preserve">0,172</w:t>
            </w:r>
            <w:r>
              <w:rPr>
                <w:color w:val="000000"/>
              </w:rPr>
            </w:r>
          </w:p>
        </w:tc>
        <w:tc>
          <w:tcPr>
            <w:shd w:val="clear" w:color="000000" w:fill="ffffff"/>
            <w:tcBorders>
              <w:bottom w:val="single" w:color="000000" w:sz="4" w:space="0"/>
              <w:right w:val="single" w:color="000000" w:sz="4" w:space="0"/>
            </w:tcBorders>
            <w:tcW w:w="964" w:type="dxa"/>
            <w:vAlign w:val="center"/>
          </w:tcPr>
          <w:p>
            <w:pPr>
              <w:pStyle w:val="12385"/>
              <w:pBdr/>
              <w:spacing/>
              <w:ind/>
              <w:rPr>
                <w:color w:val="000000"/>
              </w:rPr>
            </w:pPr>
            <w:r>
              <w:rPr>
                <w:color w:val="000000"/>
              </w:rPr>
              <w:t xml:space="preserve">0,001</w:t>
            </w:r>
            <w:r>
              <w:rPr>
                <w:color w:val="000000"/>
              </w:rPr>
            </w:r>
          </w:p>
        </w:tc>
        <w:tc>
          <w:tcPr>
            <w:shd w:val="clear" w:color="000000" w:fill="ffffff"/>
            <w:tcBorders>
              <w:bottom w:val="single" w:color="000000" w:sz="4" w:space="0"/>
              <w:right w:val="single" w:color="000000" w:sz="4" w:space="0"/>
            </w:tcBorders>
            <w:tcW w:w="702" w:type="dxa"/>
            <w:vAlign w:val="center"/>
          </w:tcPr>
          <w:p>
            <w:pPr>
              <w:pStyle w:val="12385"/>
              <w:pBdr/>
              <w:spacing/>
              <w:ind/>
              <w:rPr>
                <w:color w:val="000000"/>
              </w:rPr>
            </w:pPr>
            <w:r>
              <w:rPr>
                <w:color w:val="000000"/>
              </w:rPr>
              <w:t xml:space="preserve">0,171</w:t>
            </w:r>
            <w:r>
              <w:rPr>
                <w:color w:val="000000"/>
              </w:rPr>
            </w:r>
          </w:p>
        </w:tc>
        <w:tc>
          <w:tcPr>
            <w:shd w:val="clear" w:color="000000" w:fill="ffffff"/>
            <w:tcBorders>
              <w:bottom w:val="single" w:color="000000" w:sz="4" w:space="0"/>
              <w:right w:val="single" w:color="000000" w:sz="4" w:space="0"/>
            </w:tcBorders>
            <w:tcW w:w="712" w:type="dxa"/>
            <w:vAlign w:val="center"/>
          </w:tcPr>
          <w:p>
            <w:pPr>
              <w:pStyle w:val="12385"/>
              <w:pBdr/>
              <w:spacing/>
              <w:ind/>
              <w:rPr>
                <w:color w:val="000000"/>
              </w:rPr>
            </w:pPr>
            <w:r>
              <w:rPr>
                <w:color w:val="000000"/>
              </w:rPr>
              <w:t xml:space="preserve">4,82</w:t>
            </w:r>
            <w:r>
              <w:rPr>
                <w:color w:val="000000"/>
              </w:rPr>
            </w:r>
          </w:p>
        </w:tc>
        <w:tc>
          <w:tcPr>
            <w:shd w:val="clear" w:color="000000" w:fill="ffffff"/>
            <w:tcBorders>
              <w:bottom w:val="single" w:color="000000" w:sz="4" w:space="0"/>
              <w:right w:val="single" w:color="000000" w:sz="4" w:space="0"/>
            </w:tcBorders>
            <w:tcW w:w="711" w:type="dxa"/>
            <w:vAlign w:val="center"/>
          </w:tcPr>
          <w:p>
            <w:pPr>
              <w:pStyle w:val="12385"/>
              <w:pBdr/>
              <w:spacing/>
              <w:ind/>
              <w:rPr>
                <w:color w:val="000000"/>
              </w:rPr>
            </w:pPr>
            <w:r>
              <w:rPr>
                <w:color w:val="000000"/>
              </w:rPr>
              <w:t xml:space="preserve">0,003</w:t>
            </w:r>
            <w:r>
              <w:rPr>
                <w:color w:val="000000"/>
              </w:rPr>
            </w:r>
          </w:p>
        </w:tc>
        <w:tc>
          <w:tcPr>
            <w:shd w:val="clear" w:color="000000" w:fill="ffffff"/>
            <w:tcBorders>
              <w:bottom w:val="single" w:color="000000" w:sz="4" w:space="0"/>
              <w:right w:val="single" w:color="000000" w:sz="4" w:space="0"/>
            </w:tcBorders>
            <w:tcW w:w="1060" w:type="dxa"/>
            <w:vAlign w:val="center"/>
          </w:tcPr>
          <w:p>
            <w:pPr>
              <w:pStyle w:val="12385"/>
              <w:pBdr/>
              <w:spacing/>
              <w:ind/>
              <w:rPr>
                <w:color w:val="000000"/>
              </w:rPr>
            </w:pPr>
            <w:r>
              <w:rPr>
                <w:color w:val="000000"/>
              </w:rPr>
              <w:t xml:space="preserve">0,070</w:t>
            </w:r>
            <w:r>
              <w:rPr>
                <w:color w:val="000000"/>
              </w:rPr>
            </w:r>
          </w:p>
        </w:tc>
        <w:tc>
          <w:tcPr>
            <w:shd w:val="clear" w:color="000000" w:fill="ffffff"/>
            <w:tcBorders>
              <w:bottom w:val="single" w:color="000000" w:sz="4" w:space="0"/>
              <w:right w:val="single" w:color="000000" w:sz="4" w:space="0"/>
            </w:tcBorders>
            <w:tcW w:w="1107" w:type="dxa"/>
            <w:vAlign w:val="center"/>
          </w:tcPr>
          <w:p>
            <w:pPr>
              <w:pStyle w:val="12385"/>
              <w:pBdr/>
              <w:spacing/>
              <w:ind/>
              <w:rPr>
                <w:color w:val="000000"/>
              </w:rPr>
            </w:pPr>
            <w:r>
              <w:rPr>
                <w:color w:val="000000"/>
              </w:rPr>
              <w:t xml:space="preserve">0,073</w:t>
            </w:r>
            <w:r>
              <w:rPr>
                <w:color w:val="000000"/>
              </w:rPr>
            </w:r>
          </w:p>
        </w:tc>
        <w:tc>
          <w:tcPr>
            <w:shd w:val="clear" w:color="000000" w:fill="ffffff"/>
            <w:tcBorders>
              <w:bottom w:val="single" w:color="000000" w:sz="4" w:space="0"/>
              <w:right w:val="single" w:color="000000" w:sz="4" w:space="0"/>
            </w:tcBorders>
            <w:tcW w:w="1009" w:type="dxa"/>
            <w:vAlign w:val="center"/>
          </w:tcPr>
          <w:p>
            <w:pPr>
              <w:pStyle w:val="12385"/>
              <w:pBdr/>
              <w:spacing/>
              <w:ind/>
              <w:rPr/>
            </w:pPr>
            <w:r>
              <w:t xml:space="preserve">0,098</w:t>
            </w:r>
            <w:r/>
          </w:p>
        </w:tc>
        <w:tc>
          <w:tcPr>
            <w:shd w:val="clear" w:color="000000" w:fill="ffffff"/>
            <w:tcBorders>
              <w:bottom w:val="single" w:color="000000" w:sz="4" w:space="0"/>
              <w:right w:val="single" w:color="000000" w:sz="4" w:space="0"/>
            </w:tcBorders>
            <w:tcW w:w="1008" w:type="dxa"/>
            <w:vAlign w:val="center"/>
          </w:tcPr>
          <w:p>
            <w:pPr>
              <w:pStyle w:val="12385"/>
              <w:pBdr/>
              <w:spacing/>
              <w:ind/>
              <w:rPr>
                <w:color w:val="000000"/>
              </w:rPr>
            </w:pPr>
            <w:r>
              <w:rPr>
                <w:color w:val="000000"/>
              </w:rPr>
              <w:t xml:space="preserve">56,84</w:t>
            </w:r>
            <w:r>
              <w:rPr>
                <w:color w:val="000000"/>
              </w:rPr>
            </w:r>
          </w:p>
        </w:tc>
      </w:tr>
    </w:tbl>
    <w:p>
      <w:pPr>
        <w:pStyle w:val="12960"/>
        <w:pBdr/>
        <w:spacing/>
        <w:ind/>
        <w:rPr>
          <w:sz w:val="20"/>
          <w:szCs w:val="20"/>
        </w:rPr>
        <w:sectPr>
          <w:headerReference w:type="default" r:id="rId110"/>
          <w:headerReference w:type="first" r:id="rId111"/>
          <w:footerReference w:type="default" r:id="rId378"/>
          <w:footerReference w:type="first" r:id="rId379"/>
          <w:footnotePr/>
          <w:endnotePr/>
          <w:type w:val="nextPage"/>
          <w:pgSz w:h="11906" w:orient="landscape" w:w="16838"/>
          <w:pgMar w:top="1134" w:right="850" w:bottom="1134" w:left="1701" w:header="567" w:footer="454" w:gutter="0"/>
          <w:cols w:num="1" w:sep="0" w:space="1701" w:equalWidth="1"/>
        </w:sectPr>
      </w:pPr>
      <w:r>
        <w:rPr>
          <w:sz w:val="20"/>
          <w:szCs w:val="20"/>
        </w:rPr>
        <w:t xml:space="preserve">Анализ приведенных в таблицах данных показывает, что наблюдается сохранение резерва тепловой мощности к расчётному сроку реализации схемы теплоснабжения тепловой энергии.</w:t>
      </w:r>
      <w:r>
        <w:rPr>
          <w:sz w:val="20"/>
          <w:szCs w:val="20"/>
        </w:rPr>
      </w:r>
    </w:p>
    <w:p>
      <w:pPr>
        <w:pStyle w:val="10534"/>
        <w:numPr>
          <w:ilvl w:val="0"/>
          <w:numId w:val="123"/>
        </w:numPr>
        <w:pBdr/>
        <w:spacing/>
        <w:ind/>
        <w:jc w:val="left"/>
        <w:rPr>
          <w:spacing w:val="0"/>
        </w:rPr>
      </w:pPr>
      <w:r/>
      <w:bookmarkStart w:id="718" w:name="_Toc166767236"/>
      <w:r/>
      <w:bookmarkStart w:id="719" w:name="_Toc9154871"/>
      <w:r/>
      <w:bookmarkStart w:id="720" w:name="_Toc84971017"/>
      <w:r/>
      <w:bookmarkStart w:id="721" w:name="_Toc198483576"/>
      <w:r>
        <w:rPr>
          <w:spacing w:val="0"/>
        </w:rPr>
        <w:t xml:space="preserve">Гидравлическ</w:t>
      </w:r>
      <w:r>
        <w:rPr>
          <w:spacing w:val="0"/>
        </w:rPr>
        <w:t xml:space="preserve">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718"/>
      <w:r/>
      <w:bookmarkEnd w:id="719"/>
      <w:r/>
      <w:bookmarkEnd w:id="720"/>
      <w:r/>
      <w:bookmarkEnd w:id="721"/>
      <w:r/>
      <w:r>
        <w:rPr>
          <w:spacing w:val="0"/>
        </w:rPr>
      </w:r>
    </w:p>
    <w:p>
      <w:pPr>
        <w:pStyle w:val="12960"/>
        <w:pBdr/>
        <w:spacing/>
        <w:ind/>
        <w:rPr/>
      </w:pPr>
      <w: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w:t>
      </w:r>
      <w:r>
        <w:t xml:space="preserve">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r/>
    </w:p>
    <w:p>
      <w:pPr>
        <w:pStyle w:val="12960"/>
        <w:pBdr/>
        <w:spacing/>
        <w:ind/>
        <w:rPr/>
      </w:pPr>
      <w:r>
        <w:t xml:space="preserve">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r/>
    </w:p>
    <w:p>
      <w:pPr>
        <w:pStyle w:val="12960"/>
        <w:pBdr/>
        <w:spacing/>
        <w:ind/>
        <w:rPr/>
      </w:pPr>
      <w:r>
        <w:t xml:space="preserve">В зависимости от места осуществления регулирования различают центральное, групповое, местное и индивидуальное регулирование. </w:t>
      </w:r>
      <w:r/>
    </w:p>
    <w:p>
      <w:pPr>
        <w:pStyle w:val="12960"/>
        <w:pBdr/>
        <w:spacing/>
        <w:ind/>
        <w:rPr/>
      </w:pPr>
      <w:r>
        <w:t xml:space="preserve">Центральное регулирование выполняют в котельной по преобладающей</w:t>
      </w:r>
      <w:r>
        <w:t xml:space="preserve">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r/>
    </w:p>
    <w:p>
      <w:pPr>
        <w:pStyle w:val="12960"/>
        <w:pBdr/>
        <w:spacing/>
        <w:ind/>
        <w:rPr/>
      </w:pPr>
      <w:r>
        <w:t xml:space="preserve">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r/>
    </w:p>
    <w:p>
      <w:pPr>
        <w:pStyle w:val="12960"/>
        <w:pBdr/>
        <w:spacing/>
        <w:ind/>
        <w:rPr/>
      </w:pPr>
      <w:r>
        <w:t xml:space="preserve">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r/>
    </w:p>
    <w:p>
      <w:pPr>
        <w:pStyle w:val="12960"/>
        <w:pBdr/>
        <w:spacing/>
        <w:ind/>
        <w:rPr/>
      </w:pPr>
      <w:r>
        <w:t xml:space="preserve">Тепловая нагрузка многочисленных абонентов современных с</w:t>
      </w:r>
      <w:r>
        <w:t xml:space="preserve">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r/>
    </w:p>
    <w:p>
      <w:pPr>
        <w:pStyle w:val="12960"/>
        <w:pBdr/>
        <w:spacing/>
        <w:ind/>
        <w:rPr/>
      </w:pPr>
      <w:r>
        <w:t xml:space="preserve">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r/>
    </w:p>
    <w:p>
      <w:pPr>
        <w:pStyle w:val="12960"/>
        <w:pBdr/>
        <w:spacing/>
        <w:ind/>
        <w:rPr/>
      </w:pPr>
      <w:r>
        <w:t xml:space="preserve">По способу осуществления регулирование может быть автоматическим и ручным.</w:t>
      </w:r>
      <w:r/>
    </w:p>
    <w:p>
      <w:pPr>
        <w:pStyle w:val="10533"/>
        <w:pBdr/>
        <w:spacing/>
        <w:ind/>
        <w:rPr/>
      </w:pPr>
      <w:r/>
      <w:r/>
    </w:p>
    <w:p>
      <w:pPr>
        <w:pStyle w:val="10533"/>
        <w:pBdr/>
        <w:spacing/>
        <w:ind/>
        <w:jc w:val="center"/>
        <w:rPr/>
      </w:pPr>
      <w:r>
        <mc:AlternateContent>
          <mc:Choice Requires="wpg">
            <w:drawing>
              <wp:inline xmlns:wp="http://schemas.openxmlformats.org/drawingml/2006/wordprocessingDrawing" distT="0" distB="0" distL="0" distR="0">
                <wp:extent cx="4495800" cy="1457325"/>
                <wp:effectExtent l="0" t="0" r="0" b="0"/>
                <wp:docPr id="51" name="Изображение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зображение15" descr=""/>
                        <pic:cNvPicPr>
                          <a:picLocks noChangeAspect="1"/>
                        </pic:cNvPicPr>
                        <pic:nvPr/>
                      </pic:nvPicPr>
                      <pic:blipFill rotWithShape="1">
                        <a:blip r:embed="rId557"/>
                        <a:stretch/>
                      </pic:blipFill>
                      <pic:spPr bwMode="auto">
                        <a:xfrm>
                          <a:off x="0" y="0"/>
                          <a:ext cx="4495800" cy="145732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 o:spid="_x0000_s52" type="#_x0000_t75" style="width:354.00pt;height:114.75pt;mso-wrap-distance-left:0.00pt;mso-wrap-distance-top:0.00pt;mso-wrap-distance-right:0.00pt;mso-wrap-distance-bottom:0.00pt;z-index:1;" stroked="false">
                <v:imagedata r:id="rId557" o:title=""/>
                <o:lock v:ext="edit" rotation="t"/>
              </v:shape>
            </w:pict>
          </mc:Fallback>
        </mc:AlternateContent>
      </w:r>
      <w:r>
        <mc:AlternateContent>
          <mc:Choice Requires="wpg">
            <w:drawing>
              <wp:inline xmlns:wp="http://schemas.openxmlformats.org/drawingml/2006/wordprocessingDrawing" distT="0" distB="0" distL="0" distR="0">
                <wp:extent cx="4497705" cy="1459230"/>
                <wp:effectExtent l="0" t="0" r="0" b="6985"/>
                <wp:docPr id="52" name="Полотно 15"/>
                <wp:cNvGraphicFramePr/>
                <a:graphic xmlns:a="http://schemas.openxmlformats.org/drawingml/2006/main">
                  <a:graphicData uri="http://schemas.microsoft.com/office/word/2010/wordprocessingGroup">
                    <wpg:wgp>
                      <wpg:cNvGrpSpPr/>
                      <wpg:grpSpPr bwMode="auto">
                        <a:xfrm>
                          <a:off x="0" y="0"/>
                          <a:ext cx="4497840" cy="1459080"/>
                          <a:chOff x="0" y="0"/>
                          <a:chExt cx="4497840" cy="1459080"/>
                        </a:xfrm>
                      </wpg:grpSpPr>
                      <wps:wsp>
                        <wps:cNvPr id="55" name=""/>
                        <wps:cNvSpPr/>
                        <wps:spPr bwMode="auto">
                          <a:xfrm>
                            <a:off x="0" y="0"/>
                            <a:ext cx="4497840" cy="1459080"/>
                          </a:xfrm>
                          <a:prstGeom prst="rect">
                            <a:avLst/>
                          </a:prstGeom>
                          <a:noFill/>
                          <a:ln w="0">
                            <a:noFill/>
                          </a:ln>
                        </wps:spPr>
                        <wps:style>
                          <a:lnRef idx="0"/>
                          <a:fillRef idx="0"/>
                          <a:effectRef idx="0"/>
                          <a:fontRef idx="minor"/>
                        </wps:style>
                        <wps:bodyPr rot="0">
                          <a:prstTxWarp prst="textNoShape">
                            <a:avLst/>
                          </a:prstTxWarp>
                          <a:noAutofit/>
                        </wps:bodyPr>
                      </wps:wsp>
                      <pic:pic xmlns:pic="http://schemas.openxmlformats.org/drawingml/2006/picture">
                        <pic:nvPicPr>
                          <pic:cNvPr id="56" name="Picture 4" descr=""/>
                          <pic:cNvPicPr/>
                          <pic:nvPr/>
                        </pic:nvPicPr>
                        <pic:blipFill rotWithShape="1">
                          <a:blip r:embed="rId559"/>
                          <a:stretch/>
                        </pic:blipFill>
                        <pic:spPr bwMode="auto">
                          <a:xfrm>
                            <a:off x="0" y="0"/>
                            <a:ext cx="4497840" cy="1459080"/>
                          </a:xfrm>
                          <a:prstGeom prst="rect">
                            <a:avLst/>
                          </a:prstGeom>
                          <a:noFill/>
                          <a:ln w="0">
                            <a:noFill/>
                          </a:ln>
                        </pic:spPr>
                      </pic:pic>
                    </wpg:wgp>
                  </a:graphicData>
                </a:graphic>
              </wp:inline>
            </w:drawing>
          </mc:Choice>
          <mc:Fallback>
            <w:pict>
              <v:group id="group 53" o:spid="_x0000_s0000" style="width:354.15pt;height:114.90pt;mso-wrap-distance-left:0.00pt;mso-wrap-distance-top:0.00pt;mso-wrap-distance-right:0.00pt;mso-wrap-distance-bottom:0.00pt;" coordorigin="0,0" coordsize="44978,14590">
                <v:shape id="shape 54" o:spid="_x0000_s54" o:spt="1" type="#_x0000_t1" style="position:absolute;left:0;top:0;width:44978;height:14590;visibility:visible;" filled="f" stroked="f" strokeweight="0.00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5" o:spid="_x0000_s55" type="#_x0000_t75" style="position:absolute;left:0;top:0;width:44978;height:14590;z-index:1;" stroked="f" strokeweight="0.00pt">
                  <v:imagedata r:id="rId559" o:title=""/>
                  <o:lock v:ext="edit" rotation="t"/>
                </v:shape>
              </v:group>
            </w:pict>
          </mc:Fallback>
        </mc:AlternateContent>
      </w:r>
      <w:r/>
    </w:p>
    <w:p>
      <w:pPr>
        <w:pStyle w:val="10533"/>
        <w:pBdr/>
        <w:spacing/>
        <w:ind/>
        <w:jc w:val="center"/>
        <w:rPr/>
      </w:pPr>
      <w:r>
        <w:t xml:space="preserve">Рисунок 4.2.1 - Пьезометрический график тепловой сети при пропорциональной разрегулировке абонентов.</w:t>
        <w:br/>
      </w:r>
      <w:r/>
    </w:p>
    <w:p>
      <w:pPr>
        <w:pStyle w:val="12960"/>
        <w:pBdr/>
        <w:spacing/>
        <w:ind/>
        <w:rPr/>
      </w:pPr>
      <w:r>
        <w:t xml:space="preserve">Гидравлическим режимом определяется взаимосвязь между расходом теплоносителя и давлением в различных точках системы в данный момент времени.</w:t>
      </w:r>
      <w:r/>
    </w:p>
    <w:p>
      <w:pPr>
        <w:pStyle w:val="12960"/>
        <w:pBdr/>
        <w:spacing/>
        <w:ind/>
        <w:rPr/>
      </w:pPr>
      <w:r>
        <w:t xml:space="preserve">Расчетный гидравлический режим характеризуется распределением теп</w:t>
      </w:r>
      <w:r>
        <w:t xml:space="preserve">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r/>
    </w:p>
    <w:p>
      <w:pPr>
        <w:pStyle w:val="12960"/>
        <w:pBdr/>
        <w:spacing/>
        <w:ind/>
        <w:rPr/>
      </w:pPr>
      <w:r>
        <w:t xml:space="preserve">Однако в процессе эксплуатации расход воды в системе изменяется. Переменный расход вызывается </w:t>
      </w:r>
      <w:r>
        <w:t xml:space="preserve">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w:t>
      </w:r>
      <w:r>
        <w:t xml:space="preserve">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r/>
    </w:p>
    <w:p>
      <w:pPr>
        <w:pStyle w:val="12960"/>
        <w:pBdr/>
        <w:spacing/>
        <w:ind/>
        <w:rPr/>
      </w:pPr>
      <w:r>
        <w:t xml:space="preserve">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r/>
    </w:p>
    <w:p>
      <w:pPr>
        <w:pStyle w:val="12960"/>
        <w:pBdr/>
        <w:spacing/>
        <w:ind/>
        <w:rPr/>
      </w:pPr>
      <w:r>
        <w:t xml:space="preserve">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r/>
    </w:p>
    <w:p>
      <w:pPr>
        <w:pStyle w:val="10533"/>
        <w:pBdr/>
        <w:spacing w:line="360" w:lineRule="auto"/>
        <w:ind/>
        <w:jc w:val="center"/>
        <w:rPr/>
      </w:pPr>
      <w:r>
        <w:rPr>
          <w:i/>
        </w:rPr>
        <w:t xml:space="preserve">∆</w:t>
      </w:r>
      <w:r>
        <w:rPr>
          <w:b/>
          <w:bCs/>
          <w:i/>
        </w:rPr>
        <w:t xml:space="preserve">Р </w:t>
      </w:r>
      <w:r>
        <w:rPr>
          <w:b/>
          <w:bCs/>
        </w:rPr>
        <w:t xml:space="preserve">= S·</w:t>
      </w:r>
      <w:r>
        <w:rPr>
          <w:b/>
          <w:bCs/>
          <w:i/>
        </w:rPr>
        <w:t xml:space="preserve">V</w:t>
      </w:r>
      <w:r>
        <w:rPr>
          <w:b/>
          <w:bCs/>
          <w:i/>
          <w:vertAlign w:val="superscript"/>
        </w:rPr>
        <w:t xml:space="preserve">2</w:t>
      </w:r>
      <w:r/>
    </w:p>
    <w:p>
      <w:pPr>
        <w:pStyle w:val="12960"/>
        <w:pBdr/>
        <w:spacing/>
        <w:ind/>
        <w:rPr/>
      </w:pPr>
      <w:r>
        <w:t xml:space="preserve">где S — характеристика сопротивления, представляющая собой падение давления при единице расхода теплоносителя, Па/(</w:t>
      </w:r>
      <w:r>
        <w:rPr>
          <w:vertAlign w:val="superscript"/>
        </w:rPr>
        <w:t xml:space="preserve"> </w:t>
      </w:r>
      <w:r>
        <w:t xml:space="preserve">м</w:t>
      </w:r>
      <w:r>
        <w:rPr>
          <w:vertAlign w:val="superscript"/>
        </w:rPr>
        <w:t xml:space="preserve">3</w:t>
      </w:r>
      <w:r>
        <w:t xml:space="preserve">/ч) 2; V — расход теплоносителя, м</w:t>
      </w:r>
      <w:r>
        <w:rPr>
          <w:vertAlign w:val="superscript"/>
        </w:rPr>
        <w:t xml:space="preserve">3</w:t>
      </w:r>
      <w:r>
        <w:t xml:space="preserve">/ч.</w:t>
      </w:r>
      <w:r/>
    </w:p>
    <w:p>
      <w:pPr>
        <w:pStyle w:val="12960"/>
        <w:pBdr/>
        <w:spacing/>
        <w:ind/>
        <w:rPr/>
      </w:pPr>
      <w:r>
        <w:t xml:space="preserve">Гидравлический режи</w:t>
      </w:r>
      <w:r>
        <w:t xml:space="preserve">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r/>
    </w:p>
    <w:p>
      <w:pPr>
        <w:pStyle w:val="12960"/>
        <w:pBdr/>
        <w:spacing/>
        <w:ind/>
        <w:rPr/>
      </w:pPr>
      <w:r>
        <w:t xml:space="preserve">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r/>
    </w:p>
    <w:p>
      <w:pPr>
        <w:pStyle w:val="12960"/>
        <w:pBdr/>
        <w:spacing/>
        <w:ind/>
        <w:rPr/>
      </w:pPr>
      <w:r>
        <w:t xml:space="preserve">Центральное регулирование гидравлическим</w:t>
      </w:r>
      <w:r>
        <w:t xml:space="preserve">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отопительных систем должны быть выполнены следующие условия:</w:t>
      </w:r>
      <w:r/>
    </w:p>
    <w:p>
      <w:pPr>
        <w:pStyle w:val="13832"/>
        <w:keepNext w:val="false"/>
        <w:widowControl w:val="true"/>
        <w:numPr>
          <w:ilvl w:val="0"/>
          <w:numId w:val="61"/>
        </w:numPr>
        <w:pBdr/>
        <w:bidi w:val="false"/>
        <w:spacing w:after="0" w:before="0" w:line="360" w:lineRule="auto"/>
        <w:ind w:right="0" w:firstLine="567" w:left="0"/>
        <w:jc w:val="both"/>
        <w:rPr/>
      </w:pPr>
      <w:r>
        <w:t xml:space="preserve">отношение расчетных расходов воды на горячее водоснабжение и</w:t>
        <w:br/>
        <w:t xml:space="preserve">отопление должно быть одинаково у всех абонентов при одинаковом</w:t>
        <w:br/>
        <w:t xml:space="preserve">суточном графике водопотребления;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при начальной регулировке системы, производимой при расчетном расходе воды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r/>
    </w:p>
    <w:p>
      <w:pPr>
        <w:pStyle w:val="12960"/>
        <w:pBdr/>
        <w:spacing/>
        <w:ind/>
        <w:rPr/>
      </w:pPr>
      <w:r>
        <w:t xml:space="preserve">Разработка гидравлического режима тепловых сетей.</w:t>
      </w:r>
      <w:r/>
    </w:p>
    <w:p>
      <w:pPr>
        <w:pStyle w:val="12960"/>
        <w:pBdr/>
        <w:spacing/>
        <w:ind/>
        <w:rPr/>
      </w:pPr>
      <w:r>
        <w:t xml:space="preserve">Гидравлический режим тепловых сетей определяет давление в любой точке в подающих и обратных трубопроводах, располагаемые напоры на выводах тепловой сети у источника теплоты и на тепловых пунктах потребителей, да</w:t>
      </w:r>
      <w:bookmarkStart w:id="722" w:name="_Toc84971017_Копия_1"/>
      <w:r/>
      <w:bookmarkStart w:id="723" w:name="_Toc166767236_Копия_1"/>
      <w:r/>
      <w:bookmarkStart w:id="724" w:name="_Toc198483576_Копия_1"/>
      <w:r/>
      <w:bookmarkStart w:id="725" w:name="_Toc9154871_Копия_1"/>
      <w:r>
        <w:rPr>
          <w:spacing w:val="0"/>
        </w:rPr>
        <w:t xml:space="preserve">Гидравлическ</w:t>
      </w:r>
      <w:r>
        <w:rPr>
          <w:spacing w:val="0"/>
        </w:rPr>
        <w:t xml:space="preserve">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722"/>
      <w:r/>
      <w:bookmarkEnd w:id="723"/>
      <w:r/>
      <w:bookmarkEnd w:id="724"/>
      <w:r/>
      <w:bookmarkEnd w:id="725"/>
      <w:r>
        <w:t xml:space="preserve">вление во всасывающих патрубках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предъявляют следующие требования:</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давление воды в обратных трубопроводах не должно превышать допустимого рабочего давления в непосредственно присоединенных системах потребителей теплоты и в то же время должно быть выше на 0,05 МПа (0,5 кгс/см</w:t>
      </w:r>
      <w:r>
        <w:rPr>
          <w:vertAlign w:val="superscript"/>
        </w:rPr>
        <w:t xml:space="preserve">2</w:t>
      </w:r>
      <w:r>
        <w:t xml:space="preserve">) статического давления систем отопления для обеспечения их заполнения;</w:t>
      </w:r>
      <w:r/>
    </w:p>
    <w:p>
      <w:pPr>
        <w:pStyle w:val="13832"/>
        <w:keepNext w:val="false"/>
        <w:widowControl w:val="true"/>
        <w:numPr>
          <w:ilvl w:val="0"/>
          <w:numId w:val="61"/>
        </w:numPr>
        <w:pBdr/>
        <w:bidi w:val="false"/>
        <w:spacing w:after="0" w:before="0" w:line="360" w:lineRule="auto"/>
        <w:ind w:right="0" w:firstLine="624" w:left="0"/>
        <w:jc w:val="both"/>
        <w:rPr/>
      </w:pPr>
      <w:r>
        <w:t xml:space="preserve"> </w:t>
      </w:r>
      <w:r>
        <w:t xml:space="preserve">давление воды в обратных трубопроводах тепловой сети во избежание подсоса воздуха должно быть не менее 0,05 МПа (0,5 кгс/см</w:t>
      </w:r>
      <w:r>
        <w:rPr>
          <w:vertAlign w:val="superscript"/>
        </w:rPr>
        <w:t xml:space="preserve">2</w:t>
      </w:r>
      <w:r>
        <w:t xml:space="preserve">);</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10" w:left="0"/>
        <w:jc w:val="both"/>
        <w:rPr/>
      </w:pPr>
      <w:r>
        <w:t xml:space="preserve"> </w:t>
      </w:r>
      <w:r>
        <w:t xml:space="preserve">давление воды во всасывающих патрубках сетевых, подпиточных, подкачивающих и смесительных насосов не должно превышать допустимого по условиям прочности конструкции насосов и быть не ниже 0,05 МПа (0,5 кгс/см</w:t>
      </w:r>
      <w:r>
        <w:rPr>
          <w:vertAlign w:val="superscript"/>
        </w:rPr>
        <w:t xml:space="preserve">2</w:t>
      </w:r>
      <w:r>
        <w:t xml:space="preserve">) или величины допустимого кавитационного запаса;</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 </w:t>
      </w:r>
      <w:r>
        <w:t xml:space="preserve">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w:t>
      </w:r>
      <w:r>
        <w:t xml:space="preserve"> трубопровода, в оборудовании источника теплоты и в приборах систем теплопотребителей, непосредственно присоединенных к тепловым сетям; при этом давление в оборудовании источника теплоты и тепловой сети не должно превышать допустимых пределов их прочности;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 </w:t>
      </w:r>
      <w:r>
        <w:t xml:space="preserve">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 и соплах элеваторов в случае их присутствия;</w:t>
      </w: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pPr>
      <w:r>
        <w:t xml:space="preserve"> </w:t>
      </w:r>
      <w:r>
        <w:t xml:space="preserve">статическое давление в системе теплоснабжения не должно превышат</w:t>
      </w:r>
      <w:r>
        <w:t xml:space="preserve">ь допустимого давления в оборудовании источника теплоты, в тепловых сетях и системах теплопотребления, непосредственно присоединенных к сетям, и обеспечивать заполнение их водой; статическое давление должно определяться условно для температуры воды до 100 </w:t>
      </w:r>
      <w:r>
        <w:rPr>
          <w:vertAlign w:val="superscript"/>
        </w:rPr>
        <w:t xml:space="preserve">0</w:t>
      </w:r>
      <w:r>
        <w:t xml:space="preserve">С; </w:t>
      </w:r>
      <w:r>
        <w:t xml:space="preserve">для случаев аварийной остановки сетевых насосов или отключения отдельных участков тепловой сети при сложных рельефе местности и гидравлическом режиме допускается учитывать повышение статического давления во избежание кипения воды с температурой выше 100°С.</w:t>
      </w:r>
      <w:r/>
    </w:p>
    <w:p>
      <w:pPr>
        <w:pStyle w:val="12960"/>
        <w:pBdr/>
        <w:spacing/>
        <w:ind/>
        <w:rPr/>
      </w:pPr>
      <w:r>
        <w:t xml:space="preserve">Для учета взаимного влияния рельефа местности, высоты абонентских систем, поте</w:t>
      </w:r>
      <w:r>
        <w:t xml:space="preserve">рь давления в тепловых сетях и предъявляемых выше требований в процессе разработки гидравлического режима тепловой сети необходимо строить пьезометрический график. На пьезометрических графиках величины гидравлического потенциала выражены в единицах напора.</w:t>
      </w:r>
      <w:r/>
    </w:p>
    <w:p>
      <w:pPr>
        <w:pStyle w:val="12960"/>
        <w:pBdr/>
        <w:spacing/>
        <w:ind/>
        <w:rPr/>
      </w:pPr>
      <w:r>
        <w:t xml:space="preserve">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w:t>
      </w:r>
      <w:r>
        <w:t xml:space="preserve">м масштабе наносят рельеф местности, высоту присоединенных зданий, величины напоров в сети. На горизонтальной оси графика откладывают длину сети, а на вертикальной оси - напоры. Линии напоров в сети наносят как для рабочего, так и для статического режимов.</w:t>
      </w:r>
      <w:r/>
    </w:p>
    <w:p>
      <w:pPr>
        <w:pStyle w:val="12960"/>
        <w:pBdr/>
        <w:spacing/>
        <w:ind/>
        <w:rPr/>
      </w:pPr>
      <w:r>
        <w:t xml:space="preserve">Пьезометрические графики построены с учетом рекомендаций и параметров работы существующего оборудования на источниках тепла.</w:t>
      </w:r>
      <w:r/>
    </w:p>
    <w:p>
      <w:pPr>
        <w:pStyle w:val="12960"/>
        <w:pBdr/>
        <w:spacing/>
        <w:ind/>
        <w:rPr/>
      </w:pPr>
      <w:r>
        <w:t xml:space="preserve">Выводы по разработке гидравлического режима тепловых сетей.</w:t>
      </w:r>
      <w:r/>
    </w:p>
    <w:p>
      <w:pPr>
        <w:pStyle w:val="12960"/>
        <w:pBdr/>
        <w:spacing/>
        <w:ind/>
        <w:rPr/>
      </w:pPr>
      <w:r>
        <w:t xml:space="preserve">Данные выводы относятся ко всем рассмотренным теплотрассам.</w:t>
      </w:r>
      <w:r/>
    </w:p>
    <w:p>
      <w:pPr>
        <w:pStyle w:val="12960"/>
        <w:pBdr/>
        <w:spacing/>
        <w:ind/>
        <w:rPr/>
      </w:pPr>
      <w:r>
        <w:t xml:space="preserve">1) Давление</w:t>
      </w:r>
      <w:r>
        <w:t xml:space="preserve"> в отдельных точках системы не превышает пределы прочности, следовательно, нет необходимости предусматривать подключение отдельных потребителей по зависимой схеме или деление тепловых сетей на зоны с выбором для каждой зоны своей линии статического напора.</w:t>
      </w:r>
      <w:r/>
    </w:p>
    <w:p>
      <w:pPr>
        <w:pStyle w:val="12960"/>
        <w:pBdr/>
        <w:spacing/>
        <w:ind/>
        <w:rPr/>
      </w:pPr>
      <w:r>
        <w:t xml:space="preserve">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r/>
    </w:p>
    <w:p>
      <w:pPr>
        <w:pStyle w:val="12960"/>
        <w:pBdr/>
        <w:spacing/>
        <w:ind/>
        <w:rPr/>
      </w:pPr>
      <w:r>
        <w:t xml:space="preserve">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r/>
    </w:p>
    <w:p>
      <w:pPr>
        <w:pStyle w:val="12960"/>
        <w:pBdr/>
        <w:spacing/>
        <w:ind/>
        <w:rPr/>
      </w:pPr>
      <w:r>
        <w:t xml:space="preserve">4) Напоры на входе сетевых насосов и на выходе из источника теплоты, удовлетворяют всем требованиям, предъявляемым к гидравлическому режиму.</w:t>
      </w:r>
      <w:r/>
    </w:p>
    <w:p>
      <w:pPr>
        <w:pStyle w:val="12960"/>
        <w:pBdr/>
        <w:spacing/>
        <w:ind/>
        <w:rPr/>
      </w:pPr>
      <w:r>
        <w:t xml:space="preserve">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r/>
    </w:p>
    <w:p>
      <w:pPr>
        <w:pStyle w:val="12960"/>
        <w:pBdr/>
        <w:spacing/>
        <w:ind/>
        <w:rPr/>
      </w:pPr>
      <w:r>
        <w:t xml:space="preserve">Рекомендации по выполнению мероприятий на тепловых сетях.</w:t>
      </w:r>
      <w:r/>
    </w:p>
    <w:p>
      <w:pPr>
        <w:pStyle w:val="12960"/>
        <w:pBdr/>
        <w:spacing/>
        <w:ind/>
        <w:rPr/>
      </w:pPr>
      <w:r>
        <w:t xml:space="preserve">Для согласованной работы всех теплопотребителей и контроля параметров теплоносителя на отдельно взятом объекте, рекомендуем:</w:t>
      </w:r>
      <w:r/>
    </w:p>
    <w:p>
      <w:pPr>
        <w:pStyle w:val="12960"/>
        <w:pBdr/>
        <w:spacing/>
        <w:ind/>
        <w:rPr/>
      </w:pPr>
      <w:r>
        <w:t xml:space="preserve">1. Промыть систему отопления каждого здания и сооружения включая отопительные приборы.</w:t>
      </w:r>
      <w:r/>
    </w:p>
    <w:p>
      <w:pPr>
        <w:pStyle w:val="12960"/>
        <w:pBdr/>
        <w:spacing/>
        <w:ind/>
        <w:rPr/>
      </w:pPr>
      <w:r>
        <w:t xml:space="preserve">2. 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r/>
    </w:p>
    <w:p>
      <w:pPr>
        <w:pStyle w:val="12960"/>
        <w:pBdr/>
        <w:spacing/>
        <w:ind/>
        <w:rPr/>
      </w:pPr>
      <w:r>
        <w:t xml:space="preserve">- на подающем и обратном трубопроводе каждого здания или сооружения;</w:t>
      </w:r>
      <w:r/>
    </w:p>
    <w:p>
      <w:pPr>
        <w:pStyle w:val="12960"/>
        <w:pBdr/>
        <w:spacing/>
        <w:ind/>
        <w:rPr/>
      </w:pPr>
      <w:r>
        <w:t xml:space="preserve">- 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r/>
    </w:p>
    <w:p>
      <w:pPr>
        <w:pStyle w:val="12960"/>
        <w:pBdr/>
        <w:spacing/>
        <w:ind/>
        <w:rPr/>
      </w:pPr>
      <w:r>
        <w:t xml:space="preserve">3. 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r/>
    </w:p>
    <w:p>
      <w:pPr>
        <w:pStyle w:val="12960"/>
        <w:pBdr/>
        <w:spacing/>
        <w:ind/>
        <w:rPr/>
      </w:pPr>
      <w:r>
        <w:t xml:space="preserve">4. 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r/>
    </w:p>
    <w:p>
      <w:pPr>
        <w:pStyle w:val="12960"/>
        <w:pBdr/>
        <w:spacing/>
        <w:ind/>
        <w:rPr/>
      </w:pPr>
      <w:r>
        <w:t xml:space="preserve">5. Для обеспечения надёжной и бесперебойной работы внутре</w:t>
      </w:r>
      <w:r>
        <w:t xml:space="preserve">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r/>
    </w:p>
    <w:p>
      <w:pPr>
        <w:pStyle w:val="12960"/>
        <w:pBdr/>
        <w:spacing/>
        <w:ind/>
        <w:rPr/>
      </w:pPr>
      <w:r>
        <w:t xml:space="preserve">6. Для исключения перерасхода тепловой и электрической энергии, а также топлива котельной установить узлы учёта потребляемого тепла на каждом здании и сооружении.</w:t>
      </w:r>
      <w:r/>
    </w:p>
    <w:p>
      <w:pPr>
        <w:pStyle w:val="12960"/>
        <w:pBdr/>
        <w:spacing/>
        <w:ind/>
        <w:rPr/>
      </w:pPr>
      <w:r>
        <w:t xml:space="preserve">7. 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r/>
    </w:p>
    <w:p>
      <w:pPr>
        <w:pStyle w:val="12960"/>
        <w:pBdr/>
        <w:spacing/>
        <w:ind/>
        <w:rPr/>
      </w:pPr>
      <w:r>
        <w:t xml:space="preserve">8. 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r/>
    </w:p>
    <w:p>
      <w:pPr>
        <w:pStyle w:val="12960"/>
        <w:pBdr/>
        <w:spacing/>
        <w:ind/>
        <w:rPr/>
      </w:pPr>
      <w:r>
        <w:t xml:space="preserve"> </w:t>
      </w:r>
      <w:r>
        <w:t xml:space="preserve">- регулировать температуру теплоносителя, а, следовательно, и температуру внутри помещений в прямой зависимости от температуры наружного воздуха;</w:t>
      </w:r>
      <w:r/>
    </w:p>
    <w:p>
      <w:pPr>
        <w:pStyle w:val="12960"/>
        <w:pBdr/>
        <w:spacing/>
        <w:ind/>
        <w:rPr/>
      </w:pPr>
      <w:r>
        <w:t xml:space="preserve"> </w:t>
      </w:r>
      <w:r>
        <w:t xml:space="preserve">- 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r/>
    </w:p>
    <w:p>
      <w:pPr>
        <w:pStyle w:val="12960"/>
        <w:pBdr/>
        <w:spacing/>
        <w:ind/>
        <w:jc w:val="center"/>
        <w:rPr/>
      </w:pPr>
      <w:r/>
      <w:r/>
    </w:p>
    <w:p>
      <w:pPr>
        <w:pStyle w:val="12960"/>
        <w:pBdr/>
        <w:spacing/>
        <w:ind/>
        <w:jc w:val="center"/>
        <w:rPr/>
      </w:pPr>
      <w:r/>
      <w:r/>
    </w:p>
    <w:p>
      <w:pPr>
        <w:pStyle w:val="12960"/>
        <w:pBdr/>
        <w:spacing/>
        <w:ind/>
        <w:jc w:val="center"/>
        <w:rPr/>
        <w:sectPr>
          <w:headerReference w:type="default" r:id="rId112"/>
          <w:headerReference w:type="first" r:id="rId113"/>
          <w:footerReference w:type="default" r:id="rId380"/>
          <w:footerReference w:type="first" r:id="rId381"/>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24"/>
        </w:numPr>
        <w:pBdr/>
        <w:spacing/>
        <w:ind/>
        <w:rPr>
          <w:rFonts w:ascii="Times New Roman" w:hAnsi="Times New Roman" w:eastAsia="Times New Roman" w:cs="Times New Roman"/>
          <w:b/>
          <w:smallCaps/>
          <w:spacing w:val="0"/>
          <w:sz w:val="28"/>
          <w:szCs w:val="36"/>
          <w:lang w:eastAsia="en-US" w:bidi="en-US"/>
        </w:rPr>
      </w:pPr>
      <w:r/>
      <w:bookmarkStart w:id="726" w:name="_Toc166767237"/>
      <w:r/>
      <w:bookmarkStart w:id="727" w:name="_Toc9154872"/>
      <w:r/>
      <w:bookmarkStart w:id="728" w:name="_Toc84971018"/>
      <w:r/>
      <w:bookmarkStart w:id="729" w:name="_Toc198483577"/>
      <w:r>
        <w:rPr>
          <w:rFonts w:eastAsia="Times New Roman" w:cs="Times New Roman"/>
          <w:b/>
          <w:smallCaps/>
          <w:spacing w:val="0"/>
          <w:sz w:val="28"/>
          <w:szCs w:val="36"/>
          <w:lang w:eastAsia="en-US" w:bidi="en-US"/>
        </w:rPr>
        <w:t xml:space="preserve">Выводы о резервах (дефицитах) существующей системы теплоснабжения при обеспечении перспективной тепловой нагрузки потребителей</w:t>
      </w:r>
      <w:bookmarkEnd w:id="726"/>
      <w:r/>
      <w:bookmarkEnd w:id="727"/>
      <w:r/>
      <w:bookmarkEnd w:id="728"/>
      <w:r/>
      <w:bookmarkEnd w:id="729"/>
      <w:r/>
      <w:r>
        <w:rPr>
          <w:rFonts w:ascii="Times New Roman" w:hAnsi="Times New Roman" w:eastAsia="Times New Roman" w:cs="Times New Roman"/>
          <w:b/>
          <w:smallCaps/>
          <w:spacing w:val="0"/>
          <w:sz w:val="28"/>
          <w:szCs w:val="36"/>
          <w:lang w:eastAsia="en-US" w:bidi="en-US"/>
        </w:rPr>
      </w:r>
    </w:p>
    <w:p>
      <w:pPr>
        <w:pStyle w:val="12960"/>
        <w:pBdr/>
        <w:spacing/>
        <w:ind/>
        <w:rPr/>
      </w:pPr>
      <w:r/>
      <w:r/>
      <w:bookmarkStart w:id="731" w:name="_Hlk213994632"/>
      <w:r/>
      <w:bookmarkEnd w:id="731"/>
      <w:r>
        <w:t xml:space="preserve">Перспектива увеличения присоединенной нагрузки зависит от строительства новых объектов и восстановления существующих объектов потребления тепловой энергии. </w:t>
      </w:r>
      <w:r/>
    </w:p>
    <w:p>
      <w:pPr>
        <w:pStyle w:val="12960"/>
        <w:pBdr/>
        <w:spacing/>
        <w:ind/>
        <w:rPr/>
      </w:pPr>
      <w:r>
        <w:t xml:space="preserve">При этом необходимо отметить, что согласно п. 11.21 СП 89.13330.2016 «Котельные установки» количество водогрейных котлов (водопо</w:t>
      </w:r>
      <w:r>
        <w:t xml:space="preserve">догревателей) для систем отопления должно быть не менее двух, при этом в случае выхода из строя наибольшего по производительности котла, оставшиеся должны обеспечивать отпуск тепла потребителям в количестве, определяемом режимом наиболее холодного месяца. </w:t>
      </w:r>
      <w:r/>
    </w:p>
    <w:p>
      <w:pPr>
        <w:pStyle w:val="12960"/>
        <w:pBdr/>
        <w:spacing/>
        <w:ind/>
        <w:rPr/>
      </w:pPr>
      <w:r>
        <w:t xml:space="preserve">Работать без резервного котла нельзя, если в пиковые нагрузки включается резервный котёл, то принимается, что котельная не имеет резерва и к ней запрещено новое технологическое присоединение потребителей.</w:t>
        <w:tab/>
        <w:tab/>
        <w:tab/>
        <w:tab/>
      </w:r>
      <w:r/>
    </w:p>
    <w:p>
      <w:pPr>
        <w:pStyle w:val="12960"/>
        <w:pBdr/>
        <w:spacing/>
        <w:ind/>
        <w:rPr/>
        <w:sectPr>
          <w:headerReference w:type="default" r:id="rId114"/>
          <w:headerReference w:type="first" r:id="rId115"/>
          <w:footerReference w:type="default" r:id="rId382"/>
          <w:footerReference w:type="first" r:id="rId383"/>
          <w:footnotePr/>
          <w:endnotePr/>
          <w:type w:val="nextPage"/>
          <w:pgSz w:h="16838" w:orient="portrait" w:w="11906"/>
          <w:pgMar w:top="1134" w:right="850" w:bottom="1134" w:left="1701" w:header="567" w:footer="454" w:gutter="0"/>
          <w:cols w:num="1" w:sep="0" w:space="1701" w:equalWidth="1"/>
        </w:sectPr>
      </w:pPr>
      <w:r>
        <w:t xml:space="preserve">Целью составления балансо</w:t>
      </w:r>
      <w:r>
        <w:t xml:space="preserve">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r/>
    </w:p>
    <w:p>
      <w:pPr>
        <w:pStyle w:val="12960"/>
        <w:pBdr/>
        <w:spacing/>
        <w:ind/>
        <w:rPr>
          <w:b/>
          <w:bCs w:val="0"/>
        </w:rPr>
      </w:pPr>
      <w:r>
        <w:rPr>
          <w:b/>
          <w:bCs w:val="0"/>
        </w:rPr>
        <w:t xml:space="preserve">Таблица 4.3.1. – Резервы и дефициты существующей системы теплоснабжения при обеспечении перспективной тепловой нагрузки потребителей</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702"/>
        <w:gridCol w:w="1551"/>
        <w:gridCol w:w="1589"/>
        <w:gridCol w:w="1943"/>
        <w:gridCol w:w="1721"/>
        <w:gridCol w:w="1991"/>
        <w:gridCol w:w="2072"/>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702"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1551" w:type="dxa"/>
            <w:vAlign w:val="center"/>
          </w:tcPr>
          <w:p>
            <w:pPr>
              <w:pStyle w:val="12385"/>
              <w:pBdr/>
              <w:spacing/>
              <w:ind/>
              <w:rPr/>
            </w:pPr>
            <w:r>
              <w:t xml:space="preserve">Тепловая мощность нетто, Гкал/ч</w:t>
            </w:r>
            <w:r/>
          </w:p>
        </w:tc>
        <w:tc>
          <w:tcPr>
            <w:shd w:val="clear" w:color="000000" w:fill="d9d9d9"/>
            <w:tcBorders>
              <w:top w:val="single" w:color="000000" w:sz="4" w:space="0"/>
              <w:bottom w:val="single" w:color="000000" w:sz="4" w:space="0"/>
              <w:right w:val="single" w:color="000000" w:sz="4" w:space="0"/>
            </w:tcBorders>
            <w:tcW w:w="1589" w:type="dxa"/>
            <w:vAlign w:val="center"/>
          </w:tcPr>
          <w:p>
            <w:pPr>
              <w:pStyle w:val="12385"/>
              <w:pBdr/>
              <w:spacing/>
              <w:ind/>
              <w:rPr/>
            </w:pPr>
            <w:r>
              <w:t xml:space="preserve">Располагаемая тепловая мощность нетто (с учетом затрат на собственные нужды) при аварийном выводе самого мощного котла, Гкал/ч</w:t>
            </w:r>
            <w:r/>
          </w:p>
        </w:tc>
        <w:tc>
          <w:tcPr>
            <w:shd w:val="clear" w:color="000000" w:fill="d9d9d9"/>
            <w:tcBorders>
              <w:top w:val="single" w:color="000000" w:sz="4" w:space="0"/>
              <w:bottom w:val="single" w:color="000000" w:sz="4" w:space="0"/>
              <w:right w:val="single" w:color="000000" w:sz="4" w:space="0"/>
            </w:tcBorders>
            <w:tcW w:w="1943" w:type="dxa"/>
            <w:vAlign w:val="center"/>
          </w:tcPr>
          <w:p>
            <w:pPr>
              <w:pStyle w:val="12385"/>
              <w:pBdr/>
              <w:spacing/>
              <w:ind/>
              <w:rPr/>
            </w:pPr>
            <w:r>
              <w:t xml:space="preserve">Максимально допустимое значение тепловой нагрузки на коллекторах станции при аварийном выводе самого мощного пикового котла/турбоагрегата</w:t>
            </w:r>
            <w:r/>
          </w:p>
        </w:tc>
        <w:tc>
          <w:tcPr>
            <w:shd w:val="clear" w:color="000000" w:fill="d9d9d9"/>
            <w:tcBorders>
              <w:top w:val="single" w:color="000000" w:sz="4" w:space="0"/>
              <w:bottom w:val="single" w:color="000000" w:sz="4" w:space="0"/>
              <w:right w:val="single" w:color="000000" w:sz="4" w:space="0"/>
            </w:tcBorders>
            <w:tcW w:w="1721" w:type="dxa"/>
            <w:vAlign w:val="center"/>
          </w:tcPr>
          <w:p>
            <w:pPr>
              <w:pStyle w:val="12385"/>
              <w:pBdr/>
              <w:spacing/>
              <w:ind/>
              <w:rPr/>
            </w:pPr>
            <w:r>
              <w:t xml:space="preserve">Тепловая нагрузка с учетом потерь тепловой энергии при транспортировке, Гкал/час</w:t>
            </w:r>
            <w:r/>
          </w:p>
        </w:tc>
        <w:tc>
          <w:tcPr>
            <w:shd w:val="clear" w:color="000000" w:fill="d9d9d9"/>
            <w:tcBorders>
              <w:top w:val="single" w:color="000000" w:sz="4" w:space="0"/>
              <w:bottom w:val="single" w:color="000000" w:sz="4" w:space="0"/>
              <w:right w:val="single" w:color="000000" w:sz="4" w:space="0"/>
            </w:tcBorders>
            <w:tcW w:w="1991" w:type="dxa"/>
            <w:vAlign w:val="center"/>
          </w:tcPr>
          <w:p>
            <w:pPr>
              <w:pStyle w:val="12385"/>
              <w:pBdr/>
              <w:spacing/>
              <w:ind/>
              <w:rPr/>
            </w:pPr>
            <w:r>
              <w:t xml:space="preserve">Резерв/дефицит тепловой мощности (по фактической нагрузке) при аварийном выводе самого мощного пикового котла/турбоагрегата, Гкал/ч</w:t>
            </w:r>
            <w:r/>
          </w:p>
        </w:tc>
        <w:tc>
          <w:tcPr>
            <w:shd w:val="clear" w:color="000000" w:fill="d9d9d9"/>
            <w:tcBorders>
              <w:top w:val="single" w:color="000000" w:sz="4" w:space="0"/>
              <w:bottom w:val="single" w:color="000000" w:sz="4" w:space="0"/>
              <w:right w:val="single" w:color="000000" w:sz="4" w:space="0"/>
            </w:tcBorders>
            <w:tcW w:w="2072" w:type="dxa"/>
            <w:vAlign w:val="center"/>
          </w:tcPr>
          <w:p>
            <w:pPr>
              <w:pStyle w:val="12385"/>
              <w:pBdr/>
              <w:spacing/>
              <w:ind/>
              <w:rPr/>
            </w:pPr>
            <w:r>
              <w:t xml:space="preserve">Резерв/дефицит тепловой мощности (по фактической нагрузке) при аварийном выводе самого мощного пикового котла/турбоагрегата, %</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r/>
          </w:p>
        </w:tc>
        <w:tc>
          <w:tcPr>
            <w:tcBorders>
              <w:bottom w:val="single" w:color="000000" w:sz="4" w:space="0"/>
              <w:right w:val="single" w:color="000000" w:sz="4" w:space="0"/>
            </w:tcBorders>
            <w:tcW w:w="1589" w:type="dxa"/>
            <w:vAlign w:val="center"/>
          </w:tcPr>
          <w:p>
            <w:pPr>
              <w:pStyle w:val="12385"/>
              <w:pBdr/>
              <w:spacing/>
              <w:ind/>
              <w:rPr/>
            </w:pPr>
            <w:r/>
            <w:r/>
          </w:p>
        </w:tc>
        <w:tc>
          <w:tcPr>
            <w:tcBorders>
              <w:bottom w:val="single" w:color="000000" w:sz="4" w:space="0"/>
              <w:right w:val="single" w:color="000000" w:sz="4" w:space="0"/>
            </w:tcBorders>
            <w:tcW w:w="1943" w:type="dxa"/>
            <w:vAlign w:val="center"/>
          </w:tcPr>
          <w:p>
            <w:pPr>
              <w:pStyle w:val="12385"/>
              <w:pBdr/>
              <w:spacing/>
              <w:ind/>
              <w:rPr/>
            </w:pPr>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0,054</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0,032</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18,79</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0,343</w:t>
            </w:r>
            <w:r/>
          </w:p>
        </w:tc>
        <w:tc>
          <w:tcPr>
            <w:tcBorders>
              <w:bottom w:val="single" w:color="000000" w:sz="4" w:space="0"/>
              <w:right w:val="single" w:color="000000" w:sz="4" w:space="0"/>
            </w:tcBorders>
            <w:tcW w:w="1589" w:type="dxa"/>
            <w:vAlign w:val="center"/>
          </w:tcPr>
          <w:p>
            <w:pPr>
              <w:pStyle w:val="12385"/>
              <w:pBdr/>
              <w:spacing/>
              <w:ind/>
              <w:rPr/>
            </w:pPr>
            <w:r>
              <w:t xml:space="preserve">0,258</w:t>
            </w:r>
            <w:r/>
          </w:p>
        </w:tc>
        <w:tc>
          <w:tcPr>
            <w:tcBorders>
              <w:bottom w:val="single" w:color="000000" w:sz="4" w:space="0"/>
              <w:right w:val="single" w:color="000000" w:sz="4" w:space="0"/>
            </w:tcBorders>
            <w:tcW w:w="1943" w:type="dxa"/>
            <w:vAlign w:val="center"/>
          </w:tcPr>
          <w:p>
            <w:pPr>
              <w:pStyle w:val="12385"/>
              <w:pBdr/>
              <w:spacing/>
              <w:ind/>
              <w:rPr/>
            </w:pPr>
            <w:r>
              <w:t xml:space="preserve">0,258</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0,130</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0,128</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37,41</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0,073</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0,013</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7,46</w:t>
            </w: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3702" w:type="dxa"/>
            <w:vAlign w:val="center"/>
          </w:tcPr>
          <w:p>
            <w:pPr>
              <w:pStyle w:val="12385"/>
              <w:pBdr/>
              <w:spacing/>
              <w:ind/>
              <w:rPr/>
            </w:pPr>
            <w:r>
              <w:t xml:space="preserve">2026 год</w:t>
            </w:r>
            <w:r/>
          </w:p>
        </w:tc>
        <w:tc>
          <w:tcPr>
            <w:shd w:val="clear" w:color="000000" w:fill="ffffff"/>
            <w:tcBorders>
              <w:top w:val="single" w:color="000000" w:sz="4" w:space="0"/>
              <w:bottom w:val="single" w:color="000000" w:sz="4" w:space="0"/>
              <w:right w:val="single" w:color="000000" w:sz="4" w:space="0"/>
            </w:tcBorders>
            <w:tcW w:w="1551" w:type="dxa"/>
            <w:vAlign w:val="center"/>
          </w:tcPr>
          <w:p>
            <w:pPr>
              <w:pStyle w:val="12385"/>
              <w:pBdr/>
              <w:spacing/>
              <w:ind/>
              <w:rPr/>
            </w:pPr>
            <w:r/>
            <w:r/>
          </w:p>
        </w:tc>
        <w:tc>
          <w:tcPr>
            <w:tcBorders>
              <w:top w:val="single" w:color="000000" w:sz="4" w:space="0"/>
              <w:bottom w:val="single" w:color="000000" w:sz="4" w:space="0"/>
              <w:right w:val="single" w:color="000000" w:sz="4" w:space="0"/>
            </w:tcBorders>
            <w:tcW w:w="1589" w:type="dxa"/>
            <w:vAlign w:val="center"/>
          </w:tcPr>
          <w:p>
            <w:pPr>
              <w:pStyle w:val="12385"/>
              <w:pBdr/>
              <w:spacing/>
              <w:ind/>
              <w:rPr/>
            </w:pPr>
            <w:r/>
            <w:r/>
          </w:p>
        </w:tc>
        <w:tc>
          <w:tcPr>
            <w:tcBorders>
              <w:top w:val="single" w:color="000000" w:sz="4" w:space="0"/>
              <w:bottom w:val="single" w:color="000000" w:sz="4" w:space="0"/>
              <w:right w:val="single" w:color="000000" w:sz="4" w:space="0"/>
            </w:tcBorders>
            <w:tcW w:w="1943"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1721"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1991"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072"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0,054</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0,032</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18,79</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0,343</w:t>
            </w:r>
            <w:r/>
          </w:p>
        </w:tc>
        <w:tc>
          <w:tcPr>
            <w:tcBorders>
              <w:bottom w:val="single" w:color="000000" w:sz="4" w:space="0"/>
              <w:right w:val="single" w:color="000000" w:sz="4" w:space="0"/>
            </w:tcBorders>
            <w:tcW w:w="1589" w:type="dxa"/>
            <w:vAlign w:val="center"/>
          </w:tcPr>
          <w:p>
            <w:pPr>
              <w:pStyle w:val="12385"/>
              <w:pBdr/>
              <w:spacing/>
              <w:ind/>
              <w:rPr/>
            </w:pPr>
            <w:r>
              <w:t xml:space="preserve">0,258</w:t>
            </w:r>
            <w:r/>
          </w:p>
        </w:tc>
        <w:tc>
          <w:tcPr>
            <w:tcBorders>
              <w:bottom w:val="single" w:color="000000" w:sz="4" w:space="0"/>
              <w:right w:val="single" w:color="000000" w:sz="4" w:space="0"/>
            </w:tcBorders>
            <w:tcW w:w="1943" w:type="dxa"/>
            <w:vAlign w:val="center"/>
          </w:tcPr>
          <w:p>
            <w:pPr>
              <w:pStyle w:val="12385"/>
              <w:pBdr/>
              <w:spacing/>
              <w:ind/>
              <w:rPr/>
            </w:pPr>
            <w:r>
              <w:t xml:space="preserve">0,258</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0,130</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0,128</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37,41</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0,073</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0,013</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7,46</w:t>
            </w: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3702" w:type="dxa"/>
            <w:vAlign w:val="center"/>
          </w:tcPr>
          <w:p>
            <w:pPr>
              <w:pStyle w:val="12385"/>
              <w:pBdr/>
              <w:spacing/>
              <w:ind/>
              <w:rPr/>
            </w:pPr>
            <w:r>
              <w:t xml:space="preserve">2027-2028 год</w:t>
            </w:r>
            <w:r/>
          </w:p>
        </w:tc>
        <w:tc>
          <w:tcPr>
            <w:shd w:val="clear" w:color="000000" w:fill="ffffff"/>
            <w:tcBorders>
              <w:top w:val="single" w:color="000000" w:sz="4" w:space="0"/>
              <w:bottom w:val="single" w:color="000000" w:sz="4" w:space="0"/>
              <w:right w:val="single" w:color="000000" w:sz="4" w:space="0"/>
            </w:tcBorders>
            <w:tcW w:w="1551" w:type="dxa"/>
            <w:vAlign w:val="center"/>
          </w:tcPr>
          <w:p>
            <w:pPr>
              <w:pStyle w:val="12385"/>
              <w:pBdr/>
              <w:spacing/>
              <w:ind/>
              <w:rPr/>
            </w:pPr>
            <w:r/>
            <w:r/>
          </w:p>
        </w:tc>
        <w:tc>
          <w:tcPr>
            <w:tcBorders>
              <w:top w:val="single" w:color="000000" w:sz="4" w:space="0"/>
              <w:bottom w:val="single" w:color="000000" w:sz="4" w:space="0"/>
              <w:right w:val="single" w:color="000000" w:sz="4" w:space="0"/>
            </w:tcBorders>
            <w:tcW w:w="1589" w:type="dxa"/>
            <w:vAlign w:val="center"/>
          </w:tcPr>
          <w:p>
            <w:pPr>
              <w:pStyle w:val="12385"/>
              <w:pBdr/>
              <w:spacing/>
              <w:ind/>
              <w:rPr/>
            </w:pPr>
            <w:r/>
            <w:r/>
          </w:p>
        </w:tc>
        <w:tc>
          <w:tcPr>
            <w:tcBorders>
              <w:top w:val="single" w:color="000000" w:sz="4" w:space="0"/>
              <w:bottom w:val="single" w:color="000000" w:sz="4" w:space="0"/>
              <w:right w:val="single" w:color="000000" w:sz="4" w:space="0"/>
            </w:tcBorders>
            <w:tcW w:w="1943"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1721"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1991"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072"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0,054</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0,032</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18,79</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0,343</w:t>
            </w:r>
            <w:r/>
          </w:p>
        </w:tc>
        <w:tc>
          <w:tcPr>
            <w:tcBorders>
              <w:bottom w:val="single" w:color="000000" w:sz="4" w:space="0"/>
              <w:right w:val="single" w:color="000000" w:sz="4" w:space="0"/>
            </w:tcBorders>
            <w:tcW w:w="1589" w:type="dxa"/>
            <w:vAlign w:val="center"/>
          </w:tcPr>
          <w:p>
            <w:pPr>
              <w:pStyle w:val="12385"/>
              <w:pBdr/>
              <w:spacing/>
              <w:ind/>
              <w:rPr/>
            </w:pPr>
            <w:r>
              <w:t xml:space="preserve">0,258</w:t>
            </w:r>
            <w:r/>
          </w:p>
        </w:tc>
        <w:tc>
          <w:tcPr>
            <w:tcBorders>
              <w:bottom w:val="single" w:color="000000" w:sz="4" w:space="0"/>
              <w:right w:val="single" w:color="000000" w:sz="4" w:space="0"/>
            </w:tcBorders>
            <w:tcW w:w="1943" w:type="dxa"/>
            <w:vAlign w:val="center"/>
          </w:tcPr>
          <w:p>
            <w:pPr>
              <w:pStyle w:val="12385"/>
              <w:pBdr/>
              <w:spacing/>
              <w:ind/>
              <w:rPr/>
            </w:pPr>
            <w:r>
              <w:t xml:space="preserve">0,258</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0,130</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0,128</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37,41</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0,073</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0,013</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7,46</w:t>
            </w: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3702" w:type="dxa"/>
            <w:vAlign w:val="center"/>
          </w:tcPr>
          <w:p>
            <w:pPr>
              <w:pStyle w:val="12385"/>
              <w:pBdr/>
              <w:spacing/>
              <w:ind/>
              <w:rPr/>
            </w:pPr>
            <w:r>
              <w:t xml:space="preserve">2029-2038 годы</w:t>
            </w:r>
            <w:r/>
          </w:p>
        </w:tc>
        <w:tc>
          <w:tcPr>
            <w:shd w:val="clear" w:color="000000" w:fill="ffffff"/>
            <w:tcBorders>
              <w:top w:val="single" w:color="000000" w:sz="4" w:space="0"/>
              <w:bottom w:val="single" w:color="000000" w:sz="4" w:space="0"/>
              <w:right w:val="single" w:color="000000" w:sz="4" w:space="0"/>
            </w:tcBorders>
            <w:tcW w:w="1551" w:type="dxa"/>
            <w:vAlign w:val="center"/>
          </w:tcPr>
          <w:p>
            <w:pPr>
              <w:pStyle w:val="12385"/>
              <w:pBdr/>
              <w:spacing/>
              <w:ind/>
              <w:rPr/>
            </w:pPr>
            <w:r/>
            <w:r/>
          </w:p>
        </w:tc>
        <w:tc>
          <w:tcPr>
            <w:tcBorders>
              <w:top w:val="single" w:color="000000" w:sz="4" w:space="0"/>
              <w:bottom w:val="single" w:color="000000" w:sz="4" w:space="0"/>
              <w:right w:val="single" w:color="000000" w:sz="4" w:space="0"/>
            </w:tcBorders>
            <w:tcW w:w="1589" w:type="dxa"/>
            <w:vAlign w:val="center"/>
          </w:tcPr>
          <w:p>
            <w:pPr>
              <w:pStyle w:val="12385"/>
              <w:pBdr/>
              <w:spacing/>
              <w:ind/>
              <w:rPr/>
            </w:pPr>
            <w:r/>
            <w:r/>
          </w:p>
        </w:tc>
        <w:tc>
          <w:tcPr>
            <w:tcBorders>
              <w:top w:val="single" w:color="000000" w:sz="4" w:space="0"/>
              <w:bottom w:val="single" w:color="000000" w:sz="4" w:space="0"/>
              <w:right w:val="single" w:color="000000" w:sz="4" w:space="0"/>
            </w:tcBorders>
            <w:tcW w:w="1943"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1721"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1991"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072"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0,054</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0,032</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18,79</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0,343</w:t>
            </w:r>
            <w:r/>
          </w:p>
        </w:tc>
        <w:tc>
          <w:tcPr>
            <w:tcBorders>
              <w:bottom w:val="single" w:color="000000" w:sz="4" w:space="0"/>
              <w:right w:val="single" w:color="000000" w:sz="4" w:space="0"/>
            </w:tcBorders>
            <w:tcW w:w="1589" w:type="dxa"/>
            <w:vAlign w:val="center"/>
          </w:tcPr>
          <w:p>
            <w:pPr>
              <w:pStyle w:val="12385"/>
              <w:pBdr/>
              <w:spacing/>
              <w:ind/>
              <w:rPr/>
            </w:pPr>
            <w:r>
              <w:t xml:space="preserve">0,258</w:t>
            </w:r>
            <w:r/>
          </w:p>
        </w:tc>
        <w:tc>
          <w:tcPr>
            <w:tcBorders>
              <w:bottom w:val="single" w:color="000000" w:sz="4" w:space="0"/>
              <w:right w:val="single" w:color="000000" w:sz="4" w:space="0"/>
            </w:tcBorders>
            <w:tcW w:w="1943" w:type="dxa"/>
            <w:vAlign w:val="center"/>
          </w:tcPr>
          <w:p>
            <w:pPr>
              <w:pStyle w:val="12385"/>
              <w:pBdr/>
              <w:spacing/>
              <w:ind/>
              <w:rPr/>
            </w:pPr>
            <w:r>
              <w:t xml:space="preserve">0,258</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0,130</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0,128</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t xml:space="preserve">37,41</w:t>
            </w:r>
            <w:r/>
          </w:p>
        </w:tc>
      </w:tr>
      <w:tr>
        <w:trPr>
          <w:trHeight w:val="20"/>
        </w:trPr>
        <w:tc>
          <w:tcPr>
            <w:shd w:val="clear" w:color="000000" w:fill="ffffff"/>
            <w:tcBorders>
              <w:left w:val="single" w:color="000000" w:sz="4" w:space="0"/>
              <w:bottom w:val="single" w:color="000000" w:sz="4" w:space="0"/>
              <w:right w:val="single" w:color="000000" w:sz="4" w:space="0"/>
            </w:tcBorders>
            <w:tcW w:w="3702"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551" w:type="dxa"/>
            <w:vAlign w:val="center"/>
          </w:tcPr>
          <w:p>
            <w:pPr>
              <w:pStyle w:val="12385"/>
              <w:pBdr/>
              <w:spacing/>
              <w:ind/>
              <w:rPr/>
            </w:pPr>
            <w:r>
              <w:t xml:space="preserve">0,171</w:t>
            </w:r>
            <w:r/>
          </w:p>
        </w:tc>
        <w:tc>
          <w:tcPr>
            <w:tcBorders>
              <w:bottom w:val="single" w:color="000000" w:sz="4" w:space="0"/>
              <w:right w:val="single" w:color="000000" w:sz="4" w:space="0"/>
            </w:tcBorders>
            <w:tcW w:w="1589" w:type="dxa"/>
            <w:vAlign w:val="center"/>
          </w:tcPr>
          <w:p>
            <w:pPr>
              <w:pStyle w:val="12385"/>
              <w:pBdr/>
              <w:spacing/>
              <w:ind/>
              <w:rPr/>
            </w:pPr>
            <w:r>
              <w:t xml:space="preserve">0,086</w:t>
            </w:r>
            <w:r/>
          </w:p>
        </w:tc>
        <w:tc>
          <w:tcPr>
            <w:tcBorders>
              <w:bottom w:val="single" w:color="000000" w:sz="4" w:space="0"/>
              <w:right w:val="single" w:color="000000" w:sz="4" w:space="0"/>
            </w:tcBorders>
            <w:tcW w:w="1943" w:type="dxa"/>
            <w:vAlign w:val="center"/>
          </w:tcPr>
          <w:p>
            <w:pPr>
              <w:pStyle w:val="12385"/>
              <w:pBdr/>
              <w:spacing/>
              <w:ind/>
              <w:rPr/>
            </w:pPr>
            <w:r>
              <w:t xml:space="preserve">0,086</w:t>
            </w:r>
            <w:r/>
          </w:p>
        </w:tc>
        <w:tc>
          <w:tcPr>
            <w:shd w:val="clear" w:color="000000" w:fill="ffffff"/>
            <w:tcBorders>
              <w:bottom w:val="single" w:color="000000" w:sz="4" w:space="0"/>
              <w:right w:val="single" w:color="000000" w:sz="4" w:space="0"/>
            </w:tcBorders>
            <w:tcW w:w="1721" w:type="dxa"/>
            <w:vAlign w:val="center"/>
          </w:tcPr>
          <w:p>
            <w:pPr>
              <w:pStyle w:val="12385"/>
              <w:pBdr/>
              <w:spacing/>
              <w:ind/>
              <w:rPr/>
            </w:pPr>
            <w:r>
              <w:t xml:space="preserve">0,073</w:t>
            </w:r>
            <w:r/>
          </w:p>
        </w:tc>
        <w:tc>
          <w:tcPr>
            <w:shd w:val="clear" w:color="000000" w:fill="ffffff"/>
            <w:tcBorders>
              <w:bottom w:val="single" w:color="000000" w:sz="4" w:space="0"/>
              <w:right w:val="single" w:color="000000" w:sz="4" w:space="0"/>
            </w:tcBorders>
            <w:tcW w:w="1991" w:type="dxa"/>
            <w:vAlign w:val="center"/>
          </w:tcPr>
          <w:p>
            <w:pPr>
              <w:pStyle w:val="12385"/>
              <w:pBdr/>
              <w:spacing/>
              <w:ind/>
              <w:rPr/>
            </w:pPr>
            <w:r>
              <w:t xml:space="preserve">0,013</w:t>
            </w:r>
            <w:r/>
          </w:p>
        </w:tc>
        <w:tc>
          <w:tcPr>
            <w:shd w:val="clear" w:color="000000" w:fill="ffffff"/>
            <w:tcBorders>
              <w:bottom w:val="single" w:color="000000" w:sz="4" w:space="0"/>
              <w:right w:val="single" w:color="000000" w:sz="4" w:space="0"/>
            </w:tcBorders>
            <w:tcW w:w="2072" w:type="dxa"/>
            <w:vAlign w:val="center"/>
          </w:tcPr>
          <w:p>
            <w:pPr>
              <w:pStyle w:val="12385"/>
              <w:pBdr/>
              <w:spacing/>
              <w:ind/>
              <w:rPr/>
            </w:pPr>
            <w:r/>
            <w:bookmarkStart w:id="732" w:name="_Hlk212940049"/>
            <w:r>
              <w:t xml:space="preserve">7,46</w:t>
            </w:r>
            <w:bookmarkEnd w:id="732"/>
            <w:r/>
            <w:r/>
          </w:p>
        </w:tc>
      </w:tr>
    </w:tbl>
    <w:p>
      <w:pPr>
        <w:pBdr/>
        <w:spacing/>
        <w:ind/>
        <w:rPr/>
        <w:sectPr>
          <w:headerReference w:type="default" r:id="rId116"/>
          <w:headerReference w:type="first" r:id="rId117"/>
          <w:footerReference w:type="default" r:id="rId384"/>
          <w:footerReference w:type="first" r:id="rId385"/>
          <w:footnotePr/>
          <w:endnotePr/>
          <w:type w:val="nextPage"/>
          <w:pgSz w:h="11906" w:orient="landscape" w:w="16838"/>
          <w:pgMar w:top="1701" w:right="1134" w:bottom="851" w:left="1134" w:header="567" w:footer="454" w:gutter="0"/>
          <w:cols w:num="1" w:sep="0" w:space="1701" w:equalWidth="1"/>
        </w:sectPr>
      </w:pPr>
      <w:r/>
      <w:r/>
    </w:p>
    <w:p>
      <w:pPr>
        <w:pStyle w:val="12960"/>
        <w:pBdr/>
        <w:spacing/>
        <w:ind/>
        <w:rPr/>
      </w:pPr>
      <w:r>
        <w:t xml:space="preserve">При рассмотрении котельных с учетом выделения одного котл</w:t>
      </w:r>
      <w:r>
        <w:t xml:space="preserve">а, как резервного, который покроет недостаток мощности при выходе из строя наибольшего по производительности котла на котельных не выявлен дефицит тепловой мощности (по фактической нагрузке) при аварийном выводе самого мощного пикового котла/турбоагрегата.</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bookmarkStart w:id="734" w:name="_Hlk213994632"/>
      <w:r/>
      <w:bookmarkEnd w:id="734"/>
      <w:r/>
      <w:r/>
    </w:p>
    <w:p>
      <w:pPr>
        <w:pStyle w:val="12960"/>
        <w:pBdr/>
        <w:spacing/>
        <w:ind w:firstLine="0"/>
        <w:rPr/>
        <w:sectPr>
          <w:headerReference w:type="default" r:id="rId118"/>
          <w:headerReference w:type="first" r:id="rId119"/>
          <w:footerReference w:type="default" r:id="rId386"/>
          <w:footerReference w:type="first" r:id="rId387"/>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sectPr>
          <w:headerReference w:type="default" r:id="rId120"/>
          <w:headerReference w:type="first" r:id="rId121"/>
          <w:footerReference w:type="default" r:id="rId388"/>
          <w:footerReference w:type="first" r:id="rId389"/>
          <w:footnotePr/>
          <w:endnotePr/>
          <w:type w:val="nextPage"/>
          <w:pgSz w:h="16838" w:orient="portrait" w:w="11906"/>
          <w:pgMar w:top="1134" w:right="850" w:bottom="1134" w:left="1701" w:header="567" w:footer="454" w:gutter="0"/>
          <w:cols w:num="1" w:sep="0" w:space="1701" w:equalWidth="1"/>
        </w:sectPr>
      </w:pPr>
      <w:r/>
      <w:bookmarkStart w:id="735" w:name="_Toc198483578"/>
      <w:r/>
      <w:bookmarkStart w:id="736" w:name="_Toc166767238"/>
      <w:r/>
      <w:bookmarkStart w:id="737" w:name="_Toc84971019"/>
      <w:r/>
      <w:bookmarkStart w:id="738" w:name="_Toc9154873"/>
      <w:r>
        <w:rPr>
          <w:spacing w:val="0"/>
        </w:rPr>
        <w:t xml:space="preserve">ГЛАВА 5. МАСТЕР-ПЛАН РАЗВИТИЯ СИСТЕМЫ ТЕПЛОСНАБЖЕНИЯ ПОСЕЛЕНИЯ</w:t>
      </w:r>
      <w:bookmarkEnd w:id="735"/>
      <w:r/>
      <w:bookmarkEnd w:id="736"/>
      <w:r/>
      <w:bookmarkEnd w:id="737"/>
      <w:r/>
      <w:bookmarkEnd w:id="738"/>
      <w:r/>
      <w:r>
        <w:rPr>
          <w:spacing w:val="0"/>
        </w:rPr>
      </w:r>
    </w:p>
    <w:p>
      <w:pPr>
        <w:pStyle w:val="10534"/>
        <w:numPr>
          <w:ilvl w:val="0"/>
          <w:numId w:val="125"/>
        </w:numPr>
        <w:pBdr/>
        <w:spacing/>
        <w:ind/>
        <w:rPr>
          <w:rFonts w:ascii="Times New Roman" w:hAnsi="Times New Roman" w:eastAsia="Times New Roman" w:cs="Times New Roman"/>
          <w:b/>
          <w:smallCaps/>
          <w:spacing w:val="0"/>
          <w:sz w:val="28"/>
          <w:szCs w:val="36"/>
          <w:lang w:eastAsia="en-US" w:bidi="en-US"/>
        </w:rPr>
      </w:pPr>
      <w:r/>
      <w:bookmarkStart w:id="739" w:name="_Toc198483579"/>
      <w:r/>
      <w:bookmarkStart w:id="740" w:name="_Toc166767239"/>
      <w:r/>
      <w:bookmarkStart w:id="741" w:name="_Toc84971020"/>
      <w:r/>
      <w:bookmarkStart w:id="742" w:name="_Toc9154874"/>
      <w:r>
        <w:rPr>
          <w:rFonts w:eastAsia="Times New Roman" w:cs="Times New Roman"/>
          <w:b/>
          <w:smallCaps/>
          <w:spacing w:val="0"/>
          <w:sz w:val="28"/>
          <w:szCs w:val="36"/>
          <w:lang w:eastAsia="en-US" w:bidi="en-US"/>
        </w:rPr>
        <w:t xml:space="preserve">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739"/>
      <w:r/>
      <w:bookmarkEnd w:id="740"/>
      <w:r/>
      <w:bookmarkEnd w:id="741"/>
      <w:r/>
      <w:bookmarkEnd w:id="742"/>
      <w:r/>
      <w:r>
        <w:rPr>
          <w:rFonts w:ascii="Times New Roman" w:hAnsi="Times New Roman" w:eastAsia="Times New Roman" w:cs="Times New Roman"/>
          <w:b/>
          <w:smallCaps/>
          <w:spacing w:val="0"/>
          <w:sz w:val="28"/>
          <w:szCs w:val="36"/>
          <w:lang w:eastAsia="en-US" w:bidi="en-US"/>
        </w:rPr>
      </w:r>
    </w:p>
    <w:p>
      <w:pPr>
        <w:pStyle w:val="12960"/>
        <w:pBdr/>
        <w:spacing/>
        <w:ind/>
        <w:rPr/>
      </w:pPr>
      <w:r/>
      <w:bookmarkStart w:id="743" w:name="_Hlk169894250"/>
      <w:r/>
      <w:bookmarkStart w:id="744" w:name="_Hlk213996155"/>
      <w:r/>
      <w:bookmarkStart w:id="745" w:name="_Hlk143671003"/>
      <w:r/>
      <w:bookmarkStart w:id="746" w:name="_Hlk198485247"/>
      <w:r/>
      <w:bookmarkEnd w:id="743"/>
      <w:r/>
      <w:bookmarkEnd w:id="744"/>
      <w:r/>
      <w:bookmarkEnd w:id="745"/>
      <w:r/>
      <w:bookmarkEnd w:id="746"/>
      <w:r>
        <w:t xml:space="preserve">В Мастер-плане сформировано 2 варианта развития системы теплоснабжения муниципального образования. </w:t>
      </w:r>
      <w:r/>
    </w:p>
    <w:p>
      <w:pPr>
        <w:pStyle w:val="12960"/>
        <w:pBdr/>
        <w:spacing/>
        <w:ind/>
        <w:rPr/>
      </w:pPr>
      <w:r>
        <w:t xml:space="preserve">1 вариант предполагает существующей системы теплоснабжения с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w:t>
      </w:r>
      <w:r/>
    </w:p>
    <w:p>
      <w:pPr>
        <w:pStyle w:val="12960"/>
        <w:pBdr/>
        <w:spacing/>
        <w:ind/>
        <w:rPr/>
      </w:pPr>
      <w:r>
        <w:t xml:space="preserve">Предпосылкой для разработки Варианта послужили Требования к схемам теплоснабжения (Постановление Правительства Российской Федерации </w:t>
      </w:r>
      <w:r>
        <w:rPr>
          <w:color w:val="000000"/>
        </w:rPr>
        <w:t xml:space="preserve">№ 154</w:t>
      </w:r>
      <w:r>
        <w:rPr>
          <w:color w:val="000000"/>
        </w:rPr>
        <w:t xml:space="preserve"> </w:t>
      </w:r>
      <w:r>
        <w:t xml:space="preserve">от 22 февраля 2012 г). </w:t>
      </w:r>
      <w:r/>
    </w:p>
    <w:p>
      <w:pPr>
        <w:pStyle w:val="12960"/>
        <w:pBdr/>
        <w:spacing/>
        <w:ind/>
        <w:rPr/>
      </w:pPr>
      <w:r>
        <w:t xml:space="preserve">В целях повышения качества централизованного теплоснабжения на территории муниципального образования предлагается оснащение источника приборами учета, а также выполнение следующих мероприятий:</w:t>
      </w:r>
      <w:r/>
    </w:p>
    <w:p>
      <w:pPr>
        <w:pStyle w:val="13832"/>
        <w:numPr>
          <w:ilvl w:val="0"/>
          <w:numId w:val="61"/>
        </w:numPr>
        <w:pBdr/>
        <w:spacing/>
        <w:ind w:hanging="284" w:left="1135"/>
        <w:rPr/>
      </w:pPr>
      <w:r>
        <w:t xml:space="preserve">Обеспечение потребителей приборами учета тепловой энергии. </w:t>
      </w:r>
      <w:r/>
    </w:p>
    <w:p>
      <w:pPr>
        <w:pStyle w:val="13832"/>
        <w:numPr>
          <w:ilvl w:val="0"/>
          <w:numId w:val="61"/>
        </w:numPr>
        <w:pBdr/>
        <w:spacing/>
        <w:ind w:hanging="284" w:left="1135"/>
        <w:rPr/>
      </w:pPr>
      <w:r>
        <w:t xml:space="preserve">Строительство тепловых сетей к существующим и новым потребителям по мере износа</w:t>
      </w:r>
      <w:r/>
    </w:p>
    <w:p>
      <w:pPr>
        <w:pStyle w:val="12960"/>
        <w:pBdr/>
        <w:spacing/>
        <w:ind/>
        <w:rPr/>
      </w:pPr>
      <w:r>
        <w:t xml:space="preserve">Данный вариант р</w:t>
      </w:r>
      <w:r>
        <w:t xml:space="preserve">азвития системы теплоснабжения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r/>
    </w:p>
    <w:p>
      <w:pPr>
        <w:pStyle w:val="12960"/>
        <w:pBdr/>
        <w:spacing/>
        <w:ind/>
        <w:rPr/>
      </w:pPr>
      <w:r/>
      <w:r/>
    </w:p>
    <w:p>
      <w:pPr>
        <w:pStyle w:val="12960"/>
        <w:pBdr/>
        <w:spacing/>
        <w:ind/>
        <w:rPr/>
      </w:pPr>
      <w:r/>
      <w:r/>
      <w:bookmarkStart w:id="748" w:name="_Hlk216659313"/>
      <w:r/>
      <w:bookmarkEnd w:id="748"/>
      <w:r>
        <w:t xml:space="preserve">2 вариант сохранение существующей системы теплоснабжения с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w:t>
      </w:r>
      <w:bookmarkStart w:id="749" w:name="_Hlk208771678"/>
      <w:r/>
      <w:r/>
    </w:p>
    <w:p>
      <w:pPr>
        <w:pStyle w:val="12960"/>
        <w:pBdr/>
        <w:spacing/>
        <w:ind/>
        <w:rPr/>
      </w:pPr>
      <w:r>
        <w:t xml:space="preserve">Развитие тепловых сетей выполняется с подключением новых абонентов, а также выполняется ремонт и замена существующих. Строительство резервных трубопроводных связей между смежными трубопроводами, нецелесообразно.</w:t>
      </w:r>
      <w:r/>
    </w:p>
    <w:p>
      <w:pPr>
        <w:pStyle w:val="12960"/>
        <w:pBdr/>
        <w:spacing/>
        <w:ind/>
        <w:rPr/>
      </w:pPr>
      <w:r>
        <w:t xml:space="preserve">Резервные трубопроводные соединения между</w:t>
      </w:r>
      <w:r>
        <w:t xml:space="preserve"> смежными трубопроводами — это элементы тепловых сетей, которые обеспечивают резервную подачу теплоты потребителям при отказах. Такие соединения могут быть в виде перемычек между тепловыми сетями смежных тепловых районов или в виде резервных теплопроводов.</w:t>
      </w:r>
      <w:bookmarkEnd w:id="749"/>
      <w:r/>
      <w:r/>
    </w:p>
    <w:p>
      <w:pPr>
        <w:pStyle w:val="12960"/>
        <w:pBdr/>
        <w:spacing/>
        <w:ind/>
        <w:rPr/>
      </w:pPr>
      <w:r>
        <w:t xml:space="preserve">Предпосылкой для разработки Варианта послужили Требования к схемам теплоснабжения (Постановление Правительства Российской Федерации </w:t>
      </w:r>
      <w:r>
        <w:rPr>
          <w:color w:val="000000"/>
        </w:rPr>
        <w:t xml:space="preserve">№ 154</w:t>
      </w:r>
      <w:r>
        <w:t xml:space="preserve"> от 22 февраля 2012 г). </w:t>
      </w:r>
      <w:r/>
    </w:p>
    <w:p>
      <w:pPr>
        <w:pStyle w:val="12960"/>
        <w:pBdr/>
        <w:spacing/>
        <w:ind/>
        <w:rPr/>
      </w:pPr>
      <w:r>
        <w:t xml:space="preserve">В целях повышения качества централизованного теплоснабжения предлагается выполнение следующих мероприятий:</w:t>
      </w:r>
      <w:r/>
    </w:p>
    <w:p>
      <w:pPr>
        <w:pStyle w:val="13832"/>
        <w:numPr>
          <w:ilvl w:val="0"/>
          <w:numId w:val="61"/>
        </w:numPr>
        <w:pBdr/>
        <w:spacing/>
        <w:ind w:hanging="284" w:left="1135"/>
        <w:rPr/>
      </w:pPr>
      <w:r/>
      <w:r>
        <w:t xml:space="preserve">Техническое обследование сооружений и сетей теплоснабжения;</w:t>
      </w:r>
      <w:r/>
    </w:p>
    <w:p>
      <w:pPr>
        <w:pStyle w:val="13832"/>
        <w:numPr>
          <w:ilvl w:val="0"/>
          <w:numId w:val="61"/>
        </w:numPr>
        <w:pBdr/>
        <w:spacing/>
        <w:ind w:hanging="284" w:left="1135"/>
        <w:rPr/>
      </w:pPr>
      <w:r>
        <w:t xml:space="preserve">Установка водоподготовительных установок;</w:t>
      </w:r>
      <w:r/>
    </w:p>
    <w:p>
      <w:pPr>
        <w:pStyle w:val="13832"/>
        <w:numPr>
          <w:ilvl w:val="0"/>
          <w:numId w:val="61"/>
        </w:numPr>
        <w:pBdr/>
        <w:spacing/>
        <w:ind w:hanging="284" w:left="1135"/>
        <w:rPr/>
      </w:pPr>
      <w:r>
        <w:t xml:space="preserve">Установка дизель-генераторных установок;</w:t>
      </w:r>
      <w:r/>
    </w:p>
    <w:p>
      <w:pPr>
        <w:pStyle w:val="13832"/>
        <w:numPr>
          <w:ilvl w:val="0"/>
          <w:numId w:val="61"/>
        </w:numPr>
        <w:pBdr/>
        <w:spacing/>
        <w:ind w:hanging="284" w:left="1135"/>
        <w:rPr/>
      </w:pPr>
      <w:r/>
      <w:bookmarkStart w:id="751" w:name="_Hlk216402720"/>
      <w:r/>
      <w:bookmarkStart w:id="752" w:name="_Hlk208771896"/>
      <w:r/>
      <w:bookmarkStart w:id="753" w:name="_Hlk213997792"/>
      <w:r>
        <w:t xml:space="preserve">Реконструкция участков тепловых сетей, подлежащих замене в связи с исчерпанием эксплуатационного ресурса</w:t>
      </w:r>
      <w:bookmarkEnd w:id="751"/>
      <w:r/>
      <w:bookmarkEnd w:id="752"/>
      <w:r/>
      <w:bookmarkEnd w:id="753"/>
      <w:r/>
      <w:r/>
    </w:p>
    <w:p>
      <w:pPr>
        <w:pStyle w:val="12960"/>
        <w:pBdr/>
        <w:spacing/>
        <w:ind/>
        <w:rPr/>
      </w:pPr>
      <w:r>
        <w:t xml:space="preserve">Данный вариант развития системы теплоснабжения предлагает большие капиталовложения с большим сроком окупаемости, что повлияет на увеличение динамики роста тарифов на тепловую энергию.</w:t>
      </w:r>
      <w:r/>
    </w:p>
    <w:p>
      <w:pPr>
        <w:pStyle w:val="12960"/>
        <w:pBdr/>
        <w:spacing/>
        <w:ind/>
        <w:rPr/>
      </w:pPr>
      <w:r/>
      <w:r/>
    </w:p>
    <w:p>
      <w:pPr>
        <w:pStyle w:val="12960"/>
        <w:pBdr/>
        <w:spacing/>
        <w:ind/>
        <w:rPr/>
      </w:pPr>
      <w:r/>
      <w:bookmarkStart w:id="754" w:name="_Hlk169894250"/>
      <w:r/>
      <w:bookmarkStart w:id="755" w:name="_Hlk213996155"/>
      <w:r/>
      <w:bookmarkStart w:id="756" w:name="_Hlk198485247"/>
      <w:r/>
      <w:bookmarkStart w:id="757" w:name="_Hlk216659313"/>
      <w:r/>
      <w:bookmarkStart w:id="758" w:name="_Toc198483580"/>
      <w:r/>
      <w:bookmarkStart w:id="759" w:name="_Toc9154876"/>
      <w:r/>
      <w:bookmarkStart w:id="760" w:name="_Toc166767241"/>
      <w:r/>
      <w:bookmarkStart w:id="761" w:name="_Toc84971022"/>
      <w:r/>
      <w:bookmarkStart w:id="762" w:name="_Hlk198486780"/>
      <w:r/>
      <w:bookmarkEnd w:id="754"/>
      <w:r/>
      <w:bookmarkEnd w:id="755"/>
      <w:r/>
      <w:bookmarkEnd w:id="756"/>
      <w:r/>
      <w:bookmarkEnd w:id="757"/>
      <w:r/>
      <w:bookmarkEnd w:id="762"/>
      <w:r>
        <w:t xml:space="preserve">Технико-экономическое сравнение вариантов перспективного развития систем теплоснабжения поселения</w:t>
      </w:r>
      <w:bookmarkEnd w:id="758"/>
      <w:r/>
      <w:bookmarkEnd w:id="759"/>
      <w:r/>
      <w:bookmarkEnd w:id="760"/>
      <w:r/>
      <w:bookmarkEnd w:id="761"/>
      <w:r/>
      <w:r/>
    </w:p>
    <w:p>
      <w:pPr>
        <w:pStyle w:val="12960"/>
        <w:pBdr/>
        <w:spacing/>
        <w:ind/>
        <w:rPr/>
      </w:pPr>
      <w:r/>
      <w:bookmarkStart w:id="763" w:name="_Hlk198486780"/>
      <w:r/>
      <w:bookmarkStart w:id="764" w:name="_Hlk208771766"/>
      <w:r/>
      <w:bookmarkStart w:id="765" w:name="_Hlk213997444"/>
      <w:r/>
      <w:bookmarkStart w:id="766" w:name="_Hlk205236588"/>
      <w:r/>
      <w:bookmarkEnd w:id="763"/>
      <w:r/>
      <w:bookmarkEnd w:id="764"/>
      <w:r/>
      <w:bookmarkEnd w:id="765"/>
      <w:r/>
      <w:bookmarkEnd w:id="766"/>
      <w:r>
        <w:t xml:space="preserve">1 вариант разви</w:t>
      </w:r>
      <w:r>
        <w:t xml:space="preserve">тия системы теплоснабжения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не обеспечит возможность подключения новых потребителей. </w:t>
      </w:r>
      <w:r/>
    </w:p>
    <w:p>
      <w:pPr>
        <w:pStyle w:val="12960"/>
        <w:pBdr/>
        <w:spacing/>
        <w:ind/>
        <w:rPr/>
      </w:pPr>
      <w:r/>
      <w:bookmarkStart w:id="767" w:name="_Hlk216659362"/>
      <w:r/>
      <w:bookmarkEnd w:id="767"/>
      <w:r>
        <w:t xml:space="preserve">2 вариант развития системы теплоснабжения предлагает большие капиталов</w:t>
      </w:r>
      <w:r>
        <w:t xml:space="preserve">ложения с большим сроком окупаемости, это также не повлияет на увеличение динамики роста тарифов на тепловую энергию. Однако данный вариант обеспечит повышение надежности системы теплоснабжения, а также обеспечит возможность подключения новых потребителей.</w:t>
      </w:r>
      <w:r/>
    </w:p>
    <w:p>
      <w:pPr>
        <w:pStyle w:val="12960"/>
        <w:pBdr/>
        <w:spacing/>
        <w:ind/>
        <w:rPr>
          <w:sz w:val="20"/>
          <w:lang w:eastAsia="en-US"/>
        </w:rPr>
      </w:pPr>
      <w:r>
        <w:rPr>
          <w:sz w:val="20"/>
          <w:lang w:eastAsia="en-US"/>
        </w:rPr>
      </w:r>
      <w:r/>
      <w:r/>
      <w:bookmarkStart w:id="770" w:name="_Hlk213997444"/>
      <w:r/>
      <w:bookmarkStart w:id="771" w:name="_Hlk216659362"/>
      <w:r/>
      <w:bookmarkEnd w:id="770"/>
      <w:r/>
      <w:bookmarkEnd w:id="771"/>
      <w:r>
        <w:br w:type="page" w:clear="all"/>
      </w:r>
      <w:r>
        <w:rPr>
          <w:sz w:val="20"/>
          <w:lang w:eastAsia="en-US"/>
        </w:rPr>
      </w:r>
    </w:p>
    <w:p>
      <w:pPr>
        <w:pStyle w:val="10534"/>
        <w:numPr>
          <w:ilvl w:val="0"/>
          <w:numId w:val="126"/>
        </w:numPr>
        <w:pBdr/>
        <w:spacing/>
        <w:ind/>
        <w:rPr>
          <w:rFonts w:ascii="Times New Roman" w:hAnsi="Times New Roman" w:eastAsia="Times New Roman" w:cs="Times New Roman"/>
          <w:b/>
          <w:smallCaps/>
          <w:spacing w:val="0"/>
          <w:sz w:val="28"/>
          <w:szCs w:val="36"/>
          <w:lang w:eastAsia="en-US" w:bidi="en-US"/>
        </w:rPr>
      </w:pPr>
      <w:r/>
      <w:bookmarkStart w:id="772" w:name="_Hlk143671003"/>
      <w:r/>
      <w:bookmarkStart w:id="773" w:name="_Hlk208771766"/>
      <w:r/>
      <w:bookmarkStart w:id="774" w:name="_Hlk205236588"/>
      <w:r/>
      <w:bookmarkStart w:id="775" w:name="_Toc198483581"/>
      <w:r/>
      <w:bookmarkStart w:id="776" w:name="_Toc166767240"/>
      <w:r/>
      <w:bookmarkStart w:id="777" w:name="_Toc84971021"/>
      <w:r/>
      <w:bookmarkStart w:id="778" w:name="_Toc9154875"/>
      <w:r/>
      <w:bookmarkEnd w:id="772"/>
      <w:r/>
      <w:bookmarkEnd w:id="773"/>
      <w:r/>
      <w:bookmarkEnd w:id="774"/>
      <w:r>
        <w:rPr>
          <w:rFonts w:eastAsia="Times New Roman" w:cs="Times New Roman"/>
          <w:b/>
          <w:smallCaps/>
          <w:spacing w:val="0"/>
          <w:sz w:val="28"/>
          <w:szCs w:val="36"/>
          <w:lang w:eastAsia="en-US" w:bidi="en-US"/>
        </w:rPr>
        <w:t xml:space="preserve">Обоснование выбора приорит</w:t>
      </w:r>
      <w:r>
        <w:rPr>
          <w:rFonts w:eastAsia="Times New Roman" w:cs="Times New Roman"/>
          <w:b/>
          <w:smallCaps/>
          <w:spacing w:val="0"/>
          <w:sz w:val="28"/>
          <w:szCs w:val="36"/>
          <w:lang w:eastAsia="en-US" w:bidi="en-US"/>
        </w:rPr>
        <w:t xml:space="preserve">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w:t>
      </w:r>
      <w:r>
        <w:rPr>
          <w:rFonts w:eastAsia="Times New Roman" w:cs="Times New Roman"/>
          <w:b/>
          <w:smallCaps/>
          <w:spacing w:val="0"/>
          <w:sz w:val="28"/>
          <w:szCs w:val="36"/>
          <w:lang w:eastAsia="en-US" w:bidi="en-US"/>
        </w:rPr>
        <w:t xml:space="preserve">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bookmarkStart w:id="779" w:name="_Hlk205236614"/>
      <w:r/>
      <w:bookmarkEnd w:id="775"/>
      <w:r/>
      <w:bookmarkEnd w:id="776"/>
      <w:r/>
      <w:bookmarkEnd w:id="777"/>
      <w:r/>
      <w:bookmarkEnd w:id="778"/>
      <w:r/>
      <w:r>
        <w:rPr>
          <w:rFonts w:ascii="Times New Roman" w:hAnsi="Times New Roman" w:eastAsia="Times New Roman" w:cs="Times New Roman"/>
          <w:b/>
          <w:smallCaps/>
          <w:spacing w:val="0"/>
          <w:sz w:val="28"/>
          <w:szCs w:val="36"/>
          <w:lang w:eastAsia="en-US" w:bidi="en-US"/>
        </w:rPr>
      </w:r>
    </w:p>
    <w:p>
      <w:pPr>
        <w:pStyle w:val="12960"/>
        <w:pBdr/>
        <w:spacing/>
        <w:ind/>
        <w:rPr/>
        <w:sectPr>
          <w:headerReference w:type="default" r:id="rId122"/>
          <w:headerReference w:type="first" r:id="rId123"/>
          <w:footerReference w:type="default" r:id="rId390"/>
          <w:footerReference w:type="first" r:id="rId391"/>
          <w:footnotePr/>
          <w:endnotePr/>
          <w:type w:val="nextPage"/>
          <w:pgSz w:h="16838" w:orient="portrait" w:w="11906"/>
          <w:pgMar w:top="1134" w:right="850" w:bottom="1134" w:left="1701" w:header="567" w:footer="454" w:gutter="0"/>
          <w:cols w:num="1" w:sep="0" w:space="1701" w:equalWidth="1"/>
        </w:sectPr>
      </w:pPr>
      <w:r/>
      <w:bookmarkStart w:id="780" w:name="_Hlk212943708"/>
      <w:r/>
      <w:bookmarkEnd w:id="780"/>
      <w:r>
        <w:t xml:space="preserve">В данный момент оптимальным вариантом развития системы теплоснабжения муниципального образования Астаповское является вариант №2.</w:t>
      </w:r>
      <w:r/>
    </w:p>
    <w:p>
      <w:pPr>
        <w:pStyle w:val="10534"/>
        <w:numPr>
          <w:ilvl w:val="0"/>
          <w:numId w:val="0"/>
        </w:numPr>
        <w:pBdr/>
        <w:spacing/>
        <w:ind w:firstLine="0" w:left="0"/>
        <w:rPr>
          <w:spacing w:val="0"/>
        </w:rPr>
      </w:pPr>
      <w:r/>
      <w:bookmarkStart w:id="781" w:name="_Hlk212943708"/>
      <w:r/>
      <w:bookmarkStart w:id="782" w:name="_Toc9154877"/>
      <w:r/>
      <w:bookmarkStart w:id="783" w:name="_Toc166767242"/>
      <w:r/>
      <w:bookmarkStart w:id="784" w:name="_Toc198483582"/>
      <w:r/>
      <w:bookmarkStart w:id="785" w:name="_Toc84971023"/>
      <w:r/>
      <w:bookmarkEnd w:id="779"/>
      <w:r/>
      <w:bookmarkEnd w:id="781"/>
      <w:r>
        <w:rPr>
          <w:spacing w:val="0"/>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bookmarkEnd w:id="782"/>
      <w:r/>
      <w:bookmarkEnd w:id="783"/>
      <w:r/>
      <w:bookmarkEnd w:id="784"/>
      <w:r/>
      <w:bookmarkEnd w:id="785"/>
      <w:r/>
      <w:r>
        <w:rPr>
          <w:spacing w:val="0"/>
        </w:rPr>
      </w:r>
    </w:p>
    <w:p>
      <w:pPr>
        <w:pStyle w:val="12960"/>
        <w:pBdr/>
        <w:spacing/>
        <w:ind/>
        <w:rPr/>
      </w:pPr>
      <w:r/>
      <w:r>
        <w:t xml:space="preserve">В соответствии с СП 74.13330.2023 (актуализированная редакция «СНиП 41-02-2003 Тепловые сети»), установка для подпитки системы теплоснабжения на теплоисточнике должна обеспечивать подачу в тепловую сеть в рабочем режиме воду со</w:t>
      </w:r>
      <w:r>
        <w:t xml:space="preserve">ответствующего качества и аварийную подпитку водой из систем хозяйственно-питьевого или производственного водопроводов. Расход подпиточной воды в рабочем режиме должен компенсировать расчетные (нормируемые) потери сетевой воды в системе теплоснабжения. Рас</w:t>
      </w:r>
      <w:r>
        <w:t xml:space="preserve">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w:t>
      </w:r>
      <w:r>
        <w:rPr>
          <w:vertAlign w:val="superscript"/>
        </w:rPr>
        <w:t xml:space="preserve">3</w:t>
      </w:r>
      <w:r>
        <w:t xml:space="preserve">/ч) из водяных тепловых сетей должна быть не более 0,25 % среднегодового объема воды в тепловой</w:t>
      </w:r>
      <w:r>
        <w:t xml:space="preserve">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r/>
    </w:p>
    <w:p>
      <w:pPr>
        <w:pStyle w:val="12960"/>
        <w:pBdr/>
        <w:spacing/>
        <w:ind/>
        <w:rPr/>
      </w:pPr>
      <w:r/>
      <w:bookmarkStart w:id="787" w:name="_Hlk205236475"/>
      <w:r>
        <w:t xml:space="preserve">Для открытых и закрытых систем теплоснабжения должна предусматриваться дополнительно аварийная</w:t>
      </w:r>
      <w:r>
        <w:t xml:space="preserve"> подпитка химически не обработанной и недеаэрированной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w:t>
      </w:r>
      <w:r>
        <w:t xml:space="preserve">одоснабжения, присоединенных через водоподогреватели), если другое не предусмотрено проектными (эксплуатационными) решениями. Для открытых систем теплоснабжения аварийная подпитка должна обеспечиваться только из систем хозяйственно-питьевого водоснабжения.</w:t>
      </w:r>
      <w:bookmarkEnd w:id="787"/>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124"/>
          <w:headerReference w:type="first" r:id="rId125"/>
          <w:footerReference w:type="default" r:id="rId392"/>
          <w:footerReference w:type="first" r:id="rId393"/>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27"/>
        </w:numPr>
        <w:pBdr/>
        <w:spacing/>
        <w:ind/>
        <w:rPr>
          <w:spacing w:val="0"/>
        </w:rPr>
      </w:pPr>
      <w:r/>
      <w:bookmarkStart w:id="788" w:name="_Toc198483583"/>
      <w:r/>
      <w:bookmarkStart w:id="789" w:name="_Toc166767243"/>
      <w:r/>
      <w:bookmarkStart w:id="790" w:name="_Toc84971024"/>
      <w:r/>
      <w:bookmarkStart w:id="791" w:name="_Toc9154878"/>
      <w:r>
        <w:rPr>
          <w:spacing w:val="0"/>
        </w:rPr>
        <w:t xml:space="preserve">Расчетная величин</w:t>
      </w:r>
      <w:r>
        <w:rPr>
          <w:spacing w:val="0"/>
        </w:rPr>
        <w:t xml:space="preserve">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788"/>
      <w:r/>
      <w:bookmarkEnd w:id="789"/>
      <w:r/>
      <w:bookmarkEnd w:id="790"/>
      <w:r/>
      <w:bookmarkEnd w:id="791"/>
      <w:r/>
      <w:r>
        <w:rPr>
          <w:spacing w:val="0"/>
        </w:rPr>
      </w:r>
    </w:p>
    <w:p>
      <w:pPr>
        <w:pStyle w:val="12960"/>
        <w:pBdr/>
        <w:spacing/>
        <w:ind/>
        <w:rPr/>
      </w:pPr>
      <w: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r/>
    </w:p>
    <w:p>
      <w:pPr>
        <w:pStyle w:val="12960"/>
        <w:pBdr/>
        <w:spacing/>
        <w:ind/>
        <w:rPr/>
      </w:pPr>
      <w:r>
        <w:t xml:space="preserve">Нормативные значения годовых потерь теплоносителя, обусловленных его утечкой, м</w:t>
      </w:r>
      <w:r>
        <w:rPr>
          <w:vertAlign w:val="superscript"/>
        </w:rPr>
        <w:t xml:space="preserve">3</w:t>
      </w:r>
      <w:r>
        <w:t xml:space="preserve">/год:</w:t>
      </w:r>
      <w:r/>
    </w:p>
    <w:p>
      <w:pPr>
        <w:pStyle w:val="12960"/>
        <w:pBdr/>
        <w:spacing/>
        <w:ind/>
        <w:jc w:val="center"/>
        <w:rPr>
          <w:sz w:val="28"/>
        </w:rPr>
      </w:pPr>
      <w:r>
        <w:rPr>
          <w:i/>
        </w:rPr>
        <w:t xml:space="preserve">G</w:t>
      </w:r>
      <w:r>
        <w:rPr>
          <w:i/>
          <w:sz w:val="13"/>
        </w:rPr>
        <w:t xml:space="preserve">УТ</w:t>
      </w:r>
      <w:r>
        <w:rPr>
          <w:sz w:val="13"/>
        </w:rPr>
        <w:t xml:space="preserve">.</w:t>
      </w:r>
      <w:r>
        <w:rPr>
          <w:i/>
          <w:sz w:val="13"/>
        </w:rPr>
        <w:t xml:space="preserve">Н</w:t>
      </w:r>
      <w:r>
        <w:rPr>
          <w:sz w:val="13"/>
        </w:rPr>
        <w:t xml:space="preserve"> </w:t>
      </w:r>
      <w:r>
        <w:t xml:space="preserve"></w:t>
      </w:r>
      <w:r>
        <w:rPr>
          <w:i/>
        </w:rPr>
        <w:t xml:space="preserve">а</w:t>
      </w:r>
      <w:r>
        <w:t xml:space="preserve"></w:t>
      </w:r>
      <w:r>
        <w:rPr>
          <w:i/>
        </w:rPr>
        <w:t xml:space="preserve">V</w:t>
      </w:r>
      <w:r>
        <w:rPr>
          <w:i/>
          <w:sz w:val="13"/>
        </w:rPr>
        <w:t xml:space="preserve">год</w:t>
      </w:r>
      <w:r>
        <w:t xml:space="preserve"></w:t>
      </w:r>
      <w:r>
        <w:rPr>
          <w:i/>
        </w:rPr>
        <w:t xml:space="preserve">n</w:t>
      </w:r>
      <w:r>
        <w:rPr>
          <w:sz w:val="28"/>
        </w:rPr>
        <w:t xml:space="preserve">,</w:t>
      </w:r>
      <w:r>
        <w:rPr>
          <w:sz w:val="28"/>
        </w:rPr>
      </w:r>
    </w:p>
    <w:p>
      <w:pPr>
        <w:pStyle w:val="12960"/>
        <w:pBdr/>
        <w:spacing/>
        <w:ind/>
        <w:rPr/>
      </w:pPr>
      <w:r>
        <w:t xml:space="preserve">где: </w:t>
      </w:r>
      <w:r/>
    </w:p>
    <w:p>
      <w:pPr>
        <w:pStyle w:val="12960"/>
        <w:pBdr/>
        <w:spacing/>
        <w:ind/>
        <w:rPr/>
      </w:pPr>
      <w:r>
        <w:rPr>
          <w:i/>
        </w:rPr>
        <w:t xml:space="preserve">a</w:t>
      </w:r>
      <w:r>
        <w:t xml:space="preserve"> – норма среднегодовой утечки теплоносителя, установленная в пределах 0,25% </w:t>
      </w:r>
      <w:r/>
    </w:p>
    <w:p>
      <w:pPr>
        <w:pStyle w:val="12960"/>
        <w:pBdr/>
        <w:spacing/>
        <w:ind/>
        <w:rPr/>
      </w:pPr>
      <w:r>
        <w:rPr>
          <w:i/>
          <w:sz w:val="30"/>
        </w:rPr>
        <w:t xml:space="preserve">V</w:t>
      </w:r>
      <w:r>
        <w:rPr>
          <w:i/>
          <w:sz w:val="17"/>
        </w:rPr>
        <w:t xml:space="preserve">ср</w:t>
      </w:r>
      <w:r>
        <w:rPr>
          <w:sz w:val="17"/>
        </w:rPr>
        <w:t xml:space="preserve">.</w:t>
      </w:r>
      <w:r>
        <w:rPr>
          <w:i/>
          <w:sz w:val="17"/>
        </w:rPr>
        <w:t xml:space="preserve">год - </w:t>
      </w:r>
      <w:r>
        <w:t xml:space="preserve">среднегодовой емкости трубопроводов тепловой сети в час;</w:t>
      </w:r>
      <w:r/>
    </w:p>
    <w:p>
      <w:pPr>
        <w:pStyle w:val="12960"/>
        <w:pBdr/>
        <w:spacing/>
        <w:ind/>
        <w:rPr/>
      </w:pPr>
      <w:r>
        <w:rPr>
          <w:i/>
          <w:sz w:val="17"/>
        </w:rPr>
        <w:t xml:space="preserve">ТС</w:t>
      </w:r>
      <w:r>
        <w:rPr>
          <w:sz w:val="17"/>
        </w:rPr>
        <w:t xml:space="preserve"> </w:t>
      </w:r>
      <w:r>
        <w:t xml:space="preserve">– среднегодовая емкость тепловых сетей, м</w:t>
      </w:r>
      <w:r>
        <w:rPr>
          <w:vertAlign w:val="superscript"/>
        </w:rPr>
        <w:t xml:space="preserve">3</w:t>
      </w:r>
      <w:r>
        <w:t xml:space="preserve">;</w:t>
      </w:r>
      <w:r/>
    </w:p>
    <w:p>
      <w:pPr>
        <w:pStyle w:val="12960"/>
        <w:pBdr/>
        <w:spacing/>
        <w:ind/>
        <w:rPr/>
      </w:pPr>
      <w:r>
        <w:rPr>
          <w:i/>
          <w:sz w:val="26"/>
        </w:rPr>
        <w:t xml:space="preserve">№</w:t>
      </w:r>
      <w:r>
        <w:t xml:space="preserve">– </w:t>
      </w:r>
      <w:r>
        <w:t xml:space="preserve">продолжительность функционирования тепловой сети в течение года, час.</w:t>
      </w:r>
      <w:r/>
    </w:p>
    <w:p>
      <w:pPr>
        <w:pStyle w:val="12960"/>
        <w:pBdr/>
        <w:spacing/>
        <w:ind/>
        <w:rPr/>
      </w:pPr>
      <w:r/>
      <w:r/>
    </w:p>
    <w:p>
      <w:pPr>
        <w:pStyle w:val="12960"/>
        <w:pBdr/>
        <w:spacing/>
        <w:ind/>
        <w:rPr/>
      </w:pPr>
      <w:r>
        <mc:AlternateContent>
          <mc:Choice Requires="wpg">
            <w:drawing>
              <wp:anchor xmlns:wp="http://schemas.openxmlformats.org/drawingml/2006/wordprocessingDrawing" xmlns:wp14="http://schemas.microsoft.com/office/word/2010/wordprocessingDrawing" distT="0" distB="0" distL="0" distR="0" simplePos="0" relativeHeight="60" behindDoc="0" locked="0" layoutInCell="0" allowOverlap="1">
                <wp:simplePos x="0" y="0"/>
                <wp:positionH relativeFrom="page">
                  <wp:posOffset>4032250</wp:posOffset>
                </wp:positionH>
                <wp:positionV relativeFrom="paragraph">
                  <wp:posOffset>441325</wp:posOffset>
                </wp:positionV>
                <wp:extent cx="41910" cy="104775"/>
                <wp:effectExtent l="0" t="0" r="0" b="0"/>
                <wp:wrapTopAndBottom/>
                <wp:docPr id="53" name="Надпись 1"/>
                <wp:cNvGraphicFramePr/>
                <a:graphic xmlns:a="http://schemas.openxmlformats.org/drawingml/2006/main">
                  <a:graphicData uri="http://schemas.microsoft.com/office/word/2010/wordprocessingShape">
                    <wps:wsp>
                      <wps:cNvPr id="0" name=""/>
                      <wps:cNvSpPr/>
                      <wps:spPr bwMode="auto">
                        <a:xfrm>
                          <a:off x="0" y="0"/>
                          <a:ext cx="41760" cy="104760"/>
                        </a:xfrm>
                        <a:prstGeom prst="rect">
                          <a:avLst/>
                        </a:prstGeom>
                        <a:noFill/>
                        <a:ln w="0">
                          <a:noFill/>
                        </a:ln>
                      </wps:spPr>
                      <wps:style>
                        <a:lnRef idx="0"/>
                        <a:fillRef idx="0"/>
                        <a:effectRef idx="0"/>
                        <a:fontRef idx="minor"/>
                      </wps:style>
                      <wps:txbx>
                        <w:txbxContent>
                          <w:p>
                            <w:pPr>
                              <w:pStyle w:val="13072"/>
                              <w:pBdr/>
                              <w:spacing w:line="164" w:lineRule="exact"/>
                              <w:ind/>
                              <w:rPr>
                                <w:i/>
                                <w:sz w:val="15"/>
                              </w:rPr>
                            </w:pPr>
                            <w:r/>
                            <w:r>
                              <w:rPr>
                                <w:i/>
                                <w:sz w:val="15"/>
                              </w:rPr>
                            </w:r>
                          </w:p>
                        </w:txbxContent>
                      </wps:txbx>
                      <wps:bodyPr lIns="0" tIns="0" rIns="0" bIns="0" anchor="t">
                        <a:noAutofit/>
                      </wps:bodyPr>
                    </wps:wsp>
                  </a:graphicData>
                </a:graphic>
              </wp:anchor>
            </w:drawing>
          </mc:Choice>
          <mc:Fallback>
            <w:pict>
              <v:shape id="shape 56" o:spid="_x0000_s56" o:spt="1" type="#_x0000_t1" style="position:absolute;z-index:60;o:allowoverlap:true;o:allowincell:false;mso-position-horizontal-relative:page;margin-left:317.50pt;mso-position-horizontal:absolute;mso-position-vertical-relative:text;margin-top:34.75pt;mso-position-vertical:absolute;width:3.30pt;height:8.25pt;mso-wrap-distance-left:0.00pt;mso-wrap-distance-top:0.00pt;mso-wrap-distance-right:0.00pt;mso-wrap-distance-bottom:0.00pt;v-text-anchor:top;visibility:visible;" filled="f" stroked="f" strokeweight="0.00pt">
                <w10:wrap type="topAndBottom"/>
                <v:textbox inset="0,0,0,0">
                  <w:txbxContent>
                    <w:p>
                      <w:pPr>
                        <w:pStyle w:val="13072"/>
                        <w:pBdr/>
                        <w:spacing w:line="164" w:lineRule="exact"/>
                        <w:ind/>
                        <w:rPr>
                          <w:i/>
                          <w:sz w:val="15"/>
                        </w:rPr>
                      </w:pPr>
                      <w:r/>
                      <w:r>
                        <w:rPr>
                          <w:i/>
                          <w:sz w:val="15"/>
                        </w:rPr>
                      </w:r>
                    </w:p>
                  </w:txbxContent>
                </v:textbox>
              </v:shape>
            </w:pict>
          </mc:Fallback>
        </mc:AlternateContent>
      </w:r>
      <w:r>
        <w:t xml:space="preserve">Емкость трубопроводов тепловой сети определяется в зависимости от их удельного объема и длины:</w:t>
      </w:r>
      <w:r/>
    </w:p>
    <w:p>
      <w:pPr>
        <w:pStyle w:val="10533"/>
        <w:widowControl w:val="false"/>
        <w:pBdr/>
        <w:spacing w:line="355" w:lineRule="exact"/>
        <w:ind w:right="4" w:left="588"/>
        <w:jc w:val="center"/>
        <w:rPr>
          <w:sz w:val="28"/>
          <w:lang w:eastAsia="en-US"/>
        </w:rPr>
      </w:pPr>
      <w:r>
        <w:rPr>
          <w:i/>
          <w:sz w:val="25"/>
          <w:lang w:eastAsia="en-US"/>
        </w:rPr>
        <w:t xml:space="preserve">V</w:t>
      </w:r>
      <w:r>
        <w:rPr>
          <w:i/>
          <w:sz w:val="15"/>
          <w:lang w:eastAsia="en-US"/>
        </w:rPr>
        <w:t xml:space="preserve">ТС</w:t>
      </w:r>
      <w:r>
        <w:rPr>
          <w:sz w:val="15"/>
          <w:lang w:eastAsia="en-US"/>
        </w:rPr>
        <w:t xml:space="preserve"> </w:t>
      </w:r>
      <w:r>
        <w:rPr>
          <w:sz w:val="25"/>
          <w:lang w:eastAsia="en-US"/>
        </w:rPr>
        <w:t xml:space="preserve"> </w:t>
      </w:r>
      <w:r>
        <w:rPr>
          <w:sz w:val="38"/>
          <w:lang w:eastAsia="en-US"/>
        </w:rPr>
        <w:t xml:space="preserve"></w:t>
      </w:r>
      <w:r>
        <w:rPr>
          <w:i/>
          <w:sz w:val="25"/>
          <w:lang w:eastAsia="en-US"/>
        </w:rPr>
        <w:t xml:space="preserve">v</w:t>
      </w:r>
      <w:r>
        <w:rPr>
          <w:i/>
          <w:sz w:val="15"/>
          <w:lang w:eastAsia="en-US"/>
        </w:rPr>
        <w:t xml:space="preserve">di</w:t>
      </w:r>
      <w:r>
        <w:rPr>
          <w:sz w:val="15"/>
          <w:lang w:eastAsia="en-US"/>
        </w:rPr>
        <w:t xml:space="preserve"> </w:t>
      </w:r>
      <w:r>
        <w:rPr>
          <w:sz w:val="25"/>
          <w:lang w:eastAsia="en-US"/>
        </w:rPr>
        <w:t xml:space="preserve"> </w:t>
      </w:r>
      <w:r>
        <w:rPr>
          <w:i/>
          <w:sz w:val="25"/>
          <w:lang w:eastAsia="en-US"/>
        </w:rPr>
        <w:t xml:space="preserve">l</w:t>
      </w:r>
      <w:r>
        <w:rPr>
          <w:i/>
          <w:sz w:val="15"/>
          <w:lang w:eastAsia="en-US"/>
        </w:rPr>
        <w:t xml:space="preserve">di</w:t>
      </w:r>
      <w:r>
        <w:rPr>
          <w:sz w:val="15"/>
          <w:lang w:eastAsia="en-US"/>
        </w:rPr>
        <w:t xml:space="preserve">,</w:t>
      </w:r>
      <w:r>
        <w:rPr>
          <w:sz w:val="28"/>
          <w:lang w:eastAsia="en-US"/>
        </w:rPr>
      </w:r>
    </w:p>
    <w:p>
      <w:pPr>
        <w:pStyle w:val="10533"/>
        <w:widowControl w:val="false"/>
        <w:pBdr/>
        <w:spacing w:line="157" w:lineRule="exact"/>
        <w:ind w:right="130" w:left="588"/>
        <w:jc w:val="center"/>
        <w:rPr>
          <w:sz w:val="15"/>
          <w:lang w:eastAsia="en-US"/>
        </w:rPr>
      </w:pPr>
      <w:r>
        <w:rPr>
          <w:i/>
          <w:sz w:val="15"/>
          <w:lang w:eastAsia="en-US"/>
        </w:rPr>
        <w:t xml:space="preserve">i</w:t>
      </w:r>
      <w:r>
        <w:rPr>
          <w:sz w:val="15"/>
          <w:lang w:eastAsia="en-US"/>
        </w:rPr>
        <w:t xml:space="preserve">1</w:t>
      </w:r>
      <w:r>
        <w:rPr>
          <w:sz w:val="15"/>
          <w:lang w:eastAsia="en-US"/>
        </w:rPr>
      </w:r>
    </w:p>
    <w:p>
      <w:pPr>
        <w:pStyle w:val="12960"/>
        <w:pBdr/>
        <w:spacing/>
        <w:ind/>
        <w:rPr/>
      </w:pPr>
      <w:r>
        <w:t xml:space="preserve">где: </w:t>
      </w:r>
      <w:r>
        <w:rPr>
          <w:i/>
          <w:sz w:val="32"/>
        </w:rPr>
        <w:t xml:space="preserve">v</w:t>
      </w:r>
      <w:r>
        <w:rPr>
          <w:i/>
          <w:sz w:val="18"/>
        </w:rPr>
        <w:t xml:space="preserve">di</w:t>
      </w:r>
      <w:r>
        <w:rPr>
          <w:sz w:val="18"/>
        </w:rPr>
        <w:t xml:space="preserve"> </w:t>
      </w:r>
      <w:r>
        <w:t xml:space="preserve">- удельный объем i-го участка трубопровода определенного диаметра, м</w:t>
      </w:r>
      <w:r>
        <w:rPr>
          <w:vertAlign w:val="superscript"/>
        </w:rPr>
        <w:t xml:space="preserve">3</w:t>
      </w:r>
      <w:r>
        <w:t xml:space="preserve">/м;</w:t>
      </w:r>
      <w:r/>
    </w:p>
    <w:p>
      <w:pPr>
        <w:pStyle w:val="12960"/>
        <w:pBdr/>
        <w:spacing/>
        <w:ind/>
        <w:rPr>
          <w:b/>
        </w:rPr>
        <w:sectPr>
          <w:headerReference w:type="default" r:id="rId126"/>
          <w:headerReference w:type="first" r:id="rId127"/>
          <w:footerReference w:type="default" r:id="rId394"/>
          <w:footerReference w:type="first" r:id="rId395"/>
          <w:footnotePr/>
          <w:endnotePr/>
          <w:type w:val="nextPage"/>
          <w:pgSz w:h="16838" w:orient="portrait" w:w="11906"/>
          <w:pgMar w:top="1134" w:right="850" w:bottom="1134" w:left="1701" w:header="567" w:footer="454" w:gutter="0"/>
          <w:cols w:num="1" w:sep="0" w:space="1701" w:equalWidth="1"/>
        </w:sectPr>
      </w:pPr>
      <w:r>
        <w:t xml:space="preserve">Результаты расчетов по каждой тепловой сети и в целом по ресурсоснабжающим организациям сведены в таблицу ниже.</w:t>
      </w:r>
      <w:r>
        <w:rPr>
          <w:b/>
        </w:rPr>
      </w:r>
    </w:p>
    <w:p>
      <w:pPr>
        <w:pStyle w:val="12960"/>
        <w:pBdr/>
        <w:spacing/>
        <w:ind/>
        <w:rPr>
          <w:b/>
        </w:rPr>
      </w:pPr>
      <w:r>
        <w:rPr>
          <w:b/>
        </w:rPr>
        <w:t xml:space="preserve">Таблица 6.1.1 – Расчетные потери и объем теплоносителя, м</w:t>
      </w:r>
      <w:r>
        <w:rPr>
          <w:b/>
          <w:vertAlign w:val="superscript"/>
        </w:rPr>
        <w:t xml:space="preserve">3 </w:t>
      </w:r>
      <w:r>
        <w:rPr>
          <w:b/>
        </w:rPr>
        <w:t xml:space="preserve">(без учета ГВС).</w:t>
      </w:r>
      <w:r>
        <w:rPr>
          <w:b/>
        </w:rPr>
      </w:r>
    </w:p>
    <w:tbl>
      <w:tblPr>
        <w:tblInd w:w="0" w:type="dxa"/>
        <w:tblW w:w="14560" w:type="dxa"/>
        <w:tblCellMar>
          <w:left w:w="108" w:type="dxa"/>
          <w:top w:w="0" w:type="dxa"/>
          <w:right w:w="108" w:type="dxa"/>
          <w:bottom w:w="0" w:type="dxa"/>
        </w:tblCellMar>
        <w:tblBorders/>
        <w:tblLayout w:type="fixed"/>
        <w:tblLook w:val="04A0" w:firstRow="1" w:lastRow="0" w:firstColumn="1" w:lastColumn="0" w:noHBand="0" w:noVBand="1"/>
      </w:tblPr>
      <w:tblGrid>
        <w:gridCol w:w="5323"/>
        <w:gridCol w:w="3894"/>
        <w:gridCol w:w="1057"/>
        <w:gridCol w:w="1471"/>
        <w:gridCol w:w="1344"/>
        <w:gridCol w:w="1470"/>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5323" w:type="dxa"/>
            <w:vAlign w:val="center"/>
          </w:tcPr>
          <w:p>
            <w:pPr>
              <w:pStyle w:val="12385"/>
              <w:pBdr/>
              <w:spacing/>
              <w:ind/>
              <w:rPr/>
            </w:pPr>
            <w:r>
              <w:t xml:space="preserve">Диаметр трубопровода, dу, мм</w:t>
            </w:r>
            <w:r/>
          </w:p>
        </w:tc>
        <w:tc>
          <w:tcPr>
            <w:shd w:val="clear" w:color="000000" w:fill="d9d9d9"/>
            <w:tcBorders>
              <w:top w:val="single" w:color="000000" w:sz="4" w:space="0"/>
              <w:bottom w:val="single" w:color="000000" w:sz="4" w:space="0"/>
              <w:right w:val="single" w:color="000000" w:sz="4" w:space="0"/>
            </w:tcBorders>
            <w:tcW w:w="3894" w:type="dxa"/>
            <w:vAlign w:val="center"/>
          </w:tcPr>
          <w:p>
            <w:pPr>
              <w:pStyle w:val="12385"/>
              <w:pBdr/>
              <w:spacing/>
              <w:ind/>
              <w:rPr/>
            </w:pPr>
            <w:r>
              <w:t xml:space="preserve">Общая протяженность трубопроводов участка сети (в двухтрубном исчислении), L, км</w:t>
            </w:r>
            <w:r/>
          </w:p>
        </w:tc>
        <w:tc>
          <w:tcPr>
            <w:shd w:val="clear" w:color="000000" w:fill="d9d9d9"/>
            <w:tcBorders>
              <w:top w:val="single" w:color="000000" w:sz="4" w:space="0"/>
              <w:bottom w:val="single" w:color="000000" w:sz="4" w:space="0"/>
              <w:right w:val="single" w:color="000000" w:sz="4" w:space="0"/>
            </w:tcBorders>
            <w:tcW w:w="1057" w:type="dxa"/>
            <w:vAlign w:val="center"/>
          </w:tcPr>
          <w:p>
            <w:pPr>
              <w:pStyle w:val="12385"/>
              <w:pBdr/>
              <w:spacing/>
              <w:ind/>
              <w:rPr/>
            </w:pPr>
            <w:r>
              <w:t xml:space="preserve">Условный диаметр, мм</w:t>
            </w:r>
            <w:r/>
          </w:p>
        </w:tc>
        <w:tc>
          <w:tcPr>
            <w:shd w:val="clear" w:color="000000" w:fill="d9d9d9"/>
            <w:tcBorders>
              <w:top w:val="single" w:color="000000" w:sz="4" w:space="0"/>
              <w:bottom w:val="single" w:color="000000" w:sz="4" w:space="0"/>
              <w:right w:val="single" w:color="000000" w:sz="4" w:space="0"/>
            </w:tcBorders>
            <w:tcW w:w="1471" w:type="dxa"/>
            <w:vAlign w:val="center"/>
          </w:tcPr>
          <w:p>
            <w:pPr>
              <w:pStyle w:val="12385"/>
              <w:pBdr/>
              <w:spacing/>
              <w:ind/>
              <w:rPr/>
            </w:pPr>
            <w:r>
              <w:t xml:space="preserve">Удельный объём теплоносителя, vi, м</w:t>
            </w:r>
            <w:r>
              <w:rPr>
                <w:vertAlign w:val="superscript"/>
              </w:rPr>
              <w:t xml:space="preserve">3</w:t>
            </w:r>
            <w:r>
              <w:t xml:space="preserve">/км</w:t>
            </w:r>
            <w:r/>
          </w:p>
        </w:tc>
        <w:tc>
          <w:tcPr>
            <w:shd w:val="clear" w:color="000000" w:fill="d9d9d9"/>
            <w:tcBorders>
              <w:top w:val="single" w:color="000000" w:sz="4" w:space="0"/>
              <w:bottom w:val="single" w:color="000000" w:sz="4" w:space="0"/>
              <w:right w:val="single" w:color="000000" w:sz="4" w:space="0"/>
            </w:tcBorders>
            <w:tcW w:w="1344" w:type="dxa"/>
            <w:vAlign w:val="center"/>
          </w:tcPr>
          <w:p>
            <w:pPr>
              <w:pStyle w:val="12385"/>
              <w:pBdr/>
              <w:spacing/>
              <w:ind/>
              <w:rPr>
                <w:sz w:val="18"/>
                <w:szCs w:val="18"/>
              </w:rPr>
            </w:pPr>
            <w:r>
              <w:rPr>
                <w:sz w:val="18"/>
                <w:szCs w:val="18"/>
              </w:rPr>
              <w:t xml:space="preserve">Объем теплоносителя, V, м</w:t>
            </w:r>
            <w:r>
              <w:rPr>
                <w:sz w:val="18"/>
                <w:szCs w:val="18"/>
                <w:vertAlign w:val="superscript"/>
              </w:rPr>
              <w:t xml:space="preserve">3</w:t>
            </w:r>
            <w:r>
              <w:rPr>
                <w:sz w:val="18"/>
                <w:szCs w:val="18"/>
              </w:rPr>
            </w:r>
          </w:p>
        </w:tc>
        <w:tc>
          <w:tcPr>
            <w:shd w:val="clear" w:color="000000" w:fill="d9d9d9"/>
            <w:tcBorders>
              <w:top w:val="single" w:color="000000" w:sz="4" w:space="0"/>
              <w:bottom w:val="single" w:color="000000" w:sz="4" w:space="0"/>
              <w:right w:val="single" w:color="000000" w:sz="4" w:space="0"/>
            </w:tcBorders>
            <w:tcW w:w="1470" w:type="dxa"/>
            <w:vAlign w:val="center"/>
          </w:tcPr>
          <w:p>
            <w:pPr>
              <w:pStyle w:val="12385"/>
              <w:pBdr/>
              <w:spacing/>
              <w:ind/>
              <w:rPr/>
            </w:pPr>
            <w:r>
              <w:t xml:space="preserve">Нормируемая утечка теплоносителя, м</w:t>
            </w:r>
            <w:r>
              <w:rPr>
                <w:vertAlign w:val="superscript"/>
              </w:rPr>
              <w:t xml:space="preserve">3</w:t>
            </w:r>
            <w:r>
              <w:t xml:space="preserve">/час</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Котельная №5 д. Ясенки</w:t>
            </w:r>
            <w:r/>
          </w:p>
        </w:tc>
        <w:tc>
          <w:tcPr>
            <w:tcBorders>
              <w:bottom w:val="single" w:color="000000" w:sz="4" w:space="0"/>
              <w:right w:val="single" w:color="000000" w:sz="4" w:space="0"/>
            </w:tcBorders>
            <w:tcW w:w="3894"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r/>
          </w:p>
        </w:tc>
        <w:tc>
          <w:tcPr>
            <w:tcBorders>
              <w:bottom w:val="single" w:color="000000" w:sz="4" w:space="0"/>
              <w:right w:val="single" w:color="000000" w:sz="4" w:space="0"/>
            </w:tcBorders>
            <w:tcW w:w="1344" w:type="dxa"/>
            <w:vAlign w:val="center"/>
          </w:tcPr>
          <w:p>
            <w:pPr>
              <w:pStyle w:val="12385"/>
              <w:pBdr/>
              <w:spacing/>
              <w:ind/>
              <w:rPr/>
            </w:pPr>
            <w:r>
              <w:t xml:space="preserve">0,10</w:t>
            </w:r>
            <w:r/>
          </w:p>
        </w:tc>
        <w:tc>
          <w:tcPr>
            <w:tcBorders>
              <w:bottom w:val="single" w:color="000000" w:sz="4" w:space="0"/>
              <w:right w:val="single" w:color="000000" w:sz="4" w:space="0"/>
            </w:tcBorders>
            <w:tcW w:w="1470" w:type="dxa"/>
            <w:vAlign w:val="center"/>
          </w:tcPr>
          <w:p>
            <w:pPr>
              <w:pStyle w:val="12385"/>
              <w:pBdr/>
              <w:spacing/>
              <w:ind/>
              <w:rPr/>
            </w:pPr>
            <w:r>
              <w:t xml:space="preserve">0,0003</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3894"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t xml:space="preserve">1,26</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70" w:type="dxa"/>
            <w:vAlign w:val="center"/>
          </w:tcPr>
          <w:p>
            <w:pPr>
              <w:pStyle w:val="12385"/>
              <w:pBdr/>
              <w:spacing/>
              <w:ind/>
              <w:rPr/>
            </w:pPr>
            <w:r>
              <w:t xml:space="preserve">0,0003</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Котельная №6 п. Первомайский</w:t>
            </w:r>
            <w:r/>
          </w:p>
        </w:tc>
        <w:tc>
          <w:tcPr>
            <w:tcBorders>
              <w:bottom w:val="single" w:color="000000" w:sz="4" w:space="0"/>
              <w:right w:val="single" w:color="000000" w:sz="4" w:space="0"/>
            </w:tcBorders>
            <w:tcW w:w="3894"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r/>
          </w:p>
        </w:tc>
        <w:tc>
          <w:tcPr>
            <w:tcBorders>
              <w:bottom w:val="single" w:color="000000" w:sz="4" w:space="0"/>
              <w:right w:val="single" w:color="000000" w:sz="4" w:space="0"/>
            </w:tcBorders>
            <w:tcW w:w="1344" w:type="dxa"/>
            <w:vAlign w:val="center"/>
          </w:tcPr>
          <w:p>
            <w:pPr>
              <w:pStyle w:val="12385"/>
              <w:pBdr/>
              <w:spacing/>
              <w:ind/>
              <w:rPr/>
            </w:pPr>
            <w:r>
              <w:t xml:space="preserve">0,18</w:t>
            </w:r>
            <w:r/>
          </w:p>
        </w:tc>
        <w:tc>
          <w:tcPr>
            <w:tcBorders>
              <w:bottom w:val="single" w:color="000000" w:sz="4" w:space="0"/>
              <w:right w:val="single" w:color="000000" w:sz="4" w:space="0"/>
            </w:tcBorders>
            <w:tcW w:w="1470" w:type="dxa"/>
            <w:vAlign w:val="center"/>
          </w:tcPr>
          <w:p>
            <w:pPr>
              <w:pStyle w:val="12385"/>
              <w:pBdr/>
              <w:spacing/>
              <w:ind/>
              <w:rPr/>
            </w:pPr>
            <w:r>
              <w:t xml:space="preserve">0,0004</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3894"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t xml:space="preserve">1,26</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70" w:type="dxa"/>
            <w:vAlign w:val="center"/>
          </w:tcPr>
          <w:p>
            <w:pPr>
              <w:pStyle w:val="12385"/>
              <w:pBdr/>
              <w:spacing/>
              <w:ind/>
              <w:rPr/>
            </w:pPr>
            <w:r>
              <w:t xml:space="preserve">0,0004</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Котельная №7 с. Белый Колодезь</w:t>
            </w:r>
            <w:r/>
          </w:p>
        </w:tc>
        <w:tc>
          <w:tcPr>
            <w:tcBorders>
              <w:bottom w:val="single" w:color="000000" w:sz="4" w:space="0"/>
              <w:right w:val="single" w:color="000000" w:sz="4" w:space="0"/>
            </w:tcBorders>
            <w:tcW w:w="3894"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r/>
          </w:p>
        </w:tc>
        <w:tc>
          <w:tcPr>
            <w:tcBorders>
              <w:bottom w:val="single" w:color="000000" w:sz="4" w:space="0"/>
              <w:right w:val="single" w:color="000000" w:sz="4" w:space="0"/>
            </w:tcBorders>
            <w:tcW w:w="1344" w:type="dxa"/>
            <w:vAlign w:val="center"/>
          </w:tcPr>
          <w:p>
            <w:pPr>
              <w:pStyle w:val="12385"/>
              <w:pBdr/>
              <w:spacing/>
              <w:ind/>
              <w:rPr/>
            </w:pPr>
            <w:r>
              <w:t xml:space="preserve">0,18</w:t>
            </w:r>
            <w:r/>
          </w:p>
        </w:tc>
        <w:tc>
          <w:tcPr>
            <w:tcBorders>
              <w:bottom w:val="single" w:color="000000" w:sz="4" w:space="0"/>
              <w:right w:val="single" w:color="000000" w:sz="4" w:space="0"/>
            </w:tcBorders>
            <w:tcW w:w="1470" w:type="dxa"/>
            <w:vAlign w:val="center"/>
          </w:tcPr>
          <w:p>
            <w:pPr>
              <w:pStyle w:val="12385"/>
              <w:pBdr/>
              <w:spacing/>
              <w:ind/>
              <w:rPr/>
            </w:pPr>
            <w:r>
              <w:t xml:space="preserve">0,0004</w:t>
            </w:r>
            <w:r/>
          </w:p>
        </w:tc>
      </w:tr>
      <w:tr>
        <w:trPr>
          <w:trHeight w:val="20"/>
        </w:trPr>
        <w:tc>
          <w:tcPr>
            <w:shd w:val="clear" w:color="000000" w:fill="ffffff"/>
            <w:tcBorders>
              <w:left w:val="single" w:color="000000" w:sz="4" w:space="0"/>
              <w:bottom w:val="single" w:color="000000" w:sz="4" w:space="0"/>
              <w:right w:val="single" w:color="000000" w:sz="4" w:space="0"/>
            </w:tcBorders>
            <w:tcW w:w="5323"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3894"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057" w:type="dxa"/>
            <w:vAlign w:val="center"/>
          </w:tcPr>
          <w:p>
            <w:pPr>
              <w:pStyle w:val="12385"/>
              <w:pBdr/>
              <w:spacing/>
              <w:ind/>
              <w:rPr/>
            </w:pPr>
            <w:r>
              <w:t xml:space="preserve">40,00</w:t>
            </w:r>
            <w:r/>
          </w:p>
        </w:tc>
        <w:tc>
          <w:tcPr>
            <w:shd w:val="clear" w:color="000000" w:fill="ffffff"/>
            <w:tcBorders>
              <w:bottom w:val="single" w:color="000000" w:sz="4" w:space="0"/>
              <w:right w:val="single" w:color="000000" w:sz="4" w:space="0"/>
            </w:tcBorders>
            <w:tcW w:w="1471" w:type="dxa"/>
            <w:vAlign w:val="center"/>
          </w:tcPr>
          <w:p>
            <w:pPr>
              <w:pStyle w:val="12385"/>
              <w:pBdr/>
              <w:spacing/>
              <w:ind/>
              <w:rPr/>
            </w:pPr>
            <w:r>
              <w:t xml:space="preserve">1,26</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70" w:type="dxa"/>
            <w:vAlign w:val="center"/>
          </w:tcPr>
          <w:p>
            <w:pPr>
              <w:pStyle w:val="12385"/>
              <w:pBdr/>
              <w:spacing/>
              <w:ind/>
              <w:rPr/>
            </w:pPr>
            <w:r>
              <w:t xml:space="preserve">0,0004</w:t>
            </w:r>
            <w:r/>
          </w:p>
        </w:tc>
      </w:tr>
    </w:tbl>
    <w:p>
      <w:pPr>
        <w:pBdr/>
        <w:spacing/>
        <w:ind/>
        <w:rPr/>
        <w:sectPr>
          <w:headerReference w:type="default" r:id="rId128"/>
          <w:headerReference w:type="first" r:id="rId129"/>
          <w:footerReference w:type="default" r:id="rId396"/>
          <w:footerReference w:type="first" r:id="rId397"/>
          <w:footnotePr/>
          <w:endnotePr/>
          <w:type w:val="nextPage"/>
          <w:pgSz w:h="11906" w:orient="landscape" w:w="16838"/>
          <w:pgMar w:top="1701" w:right="1134" w:bottom="851" w:left="1134" w:header="567" w:footer="454" w:gutter="0"/>
          <w:cols w:num="1" w:sep="0" w:space="1701" w:equalWidth="1"/>
        </w:sectPr>
      </w:pPr>
      <w:r/>
      <w:r/>
    </w:p>
    <w:p>
      <w:pPr>
        <w:pStyle w:val="10534"/>
        <w:numPr>
          <w:ilvl w:val="0"/>
          <w:numId w:val="128"/>
        </w:numPr>
        <w:pBdr/>
        <w:spacing/>
        <w:ind/>
        <w:rPr>
          <w:rFonts w:ascii="Times New Roman" w:hAnsi="Times New Roman" w:eastAsia="Times New Roman" w:cs="Times New Roman"/>
          <w:b/>
          <w:smallCaps/>
          <w:spacing w:val="0"/>
          <w:sz w:val="28"/>
          <w:szCs w:val="36"/>
          <w:lang w:eastAsia="en-US" w:bidi="en-US"/>
        </w:rPr>
      </w:pPr>
      <w:r/>
      <w:bookmarkStart w:id="792" w:name="_Toc198483584"/>
      <w:r/>
      <w:bookmarkStart w:id="793" w:name="_Toc166767244"/>
      <w:r/>
      <w:bookmarkStart w:id="794" w:name="_Toc84971025"/>
      <w:r/>
      <w:bookmarkStart w:id="795" w:name="_Toc9154879"/>
      <w:r>
        <w:rPr>
          <w:rFonts w:eastAsia="Times New Roman" w:cs="Times New Roman"/>
          <w:b/>
          <w:smallCaps/>
          <w:spacing w:val="0"/>
          <w:sz w:val="28"/>
          <w:szCs w:val="36"/>
          <w:lang w:eastAsia="en-US" w:bidi="en-US"/>
        </w:rPr>
        <w:t xml:space="preserve">Максимальный и среднечасовой расход теплоносителя (расход сетевой воды) на горячее водоснабжение потребителей с использованием открытой</w:t>
      </w:r>
      <w:r>
        <w:rPr>
          <w:rFonts w:eastAsia="Times New Roman" w:cs="Times New Roman"/>
          <w:b/>
          <w:smallCaps/>
          <w:spacing w:val="0"/>
          <w:sz w:val="28"/>
          <w:szCs w:val="36"/>
          <w:lang w:eastAsia="en-US" w:bidi="en-US"/>
        </w:rPr>
        <w:t xml:space="preserve">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792"/>
      <w:r/>
      <w:bookmarkEnd w:id="793"/>
      <w:r/>
      <w:bookmarkEnd w:id="794"/>
      <w:r/>
      <w:bookmarkEnd w:id="795"/>
      <w:r/>
      <w:r>
        <w:rPr>
          <w:rFonts w:ascii="Times New Roman" w:hAnsi="Times New Roman" w:eastAsia="Times New Roman" w:cs="Times New Roman"/>
          <w:b/>
          <w:smallCaps/>
          <w:spacing w:val="0"/>
          <w:sz w:val="28"/>
          <w:szCs w:val="36"/>
          <w:lang w:eastAsia="en-US" w:bidi="en-US"/>
        </w:rPr>
      </w:r>
    </w:p>
    <w:p>
      <w:pPr>
        <w:pStyle w:val="12960"/>
        <w:pBdr/>
        <w:spacing/>
        <w:ind/>
        <w:rPr/>
      </w:pPr>
      <w:r/>
      <w:bookmarkStart w:id="796" w:name="_Hlk213996076"/>
      <w:r>
        <w:t xml:space="preserve">В Муниципальном образовании Астаповское от </w:t>
      </w:r>
      <w:bookmarkEnd w:id="796"/>
      <w:r>
        <w:t xml:space="preserve">ООО «АГК» запроектированы и действуют закрытые системы теплоснабжения, в которых не предусматривается использование сетевой воды потребителями для нужд горячего водоснабжения.</w:t>
      </w:r>
      <w:r/>
    </w:p>
    <w:p>
      <w:pPr>
        <w:pStyle w:val="12960"/>
        <w:pBdr/>
        <w:spacing/>
        <w:ind/>
        <w:rPr>
          <w:color w:val="000000"/>
        </w:rPr>
        <w:sectPr>
          <w:headerReference w:type="default" r:id="rId130"/>
          <w:headerReference w:type="first" r:id="rId131"/>
          <w:footerReference w:type="default" r:id="rId398"/>
          <w:footerReference w:type="first" r:id="rId399"/>
          <w:footnotePr/>
          <w:endnotePr/>
          <w:type w:val="nextPage"/>
          <w:pgSz w:h="16838" w:orient="portrait" w:w="11906"/>
          <w:pgMar w:top="1134" w:right="850" w:bottom="1134" w:left="1701" w:header="567" w:footer="454" w:gutter="0"/>
          <w:cols w:num="1" w:sep="0" w:space="1701" w:equalWidth="1"/>
        </w:sectPr>
      </w:pPr>
      <w:r>
        <w:rPr>
          <w:bCs w:val="0"/>
          <w:color w:val="000000"/>
        </w:rPr>
        <w:t xml:space="preserve">От</w:t>
      </w:r>
      <w:r>
        <w:rPr>
          <w:bCs w:val="0"/>
          <w:color w:val="000000"/>
        </w:rPr>
        <w:t xml:space="preserve">к</w:t>
      </w:r>
      <w:r>
        <w:rPr>
          <w:bCs w:val="0"/>
          <w:color w:val="000000"/>
        </w:rPr>
        <w:t xml:space="preserve">рытые системы теплоснабжения отсутствуют.</w:t>
      </w:r>
      <w:r>
        <w:rPr>
          <w:color w:val="000000"/>
        </w:rPr>
      </w:r>
    </w:p>
    <w:p>
      <w:pPr>
        <w:pStyle w:val="10534"/>
        <w:numPr>
          <w:ilvl w:val="0"/>
          <w:numId w:val="129"/>
        </w:numPr>
        <w:pBdr/>
        <w:spacing/>
        <w:ind w:hanging="357" w:left="1066"/>
        <w:rPr>
          <w:spacing w:val="0"/>
        </w:rPr>
      </w:pPr>
      <w:r/>
      <w:bookmarkStart w:id="797" w:name="_Toc198483585"/>
      <w:r/>
      <w:bookmarkStart w:id="798" w:name="_Toc166767245"/>
      <w:r/>
      <w:bookmarkStart w:id="799" w:name="_Toc84971026"/>
      <w:r/>
      <w:bookmarkStart w:id="800" w:name="_Toc9154880"/>
      <w:r>
        <w:rPr>
          <w:spacing w:val="0"/>
        </w:rPr>
        <w:t xml:space="preserve">Сведения о наличии баков-аккумуляторов</w:t>
      </w:r>
      <w:bookmarkEnd w:id="797"/>
      <w:r/>
      <w:bookmarkEnd w:id="798"/>
      <w:r/>
      <w:bookmarkEnd w:id="799"/>
      <w:r/>
      <w:bookmarkEnd w:id="800"/>
      <w:r/>
      <w:r>
        <w:rPr>
          <w:spacing w:val="0"/>
        </w:rPr>
      </w:r>
    </w:p>
    <w:p>
      <w:pPr>
        <w:pStyle w:val="12960"/>
        <w:pBdr/>
        <w:spacing/>
        <w:ind/>
        <w:rPr/>
      </w:pPr>
      <w:r>
        <w:t xml:space="preserve">Бак-аккумулятор — емкость, предназначенная для накопления избыточного тепла и его дальнейшего использования во время остановки работы котлового оборудования.</w:t>
      </w:r>
      <w:r/>
    </w:p>
    <w:p>
      <w:pPr>
        <w:pStyle w:val="12960"/>
        <w:pBdr/>
        <w:spacing/>
        <w:ind/>
        <w:rPr/>
        <w:sectPr>
          <w:headerReference w:type="default" r:id="rId132"/>
          <w:headerReference w:type="first" r:id="rId133"/>
          <w:footerReference w:type="default" r:id="rId400"/>
          <w:footerReference w:type="first" r:id="rId401"/>
          <w:footnotePr/>
          <w:endnotePr/>
          <w:type w:val="nextPage"/>
          <w:pgSz w:h="16838" w:orient="portrait" w:w="11906"/>
          <w:pgMar w:top="1134" w:right="850" w:bottom="1134" w:left="1701" w:header="567" w:footer="454" w:gutter="0"/>
          <w:cols w:num="1" w:sep="0" w:space="1701" w:equalWidth="1"/>
        </w:sectPr>
      </w:pPr>
      <w:r>
        <w:t xml:space="preserve">Бак</w:t>
      </w:r>
      <w:r>
        <w:rPr>
          <w:bCs w:val="0"/>
          <w:iCs w:val="0"/>
        </w:rPr>
        <w:t xml:space="preserve">и</w:t>
      </w:r>
      <w:r>
        <w:t xml:space="preserve">-аккумулятор</w:t>
      </w:r>
      <w:r>
        <w:rPr>
          <w:bCs w:val="0"/>
          <w:iCs w:val="0"/>
        </w:rPr>
        <w:t xml:space="preserve">ы отсутствуют.</w:t>
      </w:r>
      <w:r/>
    </w:p>
    <w:p>
      <w:pPr>
        <w:pStyle w:val="10534"/>
        <w:numPr>
          <w:ilvl w:val="0"/>
          <w:numId w:val="130"/>
        </w:numPr>
        <w:pBdr/>
        <w:spacing/>
        <w:ind/>
        <w:rPr>
          <w:rFonts w:ascii="Times New Roman" w:hAnsi="Times New Roman" w:eastAsia="Times New Roman" w:cs="Times New Roman"/>
          <w:b/>
          <w:smallCaps/>
          <w:spacing w:val="0"/>
          <w:sz w:val="28"/>
          <w:szCs w:val="36"/>
          <w:lang w:eastAsia="en-US" w:bidi="en-US"/>
        </w:rPr>
      </w:pPr>
      <w:r/>
      <w:bookmarkStart w:id="801" w:name="OLE_LINK10"/>
      <w:r/>
      <w:bookmarkStart w:id="802" w:name="_Toc198483586"/>
      <w:r/>
      <w:bookmarkStart w:id="803" w:name="_Toc166767246"/>
      <w:r/>
      <w:bookmarkStart w:id="804" w:name="_Toc84971027"/>
      <w:r/>
      <w:bookmarkStart w:id="805" w:name="_Toc9154881"/>
      <w:r>
        <w:rPr>
          <w:rFonts w:eastAsia="Times New Roman" w:cs="Times New Roman"/>
          <w:b/>
          <w:smallCaps/>
          <w:spacing w:val="0"/>
          <w:sz w:val="28"/>
          <w:szCs w:val="36"/>
          <w:lang w:eastAsia="en-US" w:bidi="en-US"/>
        </w:rPr>
        <w:t xml:space="preserve">Нормативный и фактический (для эксплуатационного </w:t>
      </w:r>
      <w:bookmarkStart w:id="806" w:name="OLE_LINK9"/>
      <w:r>
        <w:rPr>
          <w:rFonts w:eastAsia="Times New Roman" w:cs="Times New Roman"/>
          <w:b/>
          <w:smallCaps/>
          <w:spacing w:val="0"/>
          <w:sz w:val="28"/>
          <w:szCs w:val="36"/>
          <w:lang w:eastAsia="en-US" w:bidi="en-US"/>
        </w:rPr>
        <w:t xml:space="preserve">и аварийного режимов</w:t>
      </w:r>
      <w:bookmarkEnd w:id="806"/>
      <w:r>
        <w:rPr>
          <w:rFonts w:eastAsia="Times New Roman" w:cs="Times New Roman"/>
          <w:b/>
          <w:smallCaps/>
          <w:spacing w:val="0"/>
          <w:sz w:val="28"/>
          <w:szCs w:val="36"/>
          <w:lang w:eastAsia="en-US" w:bidi="en-US"/>
        </w:rPr>
        <w:t xml:space="preserve">) часовой расход подпиточной воды в зоне действия источников тепловой энергии</w:t>
      </w:r>
      <w:bookmarkEnd w:id="801"/>
      <w:r/>
      <w:bookmarkEnd w:id="802"/>
      <w:r/>
      <w:bookmarkEnd w:id="803"/>
      <w:r/>
      <w:bookmarkEnd w:id="804"/>
      <w:r/>
      <w:bookmarkEnd w:id="805"/>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В Муниципальном образовании Астаповское в качестве теплоносителя для передачи тепловой энергии от источников до потребителей используется горячая вода. Качество исп</w:t>
      </w:r>
      <w:r>
        <w:t xml:space="preserve">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r/>
    </w:p>
    <w:p>
      <w:pPr>
        <w:pStyle w:val="12960"/>
        <w:pBdr/>
        <w:spacing/>
        <w:ind/>
        <w:rPr/>
      </w:pPr>
      <w:r>
        <w:t xml:space="preserve">Присоединение (</w:t>
      </w:r>
      <w:r>
        <w:t xml:space="preserve">подключение) всех потребителей во вновь создаваемых зонах теплоснабжения будет осуществляться по 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r/>
    </w:p>
    <w:p>
      <w:pPr>
        <w:pStyle w:val="12960"/>
        <w:pBdr/>
        <w:spacing/>
        <w:ind/>
        <w:rPr/>
      </w:pPr>
      <w:r>
        <w:t xml:space="preserve">Тепловые узлы существующих потребителей должны быть реконструированы с ус</w:t>
      </w:r>
      <w:r>
        <w:t xml:space="preserve">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централизованного горячего водоснабжения и использовать индивидуальные электрические водонагреватели.</w:t>
      </w:r>
      <w:r/>
    </w:p>
    <w:p>
      <w:pPr>
        <w:pStyle w:val="12960"/>
        <w:pBdr/>
        <w:spacing/>
        <w:ind/>
        <w:rPr/>
      </w:pPr>
      <w:r>
        <w:t xml:space="preserve">Подпиточной водой и теплоносителем тепловых сетей является вода из системы хозпитьевого водоснабжения муниципального образования. Подготовка теплоносителя для подпитки тепловых сетей организована без с применением водоподготовительной установки.</w:t>
      </w:r>
      <w:r/>
    </w:p>
    <w:p>
      <w:pPr>
        <w:pStyle w:val="12960"/>
        <w:pBdr/>
        <w:spacing/>
        <w:ind/>
        <w:rPr/>
      </w:pPr>
      <w:r>
        <w:t xml:space="preserve">Производительности сетевых и подпиточных насосов достаточно для обеспечения работы системы теплоснабжения.</w:t>
      </w:r>
      <w:r/>
    </w:p>
    <w:p>
      <w:pPr>
        <w:pStyle w:val="12960"/>
        <w:pBdr/>
        <w:spacing/>
        <w:ind/>
        <w:rPr/>
      </w:pPr>
      <w:r>
        <w:t xml:space="preserve">Согласно п. 6.22 СП 74.13330.2023 «СНиП 41-02-2003 Тепловые сети»: Для открытых и закрытых </w:t>
      </w:r>
      <w:r>
        <w:t xml:space="preserve">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w:t>
      </w:r>
      <w:r>
        <w:t xml:space="preserve">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w:t>
      </w:r>
      <w:r>
        <w:t xml:space="preserve">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r/>
    </w:p>
    <w:p>
      <w:pPr>
        <w:pStyle w:val="12960"/>
        <w:pBdr/>
        <w:spacing/>
        <w:ind/>
        <w:rPr/>
        <w:sectPr>
          <w:headerReference w:type="default" r:id="rId134"/>
          <w:headerReference w:type="first" r:id="rId135"/>
          <w:footerReference w:type="default" r:id="rId402"/>
          <w:footerReference w:type="first" r:id="rId403"/>
          <w:footnotePr/>
          <w:endnotePr/>
          <w:type w:val="nextPage"/>
          <w:pgSz w:h="16838" w:orient="portrait" w:w="11906"/>
          <w:pgMar w:top="1134" w:right="850" w:bottom="1134" w:left="1701" w:header="567" w:footer="454" w:gutter="0"/>
          <w:cols w:num="1" w:sep="0" w:space="1701" w:equalWidth="1"/>
        </w:sectPr>
      </w:pPr>
      <w:r>
        <w:t xml:space="preserve">Данные о расчетном расходе подпиточной воды для эксплуатационного режима за 2025 год представлены ниже.</w:t>
      </w:r>
      <w:r/>
    </w:p>
    <w:p>
      <w:pPr>
        <w:pStyle w:val="12960"/>
        <w:pBdr/>
        <w:spacing/>
        <w:ind/>
        <w:rPr>
          <w:b/>
          <w:bCs w:val="0"/>
        </w:rPr>
      </w:pPr>
      <w:r>
        <w:rPr>
          <w:b/>
          <w:bCs w:val="0"/>
        </w:rPr>
        <w:t xml:space="preserve">Таблица 6.4.1 – Расчетный </w:t>
      </w:r>
      <w:bookmarkStart w:id="807" w:name="_Hlk215463428"/>
      <w:r>
        <w:rPr>
          <w:b/>
          <w:bCs w:val="0"/>
        </w:rPr>
        <w:t xml:space="preserve">и фактический </w:t>
      </w:r>
      <w:bookmarkEnd w:id="807"/>
      <w:r>
        <w:rPr>
          <w:b/>
          <w:bCs w:val="0"/>
        </w:rPr>
        <w:t xml:space="preserve">(для эксплуатационного и аварийного режимов) часовой расход подпиточной воды в зоне действия источников тепловой энергии</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601"/>
        <w:gridCol w:w="2760"/>
        <w:gridCol w:w="2733"/>
        <w:gridCol w:w="2698"/>
        <w:gridCol w:w="2778"/>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601" w:type="dxa"/>
            <w:vAlign w:val="center"/>
          </w:tcPr>
          <w:p>
            <w:pPr>
              <w:pStyle w:val="12385"/>
              <w:pBdr/>
              <w:spacing/>
              <w:ind/>
              <w:rPr/>
            </w:pPr>
            <w:r>
              <w:t xml:space="preserve">Показатель</w:t>
            </w:r>
            <w:r/>
          </w:p>
        </w:tc>
        <w:tc>
          <w:tcPr>
            <w:shd w:val="clear" w:color="000000" w:fill="d9d9d9"/>
            <w:tcBorders>
              <w:top w:val="single" w:color="000000" w:sz="4" w:space="0"/>
              <w:bottom w:val="single" w:color="000000" w:sz="4" w:space="0"/>
              <w:right w:val="single" w:color="000000" w:sz="4" w:space="0"/>
            </w:tcBorders>
            <w:tcW w:w="2760" w:type="dxa"/>
            <w:vAlign w:val="center"/>
          </w:tcPr>
          <w:p>
            <w:pPr>
              <w:pStyle w:val="12385"/>
              <w:pBdr/>
              <w:spacing/>
              <w:ind/>
              <w:rPr/>
            </w:pPr>
            <w:r>
              <w:t xml:space="preserve">Объем теплоносителя в системе теплоснабжения, м</w:t>
            </w:r>
            <w:r>
              <w:rPr>
                <w:vertAlign w:val="superscript"/>
              </w:rPr>
              <w:t xml:space="preserve">3</w:t>
            </w:r>
            <w:r/>
          </w:p>
        </w:tc>
        <w:tc>
          <w:tcPr>
            <w:shd w:val="clear" w:color="000000" w:fill="d9d9d9"/>
            <w:tcBorders>
              <w:top w:val="single" w:color="000000" w:sz="4" w:space="0"/>
              <w:bottom w:val="single" w:color="000000" w:sz="4" w:space="0"/>
              <w:right w:val="single" w:color="000000" w:sz="4" w:space="0"/>
            </w:tcBorders>
            <w:tcW w:w="2733" w:type="dxa"/>
            <w:vAlign w:val="center"/>
          </w:tcPr>
          <w:p>
            <w:pPr>
              <w:pStyle w:val="12385"/>
              <w:pBdr/>
              <w:spacing/>
              <w:ind/>
              <w:rPr/>
            </w:pPr>
            <w:r>
              <w:t xml:space="preserve">Нормируемая утечка теплоносителя, м</w:t>
            </w:r>
            <w:r>
              <w:rPr>
                <w:vertAlign w:val="superscript"/>
              </w:rPr>
              <w:t xml:space="preserve">3</w:t>
            </w:r>
            <w:r>
              <w:t xml:space="preserve">/час</w:t>
            </w:r>
            <w:r/>
          </w:p>
        </w:tc>
        <w:tc>
          <w:tcPr>
            <w:shd w:val="clear" w:color="000000" w:fill="d9d9d9"/>
            <w:tcBorders>
              <w:top w:val="single" w:color="000000" w:sz="4" w:space="0"/>
              <w:bottom w:val="single" w:color="000000" w:sz="4" w:space="0"/>
              <w:right w:val="single" w:color="000000" w:sz="4" w:space="0"/>
            </w:tcBorders>
            <w:tcW w:w="2698" w:type="dxa"/>
            <w:vAlign w:val="center"/>
          </w:tcPr>
          <w:p>
            <w:pPr>
              <w:pStyle w:val="12385"/>
              <w:pBdr/>
              <w:spacing/>
              <w:ind/>
              <w:rPr/>
            </w:pPr>
            <w:r>
              <w:t xml:space="preserve">Расчетный расход подпиточной воды (Без учета ГВС), м</w:t>
            </w:r>
            <w:r>
              <w:rPr>
                <w:vertAlign w:val="superscript"/>
              </w:rPr>
              <w:t xml:space="preserve">3</w:t>
            </w:r>
            <w:r>
              <w:t xml:space="preserve">/час</w:t>
            </w:r>
            <w:r/>
          </w:p>
        </w:tc>
        <w:tc>
          <w:tcPr>
            <w:shd w:val="clear" w:color="000000" w:fill="d9d9d9"/>
            <w:tcBorders>
              <w:top w:val="single" w:color="000000" w:sz="4" w:space="0"/>
              <w:bottom w:val="single" w:color="000000" w:sz="4" w:space="0"/>
              <w:right w:val="single" w:color="000000" w:sz="4" w:space="0"/>
            </w:tcBorders>
            <w:tcW w:w="2778" w:type="dxa"/>
            <w:vAlign w:val="center"/>
          </w:tcPr>
          <w:p>
            <w:pPr>
              <w:pStyle w:val="12385"/>
              <w:pBdr/>
              <w:spacing/>
              <w:ind/>
              <w:rPr/>
            </w:pPr>
            <w:r>
              <w:t xml:space="preserve">Аварийная подпитка химически не обработанной и недеаэрированной воды, м</w:t>
            </w:r>
            <w:r>
              <w:rPr>
                <w:vertAlign w:val="superscript"/>
              </w:rPr>
              <w:t xml:space="preserve">3</w:t>
            </w:r>
            <w:r>
              <w:t xml:space="preserve">/час</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0,00025</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0,00075</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0,00201</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3601" w:type="dxa"/>
            <w:vAlign w:val="center"/>
          </w:tcPr>
          <w:p>
            <w:pPr>
              <w:pStyle w:val="12385"/>
              <w:pBdr/>
              <w:spacing/>
              <w:ind/>
              <w:rPr/>
            </w:pPr>
            <w:r>
              <w:t xml:space="preserve">2026 год</w:t>
            </w:r>
            <w:r/>
          </w:p>
        </w:tc>
        <w:tc>
          <w:tcPr>
            <w:shd w:val="clear" w:color="000000" w:fill="ffffff"/>
            <w:tcBorders>
              <w:top w:val="single" w:color="000000" w:sz="4" w:space="0"/>
              <w:bottom w:val="single" w:color="000000" w:sz="4" w:space="0"/>
              <w:right w:val="single" w:color="000000" w:sz="4" w:space="0"/>
            </w:tcBorders>
            <w:tcW w:w="2760"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733"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698"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77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0,00025</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0,00075</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0,00201</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3601" w:type="dxa"/>
            <w:vAlign w:val="center"/>
          </w:tcPr>
          <w:p>
            <w:pPr>
              <w:pStyle w:val="12385"/>
              <w:pBdr/>
              <w:spacing/>
              <w:ind/>
              <w:rPr/>
            </w:pPr>
            <w:r>
              <w:t xml:space="preserve">2027-2028 год</w:t>
            </w:r>
            <w:r/>
          </w:p>
        </w:tc>
        <w:tc>
          <w:tcPr>
            <w:shd w:val="clear" w:color="000000" w:fill="ffffff"/>
            <w:tcBorders>
              <w:top w:val="single" w:color="000000" w:sz="4" w:space="0"/>
              <w:bottom w:val="single" w:color="000000" w:sz="4" w:space="0"/>
              <w:right w:val="single" w:color="000000" w:sz="4" w:space="0"/>
            </w:tcBorders>
            <w:tcW w:w="2760"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733"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698"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77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0,00025</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0,00075</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0,00201</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3601" w:type="dxa"/>
            <w:vAlign w:val="center"/>
          </w:tcPr>
          <w:p>
            <w:pPr>
              <w:pStyle w:val="12385"/>
              <w:pBdr/>
              <w:spacing/>
              <w:ind/>
              <w:rPr/>
            </w:pPr>
            <w:r>
              <w:t xml:space="preserve">2029-2038 годы</w:t>
            </w:r>
            <w:r/>
          </w:p>
        </w:tc>
        <w:tc>
          <w:tcPr>
            <w:shd w:val="clear" w:color="000000" w:fill="ffffff"/>
            <w:tcBorders>
              <w:top w:val="single" w:color="000000" w:sz="4" w:space="0"/>
              <w:bottom w:val="single" w:color="000000" w:sz="4" w:space="0"/>
              <w:right w:val="single" w:color="000000" w:sz="4" w:space="0"/>
            </w:tcBorders>
            <w:tcW w:w="2760"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733"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698" w:type="dxa"/>
            <w:vAlign w:val="center"/>
          </w:tcPr>
          <w:p>
            <w:pPr>
              <w:pStyle w:val="12385"/>
              <w:pBdr/>
              <w:spacing/>
              <w:ind/>
              <w:rPr/>
            </w:pPr>
            <w:r/>
            <w:r/>
          </w:p>
        </w:tc>
        <w:tc>
          <w:tcPr>
            <w:shd w:val="clear" w:color="000000" w:fill="ffffff"/>
            <w:tcBorders>
              <w:top w:val="single" w:color="000000" w:sz="4" w:space="0"/>
              <w:bottom w:val="single" w:color="000000" w:sz="4" w:space="0"/>
              <w:right w:val="single" w:color="000000" w:sz="4" w:space="0"/>
            </w:tcBorders>
            <w:tcW w:w="2778"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0,00025</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0,00075</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0,00201</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r>
        <w:trPr>
          <w:trHeight w:val="20"/>
        </w:trPr>
        <w:tc>
          <w:tcPr>
            <w:shd w:val="clear" w:color="000000" w:fill="ffffff"/>
            <w:tcBorders>
              <w:left w:val="single" w:color="000000" w:sz="4" w:space="0"/>
              <w:bottom w:val="single" w:color="000000" w:sz="4" w:space="0"/>
              <w:right w:val="single" w:color="000000" w:sz="4" w:space="0"/>
            </w:tcBorders>
            <w:tcW w:w="3601"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760"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2733" w:type="dxa"/>
            <w:vAlign w:val="center"/>
          </w:tcPr>
          <w:p>
            <w:pPr>
              <w:pStyle w:val="12385"/>
              <w:pBdr/>
              <w:spacing/>
              <w:ind/>
              <w:rPr/>
            </w:pPr>
            <w:r>
              <w:t xml:space="preserve">0,00044</w:t>
            </w:r>
            <w:r/>
          </w:p>
        </w:tc>
        <w:tc>
          <w:tcPr>
            <w:shd w:val="clear" w:color="000000" w:fill="ffffff"/>
            <w:tcBorders>
              <w:bottom w:val="single" w:color="000000" w:sz="4" w:space="0"/>
              <w:right w:val="single" w:color="000000" w:sz="4" w:space="0"/>
            </w:tcBorders>
            <w:tcW w:w="2698" w:type="dxa"/>
            <w:vAlign w:val="center"/>
          </w:tcPr>
          <w:p>
            <w:pPr>
              <w:pStyle w:val="12385"/>
              <w:pBdr/>
              <w:spacing/>
              <w:ind/>
              <w:rPr/>
            </w:pPr>
            <w:r>
              <w:t xml:space="preserve">0,00132</w:t>
            </w:r>
            <w:r/>
          </w:p>
        </w:tc>
        <w:tc>
          <w:tcPr>
            <w:shd w:val="clear" w:color="000000" w:fill="ffffff"/>
            <w:tcBorders>
              <w:bottom w:val="single" w:color="000000" w:sz="4" w:space="0"/>
              <w:right w:val="single" w:color="000000" w:sz="4" w:space="0"/>
            </w:tcBorders>
            <w:tcW w:w="2778" w:type="dxa"/>
            <w:vAlign w:val="center"/>
          </w:tcPr>
          <w:p>
            <w:pPr>
              <w:pStyle w:val="12385"/>
              <w:pBdr/>
              <w:spacing/>
              <w:ind/>
              <w:rPr/>
            </w:pPr>
            <w:r>
              <w:t xml:space="preserve">0,00352</w:t>
            </w:r>
            <w:r/>
          </w:p>
        </w:tc>
      </w:tr>
    </w:tbl>
    <w:p>
      <w:pPr>
        <w:pBdr/>
        <w:spacing/>
        <w:ind/>
        <w:rPr/>
        <w:sectPr>
          <w:headerReference w:type="default" r:id="rId136"/>
          <w:headerReference w:type="first" r:id="rId137"/>
          <w:footerReference w:type="default" r:id="rId404"/>
          <w:footerReference w:type="first" r:id="rId405"/>
          <w:footnotePr/>
          <w:endnotePr/>
          <w:type w:val="nextPage"/>
          <w:pgSz w:h="11906" w:orient="landscape" w:w="16838"/>
          <w:pgMar w:top="1701" w:right="1134" w:bottom="851" w:left="1134" w:header="567" w:footer="454" w:gutter="0"/>
          <w:cols w:num="1" w:sep="0" w:space="1701" w:equalWidth="1"/>
        </w:sectPr>
      </w:pPr>
      <w:r/>
      <w:r/>
    </w:p>
    <w:p>
      <w:pPr>
        <w:pStyle w:val="10534"/>
        <w:numPr>
          <w:ilvl w:val="0"/>
          <w:numId w:val="131"/>
        </w:numPr>
        <w:pBdr/>
        <w:spacing/>
        <w:ind/>
        <w:rPr>
          <w:rFonts w:ascii="Times New Roman" w:hAnsi="Times New Roman" w:eastAsia="Times New Roman" w:cs="Times New Roman"/>
          <w:b/>
          <w:smallCaps/>
          <w:spacing w:val="0"/>
          <w:sz w:val="28"/>
          <w:szCs w:val="36"/>
          <w:lang w:eastAsia="en-US" w:bidi="en-US"/>
        </w:rPr>
      </w:pPr>
      <w:r/>
      <w:bookmarkStart w:id="808" w:name="_Toc166767247"/>
      <w:r/>
      <w:bookmarkStart w:id="809" w:name="_Toc198483587"/>
      <w:r/>
      <w:bookmarkStart w:id="810" w:name="_Toc9154882"/>
      <w:r/>
      <w:bookmarkStart w:id="811" w:name="_Toc84971028"/>
      <w:r>
        <w:rPr>
          <w:rFonts w:eastAsia="Times New Roman" w:cs="Times New Roman"/>
          <w:b/>
          <w:smallCaps/>
          <w:spacing w:val="0"/>
          <w:sz w:val="28"/>
          <w:szCs w:val="36"/>
          <w:lang w:eastAsia="en-US" w:bidi="en-US"/>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808"/>
      <w:r/>
      <w:bookmarkEnd w:id="809"/>
      <w:r/>
      <w:bookmarkEnd w:id="810"/>
      <w:r/>
      <w:bookmarkEnd w:id="811"/>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На момент разработки схемы теплоснабжения на котельной нет систем химводоподготовки подпиточной воды для теплосетей. Подпитка тепловых сетей систем теплоснабжения осуществляется водой хозяйственно-питьевого назн</w:t>
      </w:r>
      <w:r>
        <w:t xml:space="preserve">ачения от поселкового водопровода. Расчетный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муниципального образования Астаповское представлен в таблице.</w:t>
      </w:r>
      <w:r/>
    </w:p>
    <w:p>
      <w:pPr>
        <w:pStyle w:val="12960"/>
        <w:pBdr/>
        <w:spacing/>
        <w:ind/>
        <w:rPr>
          <w:b/>
          <w:bCs w:val="0"/>
        </w:rPr>
      </w:pPr>
      <w:r>
        <w:rPr>
          <w:b/>
          <w:bCs w:val="0"/>
        </w:rPr>
        <w:t xml:space="preserve">Таблица 6.5.1 – Баланс теплоносителя муниципального образования Астаповское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884"/>
        <w:gridCol w:w="1623"/>
        <w:gridCol w:w="1573"/>
        <w:gridCol w:w="1434"/>
        <w:gridCol w:w="1841"/>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884" w:type="dxa"/>
            <w:vAlign w:val="center"/>
          </w:tcPr>
          <w:p>
            <w:pPr>
              <w:pStyle w:val="12385"/>
              <w:pBdr/>
              <w:spacing/>
              <w:ind/>
              <w:rPr/>
            </w:pPr>
            <w:r>
              <w:t xml:space="preserve">Источник централизованного теплоснабжения</w:t>
            </w:r>
            <w:r/>
          </w:p>
        </w:tc>
        <w:tc>
          <w:tcPr>
            <w:shd w:val="clear" w:color="000000" w:fill="d9d9d9"/>
            <w:tcBorders>
              <w:top w:val="single" w:color="000000" w:sz="4" w:space="0"/>
              <w:bottom w:val="single" w:color="000000" w:sz="4" w:space="0"/>
              <w:right w:val="single" w:color="000000" w:sz="4" w:space="0"/>
            </w:tcBorders>
            <w:tcW w:w="1623" w:type="dxa"/>
            <w:vAlign w:val="center"/>
          </w:tcPr>
          <w:p>
            <w:pPr>
              <w:pStyle w:val="12385"/>
              <w:pBdr/>
              <w:spacing/>
              <w:ind/>
              <w:rPr/>
            </w:pPr>
            <w:r>
              <w:t xml:space="preserve">Тепловая нагрузка с учетом потерь тепловой энергии при транспортировке, Гкал/час</w:t>
            </w:r>
            <w:r/>
          </w:p>
        </w:tc>
        <w:tc>
          <w:tcPr>
            <w:shd w:val="clear" w:color="000000" w:fill="d9d9d9"/>
            <w:tcBorders>
              <w:top w:val="single" w:color="000000" w:sz="4" w:space="0"/>
              <w:bottom w:val="single" w:color="000000" w:sz="4" w:space="0"/>
              <w:right w:val="single" w:color="000000" w:sz="4" w:space="0"/>
            </w:tcBorders>
            <w:tcW w:w="1573" w:type="dxa"/>
            <w:vAlign w:val="center"/>
          </w:tcPr>
          <w:p>
            <w:pPr>
              <w:pStyle w:val="12385"/>
              <w:pBdr/>
              <w:spacing/>
              <w:ind/>
              <w:rPr/>
            </w:pPr>
            <w:r>
              <w:t xml:space="preserve">Объем теплоносителя в системе теплоснабжения, м</w:t>
            </w:r>
            <w:r>
              <w:rPr>
                <w:vertAlign w:val="superscript"/>
              </w:rPr>
              <w:t xml:space="preserve">3</w:t>
            </w:r>
            <w:r/>
          </w:p>
        </w:tc>
        <w:tc>
          <w:tcPr>
            <w:shd w:val="clear" w:color="000000" w:fill="d9d9d9"/>
            <w:tcBorders>
              <w:top w:val="single" w:color="000000" w:sz="4" w:space="0"/>
              <w:bottom w:val="single" w:color="000000" w:sz="4" w:space="0"/>
              <w:right w:val="single" w:color="000000" w:sz="4" w:space="0"/>
            </w:tcBorders>
            <w:tcW w:w="1434" w:type="dxa"/>
            <w:vAlign w:val="center"/>
          </w:tcPr>
          <w:p>
            <w:pPr>
              <w:pStyle w:val="12385"/>
              <w:pBdr/>
              <w:spacing/>
              <w:ind/>
              <w:rPr/>
            </w:pPr>
            <w:r>
              <w:t xml:space="preserve">Нормируемая утечка теплоносителя, м</w:t>
            </w:r>
            <w:r>
              <w:rPr>
                <w:vertAlign w:val="superscript"/>
              </w:rPr>
              <w:t xml:space="preserve">3</w:t>
            </w:r>
            <w:r>
              <w:t xml:space="preserve">/час</w:t>
            </w:r>
            <w:r/>
          </w:p>
        </w:tc>
        <w:tc>
          <w:tcPr>
            <w:shd w:val="clear" w:color="000000" w:fill="d9d9d9"/>
            <w:tcBorders>
              <w:top w:val="single" w:color="000000" w:sz="4" w:space="0"/>
              <w:bottom w:val="single" w:color="000000" w:sz="4" w:space="0"/>
              <w:right w:val="single" w:color="000000" w:sz="4" w:space="0"/>
            </w:tcBorders>
            <w:tcW w:w="1841" w:type="dxa"/>
            <w:vAlign w:val="center"/>
          </w:tcPr>
          <w:p>
            <w:pPr>
              <w:pStyle w:val="12385"/>
              <w:pBdr/>
              <w:spacing/>
              <w:ind/>
              <w:rPr/>
            </w:pPr>
            <w:r>
              <w:t xml:space="preserve">Необходимая производительность установки водоподготовки, м</w:t>
            </w:r>
            <w:r>
              <w:rPr>
                <w:vertAlign w:val="superscript"/>
              </w:rPr>
              <w:t xml:space="preserve">3</w:t>
            </w:r>
            <w:r>
              <w:t xml:space="preserve">/час</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2025 год</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0,24</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0,000251</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0,000754</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0,12</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0,000440</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0,000440</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2026 год</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0,24</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0,0003</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0,000754</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0,12</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2027-2028 год</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0,24</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0,0003</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0,000754</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0,12</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2029-2038 годы</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0,24</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0,10</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0,0003</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0,000754</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0,12</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r>
        <w:trPr>
          <w:trHeight w:val="20"/>
        </w:trPr>
        <w:tc>
          <w:tcPr>
            <w:shd w:val="clear" w:color="000000" w:fill="ffffff"/>
            <w:tcBorders>
              <w:left w:val="single" w:color="000000" w:sz="4" w:space="0"/>
              <w:bottom w:val="single" w:color="000000" w:sz="4" w:space="0"/>
              <w:right w:val="single" w:color="000000" w:sz="4" w:space="0"/>
            </w:tcBorders>
            <w:tcW w:w="288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623" w:type="dxa"/>
            <w:vAlign w:val="center"/>
          </w:tcPr>
          <w:p>
            <w:pPr>
              <w:pStyle w:val="12385"/>
              <w:pBdr/>
              <w:spacing/>
              <w:ind/>
              <w:rPr/>
            </w:pPr>
            <w:r>
              <w:t xml:space="preserve">0,07</w:t>
            </w:r>
            <w:r/>
          </w:p>
        </w:tc>
        <w:tc>
          <w:tcPr>
            <w:shd w:val="clear" w:color="000000" w:fill="ffffff"/>
            <w:tcBorders>
              <w:bottom w:val="single" w:color="000000" w:sz="4" w:space="0"/>
              <w:right w:val="single" w:color="000000" w:sz="4" w:space="0"/>
            </w:tcBorders>
            <w:tcW w:w="1573" w:type="dxa"/>
            <w:vAlign w:val="center"/>
          </w:tcPr>
          <w:p>
            <w:pPr>
              <w:pStyle w:val="12385"/>
              <w:pBdr/>
              <w:spacing/>
              <w:ind/>
              <w:rPr/>
            </w:pPr>
            <w:r>
              <w:t xml:space="preserve">0,18</w:t>
            </w:r>
            <w:r/>
          </w:p>
        </w:tc>
        <w:tc>
          <w:tcPr>
            <w:shd w:val="clear" w:color="000000" w:fill="ffffff"/>
            <w:tcBorders>
              <w:bottom w:val="single" w:color="000000" w:sz="4" w:space="0"/>
              <w:right w:val="single" w:color="000000" w:sz="4" w:space="0"/>
            </w:tcBorders>
            <w:tcW w:w="1434" w:type="dxa"/>
            <w:vAlign w:val="center"/>
          </w:tcPr>
          <w:p>
            <w:pPr>
              <w:pStyle w:val="12385"/>
              <w:pBdr/>
              <w:spacing/>
              <w:ind/>
              <w:rPr/>
            </w:pPr>
            <w:r>
              <w:t xml:space="preserve">0,0004</w:t>
            </w:r>
            <w:r/>
          </w:p>
        </w:tc>
        <w:tc>
          <w:tcPr>
            <w:shd w:val="clear" w:color="000000" w:fill="ffffff"/>
            <w:tcBorders>
              <w:bottom w:val="single" w:color="000000" w:sz="4" w:space="0"/>
              <w:right w:val="single" w:color="000000" w:sz="4" w:space="0"/>
            </w:tcBorders>
            <w:tcW w:w="1841" w:type="dxa"/>
            <w:vAlign w:val="center"/>
          </w:tcPr>
          <w:p>
            <w:pPr>
              <w:pStyle w:val="12385"/>
              <w:pBdr/>
              <w:spacing/>
              <w:ind/>
              <w:rPr/>
            </w:pPr>
            <w:r>
              <w:t xml:space="preserve">0,001319</w:t>
            </w:r>
            <w:r/>
          </w:p>
        </w:tc>
      </w:tr>
    </w:tbl>
    <w:p>
      <w:pPr>
        <w:pStyle w:val="12960"/>
        <w:pBdr/>
        <w:spacing/>
        <w:ind/>
        <w:rPr/>
        <w:sectPr>
          <w:headerReference w:type="default" r:id="rId138"/>
          <w:headerReference w:type="first" r:id="rId139"/>
          <w:footerReference w:type="default" r:id="rId406"/>
          <w:footerReference w:type="first" r:id="rId407"/>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sectPr>
          <w:headerReference w:type="default" r:id="rId140"/>
          <w:headerReference w:type="first" r:id="rId141"/>
          <w:footerReference w:type="default" r:id="rId408"/>
          <w:footerReference w:type="first" r:id="rId409"/>
          <w:footnotePr/>
          <w:endnotePr/>
          <w:type w:val="nextPage"/>
          <w:pgSz w:h="16838" w:orient="portrait" w:w="11906"/>
          <w:pgMar w:top="1134" w:right="850" w:bottom="1134" w:left="1701" w:header="567" w:footer="454" w:gutter="0"/>
          <w:cols w:num="1" w:sep="0" w:space="1701" w:equalWidth="1"/>
        </w:sectPr>
      </w:pPr>
      <w:r/>
      <w:bookmarkStart w:id="812" w:name="_Toc198483588"/>
      <w:r/>
      <w:bookmarkStart w:id="813" w:name="_Toc9154883"/>
      <w:r/>
      <w:bookmarkStart w:id="814" w:name="_Toc166767248"/>
      <w:r/>
      <w:bookmarkStart w:id="815" w:name="_Toc84971029"/>
      <w:r>
        <w:rPr>
          <w:spacing w:val="0"/>
        </w:rPr>
        <w:t xml:space="preserve">ГЛАВА 7. ПРЕДЛОЖЕНИЯ ПО СТРОИТЕЛЬСТВУ, РЕКОНСТРУКЦИИ, ТЕХНИЧЕСКОМУ ПЕРЕВООРУЖЕНИЮ И (ИЛИ) МОДЕРНИЗАЦИИ ИСТОЧНИКОВ ТЕПЛОВОЙ ЭНЕРГИИ</w:t>
      </w:r>
      <w:bookmarkEnd w:id="812"/>
      <w:r/>
      <w:bookmarkEnd w:id="813"/>
      <w:r/>
      <w:bookmarkEnd w:id="814"/>
      <w:r/>
      <w:bookmarkEnd w:id="815"/>
      <w:r/>
      <w:r>
        <w:rPr>
          <w:spacing w:val="0"/>
        </w:rPr>
      </w:r>
    </w:p>
    <w:p>
      <w:pPr>
        <w:pStyle w:val="10534"/>
        <w:numPr>
          <w:ilvl w:val="0"/>
          <w:numId w:val="132"/>
        </w:numPr>
        <w:pBdr/>
        <w:spacing/>
        <w:ind/>
        <w:rPr>
          <w:rFonts w:ascii="Times New Roman" w:hAnsi="Times New Roman" w:eastAsia="Times New Roman" w:cs="Times New Roman"/>
          <w:b/>
          <w:smallCaps/>
          <w:spacing w:val="0"/>
          <w:sz w:val="28"/>
          <w:szCs w:val="36"/>
          <w:lang w:eastAsia="en-US" w:bidi="en-US"/>
        </w:rPr>
      </w:pPr>
      <w:r/>
      <w:bookmarkStart w:id="816" w:name="_Toc166767249"/>
      <w:r/>
      <w:bookmarkStart w:id="817" w:name="_Toc9154884"/>
      <w:r/>
      <w:bookmarkStart w:id="818" w:name="_Toc84971030"/>
      <w:r/>
      <w:bookmarkStart w:id="819" w:name="_Toc198483589"/>
      <w:r>
        <w:rPr>
          <w:rFonts w:eastAsia="Times New Roman" w:cs="Times New Roman"/>
          <w:b/>
          <w:smallCaps/>
          <w:spacing w:val="0"/>
          <w:sz w:val="28"/>
          <w:szCs w:val="36"/>
          <w:lang w:eastAsia="en-US" w:bidi="en-US"/>
        </w:rPr>
        <w:t xml:space="preserve">Описание условий организации централизованного теплоснабжения, индивидуального теплоснабжения, а также поквартирного отопления</w:t>
      </w:r>
      <w:bookmarkEnd w:id="816"/>
      <w:r/>
      <w:bookmarkEnd w:id="817"/>
      <w:r/>
      <w:bookmarkEnd w:id="818"/>
      <w:r/>
      <w:bookmarkEnd w:id="819"/>
      <w:r/>
      <w:r>
        <w:rPr>
          <w:rFonts w:ascii="Times New Roman" w:hAnsi="Times New Roman" w:eastAsia="Times New Roman" w:cs="Times New Roman"/>
          <w:b/>
          <w:smallCaps/>
          <w:spacing w:val="0"/>
          <w:sz w:val="28"/>
          <w:szCs w:val="36"/>
          <w:lang w:eastAsia="en-US" w:bidi="en-US"/>
        </w:rPr>
      </w:r>
    </w:p>
    <w:p>
      <w:pPr>
        <w:pStyle w:val="12960"/>
        <w:pBdr/>
        <w:spacing/>
        <w:ind/>
        <w:rPr>
          <w:b/>
          <w:bCs w:val="0"/>
        </w:rPr>
      </w:pPr>
      <w:r/>
      <w:bookmarkStart w:id="820" w:name="_Hlk174403122"/>
      <w:r/>
      <w:bookmarkStart w:id="821" w:name="_Hlk135532167"/>
      <w:r/>
      <w:bookmarkStart w:id="822" w:name="_Hlk212945504"/>
      <w:r/>
      <w:r/>
      <w:bookmarkEnd w:id="820"/>
      <w:r/>
      <w:bookmarkEnd w:id="821"/>
      <w:r/>
      <w:bookmarkEnd w:id="822"/>
      <w:r>
        <w:rPr>
          <w:b/>
          <w:bCs w:val="0"/>
        </w:rPr>
        <w:t xml:space="preserve">Централизованное теплоснабжение</w:t>
      </w:r>
      <w:r>
        <w:rPr>
          <w:b/>
          <w:bCs w:val="0"/>
        </w:rPr>
      </w:r>
    </w:p>
    <w:p>
      <w:pPr>
        <w:pStyle w:val="12960"/>
        <w:pBdr/>
        <w:spacing/>
        <w:ind/>
        <w:rPr/>
      </w:pPr>
      <w:r/>
      <w:bookmarkStart w:id="824" w:name="_Hlk174403122"/>
      <w:r/>
      <w:bookmarkStart w:id="825" w:name="_Hlk135532167"/>
      <w:r/>
      <w:bookmarkStart w:id="826" w:name="_Hlk212945504"/>
      <w:r/>
      <w:r/>
      <w:r/>
      <w:r/>
      <w:bookmarkEnd w:id="824"/>
      <w:r/>
      <w:bookmarkEnd w:id="825"/>
      <w:r/>
      <w:bookmarkEnd w:id="826"/>
      <w:r>
        <w:t xml:space="preserve">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r/>
    </w:p>
    <w:p>
      <w:pPr>
        <w:pStyle w:val="12960"/>
        <w:pBdr/>
        <w:spacing/>
        <w:ind/>
        <w:rPr/>
      </w:pPr>
      <w:r/>
      <w:bookmarkStart w:id="830" w:name="_Hlk216659399"/>
      <w:r/>
      <w:bookmarkStart w:id="831" w:name="_Hlk216402784"/>
      <w:r>
        <w:t xml:space="preserve">В целях повышения качества централизованного теплоснабжения предлагается выполнение следующих мероприятий:</w:t>
      </w:r>
      <w:bookmarkEnd w:id="830"/>
      <w:r/>
      <w:bookmarkEnd w:id="831"/>
      <w:r/>
      <w:r/>
    </w:p>
    <w:p>
      <w:pPr>
        <w:pStyle w:val="13832"/>
        <w:numPr>
          <w:ilvl w:val="0"/>
          <w:numId w:val="61"/>
        </w:numPr>
        <w:pBdr/>
        <w:spacing/>
        <w:ind w:hanging="284" w:left="1135"/>
        <w:rPr/>
      </w:pPr>
      <w:r>
        <w:t xml:space="preserve">Техническое обследование сооружений и сетей теплоснабжения;</w:t>
      </w:r>
      <w:r/>
    </w:p>
    <w:p>
      <w:pPr>
        <w:pStyle w:val="13832"/>
        <w:numPr>
          <w:ilvl w:val="0"/>
          <w:numId w:val="61"/>
        </w:numPr>
        <w:pBdr/>
        <w:spacing/>
        <w:ind w:hanging="284" w:left="1135"/>
        <w:rPr/>
      </w:pPr>
      <w:r>
        <w:t xml:space="preserve">Установка водоподготовительных установок;</w:t>
      </w:r>
      <w:r/>
    </w:p>
    <w:p>
      <w:pPr>
        <w:pStyle w:val="13832"/>
        <w:numPr>
          <w:ilvl w:val="0"/>
          <w:numId w:val="61"/>
        </w:numPr>
        <w:pBdr/>
        <w:spacing/>
        <w:ind w:hanging="284" w:left="1135"/>
        <w:rPr/>
      </w:pPr>
      <w:r/>
      <w:bookmarkStart w:id="832" w:name="_Hlk208771847"/>
      <w:r/>
      <w:bookmarkStart w:id="833" w:name="_Hlk212141454"/>
      <w:r>
        <w:t xml:space="preserve">Установка дизель-генераторных установок;</w:t>
      </w:r>
      <w:bookmarkEnd w:id="832"/>
      <w:r/>
      <w:bookmarkEnd w:id="833"/>
      <w:r/>
      <w:r/>
    </w:p>
    <w:p>
      <w:pPr>
        <w:pStyle w:val="12960"/>
        <w:pBdr/>
        <w:spacing/>
        <w:ind/>
        <w:rPr/>
      </w:pPr>
      <w:r>
        <w:t xml:space="preserve">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w:t>
      </w:r>
      <w:r>
        <w:t xml:space="preserve">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(ред. от 01.05.2023) «О теплоснабжении» и пр</w:t>
      </w:r>
      <w:r>
        <w:t xml:space="preserve">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r/>
    </w:p>
    <w:p>
      <w:pPr>
        <w:pStyle w:val="12960"/>
        <w:pBdr/>
        <w:spacing/>
        <w:ind/>
        <w:rPr/>
      </w:pPr>
      <w:r>
        <w:t xml:space="preserve">Подключение осуществляется на основании договора на подключение к системе тепло</w:t>
      </w:r>
      <w:r>
        <w:t xml:space="preserve">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w:t>
      </w:r>
      <w:bookmarkStart w:id="834" w:name="b9b7c"/>
      <w:r/>
      <w:bookmarkEnd w:id="834"/>
      <w:r>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теплосн</w:t>
      </w:r>
      <w:r>
        <w:t xml:space="preserve">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r/>
    </w:p>
    <w:p>
      <w:pPr>
        <w:pStyle w:val="12960"/>
        <w:pBdr/>
        <w:spacing/>
        <w:ind/>
        <w:rPr/>
      </w:pPr>
      <w:r>
        <w:t xml:space="preserve">Нормативный срок подключения (с даты заключения договора о подключении) установлен п. 31. Правил и составляет: </w:t>
      </w:r>
      <w:r/>
    </w:p>
    <w:p>
      <w:pPr>
        <w:pStyle w:val="13832"/>
        <w:numPr>
          <w:ilvl w:val="0"/>
          <w:numId w:val="61"/>
        </w:numPr>
        <w:pBdr/>
        <w:spacing/>
        <w:ind w:hanging="284" w:left="1135"/>
        <w:rPr/>
      </w:pPr>
      <w:r>
        <w:t xml:space="preserve">не более 18 месяцев - в случае наличия технической возможности;</w:t>
      </w:r>
      <w:r/>
    </w:p>
    <w:p>
      <w:pPr>
        <w:pStyle w:val="13832"/>
        <w:numPr>
          <w:ilvl w:val="0"/>
          <w:numId w:val="61"/>
        </w:numPr>
        <w:pBdr/>
        <w:spacing/>
        <w:ind w:hanging="284" w:left="1135"/>
        <w:rPr/>
      </w:pPr>
      <w:r>
        <w:t xml:space="preserve">не более 3 лет - в случае если техническая возможность подключения обеспечивается в рамках инвестиционной программы </w:t>
      </w:r>
      <w:bookmarkStart w:id="835" w:name="OLE_LINK2"/>
      <w:r/>
      <w:bookmarkStart w:id="836" w:name="OLE_LINK3"/>
      <w:r/>
      <w:bookmarkStart w:id="837" w:name="OLE_LINK1"/>
      <w:r>
        <w:t xml:space="preserve">исполнителя или смежной</w:t>
      </w:r>
      <w:bookmarkEnd w:id="835"/>
      <w:r/>
      <w:bookmarkEnd w:id="836"/>
      <w:r/>
      <w:bookmarkEnd w:id="837"/>
      <w:r>
        <w:t xml:space="preserve"> ООО «АГК» и иной срок не указан в ИП.</w:t>
      </w:r>
      <w:r/>
    </w:p>
    <w:p>
      <w:pPr>
        <w:pStyle w:val="12960"/>
        <w:pBdr/>
        <w:spacing/>
        <w:ind/>
        <w:rPr/>
      </w:pPr>
      <w: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w:t>
      </w:r>
      <w:r>
        <w:t xml:space="preserve">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w:t>
      </w:r>
      <w:r>
        <w:t xml:space="preserve">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w:t>
      </w:r>
      <w:r>
        <w:t xml:space="preserve">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w:t>
      </w:r>
      <w:r>
        <w:t xml:space="preserve">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w:t>
      </w:r>
      <w:r>
        <w:t xml:space="preserve">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w:t>
      </w:r>
      <w:r>
        <w:t xml:space="preserve">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w:t>
      </w:r>
      <w:r>
        <w:t xml:space="preserve">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w:t>
      </w:r>
      <w:r>
        <w:t xml:space="preserve">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r/>
    </w:p>
    <w:p>
      <w:pPr>
        <w:pStyle w:val="12960"/>
        <w:pBdr/>
        <w:spacing/>
        <w:ind/>
        <w:rPr/>
      </w:pPr>
      <w: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w:t>
      </w:r>
      <w:r>
        <w:t xml:space="preserve">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w:t>
      </w:r>
      <w:r>
        <w:t xml:space="preserve">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w:t>
      </w:r>
      <w:r>
        <w:t xml:space="preserve">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r/>
    </w:p>
    <w:p>
      <w:pPr>
        <w:pStyle w:val="12960"/>
        <w:pBdr/>
        <w:spacing/>
        <w:ind/>
        <w:rPr/>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r/>
    </w:p>
    <w:p>
      <w:pPr>
        <w:pStyle w:val="12960"/>
        <w:pBdr/>
        <w:spacing/>
        <w:ind/>
        <w:rPr/>
      </w:pPr>
      <w:r>
        <w:t xml:space="preserve">С потребителями, находящимися за границей радиуса эффективного тепл</w:t>
      </w:r>
      <w:r>
        <w:t xml:space="preserve">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r/>
    </w:p>
    <w:p>
      <w:pPr>
        <w:pStyle w:val="12960"/>
        <w:pBdr/>
        <w:spacing/>
        <w:ind/>
        <w:rPr/>
      </w:pPr>
      <w:r>
        <w:t xml:space="preserve">Зоны централизованного теплоснабжения представлены в книге 1 обосновывающих материалов.</w:t>
      </w:r>
      <w:r/>
    </w:p>
    <w:p>
      <w:pPr>
        <w:pStyle w:val="10533"/>
        <w:pBdr/>
        <w:spacing w:line="360" w:lineRule="auto"/>
        <w:ind/>
        <w:rPr/>
      </w:pPr>
      <w:r>
        <w:t xml:space="preserve">Индивидуальное теплоснабжение предусматривается для:</w:t>
      </w:r>
      <w:r/>
    </w:p>
    <w:p>
      <w:pPr>
        <w:pStyle w:val="11103"/>
        <w:widowControl w:val="true"/>
        <w:numPr>
          <w:ilvl w:val="0"/>
          <w:numId w:val="65"/>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Индивидуальных жилых домов до трех этажей вне зависимости от месторасположения;</w:t>
      </w:r>
      <w:r>
        <w:rPr>
          <w:rFonts w:ascii="Times New Roman" w:hAnsi="Times New Roman" w:eastAsia="MS Mincho"/>
          <w:lang w:val="ru-RU"/>
        </w:rPr>
      </w:r>
    </w:p>
    <w:p>
      <w:pPr>
        <w:pStyle w:val="11103"/>
        <w:widowControl w:val="true"/>
        <w:numPr>
          <w:ilvl w:val="0"/>
          <w:numId w:val="65"/>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Малоэтажн</w:t>
      </w:r>
      <w:r>
        <w:rPr>
          <w:rFonts w:ascii="Times New Roman" w:hAnsi="Times New Roman" w:eastAsia="MS Mincho"/>
          <w:lang w:val="ru-RU"/>
        </w:rPr>
        <w:t xml:space="preserve">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r>
        <w:rPr>
          <w:rFonts w:ascii="Times New Roman" w:hAnsi="Times New Roman" w:eastAsia="MS Mincho"/>
          <w:lang w:val="ru-RU"/>
        </w:rPr>
      </w:r>
    </w:p>
    <w:p>
      <w:pPr>
        <w:pStyle w:val="11103"/>
        <w:widowControl w:val="true"/>
        <w:numPr>
          <w:ilvl w:val="0"/>
          <w:numId w:val="65"/>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r>
        <w:rPr>
          <w:rFonts w:ascii="Times New Roman" w:hAnsi="Times New Roman" w:eastAsia="MS Mincho"/>
          <w:lang w:val="ru-RU"/>
        </w:rPr>
      </w:r>
    </w:p>
    <w:p>
      <w:pPr>
        <w:pStyle w:val="11103"/>
        <w:widowControl w:val="true"/>
        <w:numPr>
          <w:ilvl w:val="0"/>
          <w:numId w:val="65"/>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r>
        <w:rPr>
          <w:rFonts w:ascii="Times New Roman" w:hAnsi="Times New Roman" w:eastAsia="MS Mincho"/>
          <w:lang w:val="ru-RU"/>
        </w:rPr>
      </w:r>
    </w:p>
    <w:p>
      <w:pPr>
        <w:pStyle w:val="11103"/>
        <w:numPr>
          <w:ilvl w:val="0"/>
          <w:numId w:val="65"/>
        </w:numPr>
        <w:pBdr/>
        <w:spacing/>
        <w:ind/>
        <w:rPr>
          <w:rFonts w:ascii="Times New Roman" w:hAnsi="Times New Roman" w:eastAsia="MS Mincho"/>
          <w:lang w:val="ru-RU"/>
        </w:rPr>
      </w:pPr>
      <w:r>
        <w:rPr>
          <w:rFonts w:ascii="Times New Roman" w:hAnsi="Times New Roman" w:eastAsia="MS Mincho"/>
          <w:lang w:val="ru-RU"/>
        </w:rPr>
        <w:t xml:space="preserve">Промышленных и прочих потребителей;</w:t>
      </w:r>
      <w:r>
        <w:rPr>
          <w:rFonts w:ascii="Times New Roman" w:hAnsi="Times New Roman" w:eastAsia="MS Mincho"/>
          <w:lang w:val="ru-RU"/>
        </w:rPr>
      </w:r>
    </w:p>
    <w:p>
      <w:pPr>
        <w:pStyle w:val="11103"/>
        <w:widowControl w:val="true"/>
        <w:numPr>
          <w:ilvl w:val="0"/>
          <w:numId w:val="65"/>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Инновационных объектов, проектом теплоснабжения которых предусматривается удельный расход тепловой энергии на отопление менее 15 кВт∙ч/м</w:t>
      </w:r>
      <w:r>
        <w:rPr>
          <w:rFonts w:ascii="Times New Roman" w:hAnsi="Times New Roman" w:eastAsia="MS Mincho"/>
          <w:vertAlign w:val="superscript"/>
          <w:lang w:val="ru-RU"/>
        </w:rPr>
        <w:t xml:space="preserve">2</w:t>
      </w:r>
      <w:r>
        <w:rPr>
          <w:rFonts w:ascii="Times New Roman" w:hAnsi="Times New Roman" w:eastAsia="MS Mincho"/>
          <w:lang w:val="ru-RU"/>
        </w:rPr>
        <w:t xml:space="preserve">год, т.н. «пассивный (или нулевой) дом» или теплоснабжение которых предусматривается от альтернативных источников, включая вторичные энергоресурсы.</w:t>
      </w:r>
      <w:r>
        <w:rPr>
          <w:rFonts w:ascii="Times New Roman" w:hAnsi="Times New Roman" w:eastAsia="MS Mincho"/>
          <w:lang w:val="ru-RU"/>
        </w:rPr>
      </w:r>
    </w:p>
    <w:p>
      <w:pPr>
        <w:pStyle w:val="12960"/>
        <w:pBdr/>
        <w:spacing/>
        <w:ind/>
        <w:rPr/>
      </w:pPr>
      <w:r>
        <w:t xml:space="preserve">Согласно п</w:t>
      </w:r>
      <w:r>
        <w:t xml:space="preserve">остановлению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r/>
    </w:p>
    <w:p>
      <w:pPr>
        <w:pStyle w:val="12960"/>
        <w:pBdr/>
        <w:spacing/>
        <w:ind/>
        <w:rPr/>
      </w:pPr>
      <w:r>
        <w:t xml:space="preserve">Настоящие Правила определяют порядок подключения (технологического п</w:t>
      </w:r>
      <w:r>
        <w:t xml:space="preserve">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r/>
    </w:p>
    <w:p>
      <w:pPr>
        <w:pStyle w:val="12960"/>
        <w:pBdr/>
        <w:spacing/>
        <w:ind/>
        <w:rPr/>
      </w:pPr>
      <w:r>
        <w:t xml:space="preserve">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r/>
    </w:p>
    <w:p>
      <w:pPr>
        <w:pStyle w:val="12960"/>
        <w:pBdr/>
        <w:spacing/>
        <w:ind/>
        <w:rPr/>
      </w:pPr>
      <w:r>
        <w:t xml:space="preserve">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r/>
    </w:p>
    <w:p>
      <w:pPr>
        <w:pStyle w:val="13832"/>
        <w:keepNext w:val="false"/>
        <w:widowControl w:val="true"/>
        <w:numPr>
          <w:ilvl w:val="0"/>
          <w:numId w:val="61"/>
        </w:numPr>
        <w:pBdr/>
        <w:bidi w:val="false"/>
        <w:spacing w:after="0" w:before="0" w:line="360" w:lineRule="auto"/>
        <w:ind w:right="0" w:firstLine="567" w:left="0"/>
        <w:jc w:val="both"/>
        <w:rPr/>
      </w:pPr>
      <w:r>
        <w:t xml:space="preserve">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r/>
    </w:p>
    <w:p>
      <w:pPr>
        <w:pStyle w:val="12960"/>
        <w:pBdr/>
        <w:spacing/>
        <w:ind/>
        <w:rPr/>
      </w:pPr>
      <w:r>
        <w:t xml:space="preserve">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r/>
    </w:p>
    <w:p>
      <w:pPr>
        <w:pStyle w:val="12960"/>
        <w:pBdr/>
        <w:spacing/>
        <w:ind/>
        <w:rPr/>
      </w:pPr>
      <w:r>
        <w:t xml:space="preserve">В случае отсутствия технической возможност</w:t>
      </w:r>
      <w:r>
        <w:t xml:space="preserve">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w:t>
      </w:r>
      <w:r>
        <w:t xml:space="preserve">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r/>
    </w:p>
    <w:p>
      <w:pPr>
        <w:pStyle w:val="12960"/>
        <w:pBdr/>
        <w:spacing/>
        <w:ind/>
        <w:rPr/>
      </w:pPr>
      <w:r>
        <w:t xml:space="preserve">В случае если теплоснабжающая организация или теплосетевая о</w:t>
      </w:r>
      <w:r>
        <w:t xml:space="preserve">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w:t>
      </w:r>
      <w:r>
        <w:t xml:space="preserve">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r/>
    </w:p>
    <w:p>
      <w:pPr>
        <w:pStyle w:val="12960"/>
        <w:pBdr/>
        <w:spacing/>
        <w:ind/>
        <w:rPr/>
      </w:pPr>
      <w:r>
        <w:t xml:space="preserve">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r/>
    </w:p>
    <w:p>
      <w:pPr>
        <w:pStyle w:val="12960"/>
        <w:pBdr/>
        <w:spacing/>
        <w:ind/>
        <w:rPr/>
      </w:pPr>
      <w:r>
        <w:t xml:space="preserve">В поселениях, с численностью населения 500 тыс. человек и более орган местного </w:t>
      </w:r>
      <w:r>
        <w:t xml:space="preserve">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r/>
    </w:p>
    <w:p>
      <w:pPr>
        <w:pStyle w:val="12960"/>
        <w:pBdr/>
        <w:spacing/>
        <w:ind/>
        <w:rPr/>
      </w:pPr>
      <w:r/>
      <w:r>
        <w:br w:type="page" w:clear="all"/>
      </w:r>
      <w:r/>
    </w:p>
    <w:p>
      <w:pPr>
        <w:pStyle w:val="10534"/>
        <w:numPr>
          <w:ilvl w:val="0"/>
          <w:numId w:val="133"/>
        </w:numPr>
        <w:pBdr/>
        <w:spacing/>
        <w:ind/>
        <w:rPr>
          <w:rFonts w:ascii="Times New Roman" w:hAnsi="Times New Roman" w:eastAsia="Times New Roman" w:cs="Times New Roman"/>
          <w:b/>
          <w:smallCaps/>
          <w:spacing w:val="0"/>
          <w:sz w:val="28"/>
          <w:szCs w:val="36"/>
          <w:lang w:eastAsia="en-US" w:bidi="en-US"/>
        </w:rPr>
      </w:pPr>
      <w:r/>
      <w:bookmarkStart w:id="838" w:name="_Toc9154885"/>
      <w:r/>
      <w:bookmarkStart w:id="839" w:name="_Toc166767250"/>
      <w:r/>
      <w:bookmarkStart w:id="840" w:name="_Toc198483590"/>
      <w:r/>
      <w:bookmarkStart w:id="841" w:name="_Toc84971031"/>
      <w:r>
        <w:rPr>
          <w:rFonts w:eastAsia="Times New Roman" w:cs="Times New Roman"/>
          <w:b/>
          <w:smallCaps/>
          <w:spacing w:val="0"/>
          <w:sz w:val="28"/>
          <w:szCs w:val="36"/>
          <w:lang w:eastAsia="en-US" w:bidi="en-US"/>
        </w:rPr>
        <w:t xml:space="preserve">Описание текущей ситуации, связанной с ранее принятыми</w:t>
      </w:r>
      <w:r>
        <w:rPr>
          <w:rFonts w:eastAsia="Times New Roman" w:cs="Times New Roman"/>
          <w:b/>
          <w:smallCaps/>
          <w:spacing w:val="0"/>
          <w:sz w:val="28"/>
          <w:szCs w:val="36"/>
          <w:lang w:eastAsia="en-US" w:bidi="en-US"/>
        </w:rPr>
        <w:t xml:space="preserve">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838"/>
      <w:r/>
      <w:bookmarkEnd w:id="839"/>
      <w:r/>
      <w:bookmarkEnd w:id="840"/>
      <w:r/>
      <w:bookmarkEnd w:id="841"/>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На территории </w:t>
      </w:r>
      <w:bookmarkStart w:id="842" w:name="_Hlk213997652"/>
      <w:r>
        <w:t xml:space="preserve">муниципального образования Астаповское </w:t>
      </w:r>
      <w:bookmarkEnd w:id="842"/>
      <w:r>
        <w:t xml:space="preserve">отсутствуют источники комбинированной выработки тепловой и электрической энергии.</w:t>
      </w:r>
      <w:r/>
    </w:p>
    <w:p>
      <w:pPr>
        <w:pStyle w:val="12960"/>
        <w:pBdr/>
        <w:spacing/>
        <w:ind/>
        <w:rPr/>
      </w:pPr>
      <w:r/>
      <w:r>
        <w:br w:type="page" w:clear="all"/>
      </w:r>
      <w:r/>
    </w:p>
    <w:p>
      <w:pPr>
        <w:pStyle w:val="10534"/>
        <w:numPr>
          <w:ilvl w:val="0"/>
          <w:numId w:val="134"/>
        </w:numPr>
        <w:pBdr/>
        <w:spacing/>
        <w:ind/>
        <w:rPr>
          <w:rFonts w:ascii="Times New Roman" w:hAnsi="Times New Roman" w:eastAsia="Times New Roman" w:cs="Times New Roman"/>
          <w:b/>
          <w:smallCaps/>
          <w:spacing w:val="0"/>
          <w:sz w:val="28"/>
          <w:szCs w:val="36"/>
          <w:lang w:eastAsia="en-US" w:bidi="en-US"/>
        </w:rPr>
      </w:pPr>
      <w:r/>
      <w:bookmarkStart w:id="843" w:name="_Toc198483591"/>
      <w:r/>
      <w:bookmarkStart w:id="844" w:name="_Toc166767251"/>
      <w:r/>
      <w:bookmarkStart w:id="845" w:name="_Toc84971032"/>
      <w:r/>
      <w:bookmarkStart w:id="846" w:name="_Toc9154886"/>
      <w:r>
        <w:rPr>
          <w:rFonts w:eastAsia="Times New Roman" w:cs="Times New Roman"/>
          <w:b/>
          <w:smallCaps/>
          <w:spacing w:val="0"/>
          <w:sz w:val="28"/>
          <w:szCs w:val="36"/>
          <w:lang w:eastAsia="en-US" w:bidi="en-US"/>
        </w:rPr>
        <w:t xml:space="preserve">Анализ надежности и качества теплоснабжения для случаев отнесения генер</w:t>
      </w:r>
      <w:r>
        <w:rPr>
          <w:rFonts w:eastAsia="Times New Roman" w:cs="Times New Roman"/>
          <w:b/>
          <w:smallCaps/>
          <w:spacing w:val="0"/>
          <w:sz w:val="28"/>
          <w:szCs w:val="36"/>
          <w:lang w:eastAsia="en-US" w:bidi="en-US"/>
        </w:rPr>
        <w:t xml:space="preserve">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w:t>
      </w:r>
      <w:r>
        <w:rPr>
          <w:rFonts w:eastAsia="Times New Roman" w:cs="Times New Roman"/>
          <w:b/>
          <w:smallCaps/>
          <w:spacing w:val="0"/>
          <w:sz w:val="28"/>
          <w:szCs w:val="36"/>
          <w:lang w:eastAsia="en-US" w:bidi="en-US"/>
        </w:rPr>
        <w:t xml:space="preserve">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843"/>
      <w:r/>
      <w:bookmarkEnd w:id="844"/>
      <w:r/>
      <w:bookmarkEnd w:id="845"/>
      <w:r/>
      <w:bookmarkEnd w:id="846"/>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На территории муниципального образования Астаповское отсутствуют источники комбинированной выработки тепловой и электрической энергии.</w:t>
      </w:r>
      <w:r/>
    </w:p>
    <w:p>
      <w:pPr>
        <w:pStyle w:val="12960"/>
        <w:pBdr/>
        <w:spacing/>
        <w:ind/>
        <w:rPr/>
      </w:pPr>
      <w:r/>
      <w:r/>
    </w:p>
    <w:p>
      <w:pPr>
        <w:pStyle w:val="12960"/>
        <w:pBdr/>
        <w:spacing/>
        <w:ind/>
        <w:rPr/>
      </w:pPr>
      <w:r/>
      <w:r>
        <w:br w:type="page" w:clear="all"/>
      </w:r>
      <w:r/>
    </w:p>
    <w:p>
      <w:pPr>
        <w:pStyle w:val="10534"/>
        <w:numPr>
          <w:ilvl w:val="0"/>
          <w:numId w:val="135"/>
        </w:numPr>
        <w:pBdr/>
        <w:spacing/>
        <w:ind/>
        <w:rPr>
          <w:rFonts w:ascii="Times New Roman" w:hAnsi="Times New Roman" w:eastAsia="Times New Roman" w:cs="Times New Roman"/>
          <w:b/>
          <w:smallCaps/>
          <w:spacing w:val="0"/>
          <w:sz w:val="28"/>
          <w:szCs w:val="36"/>
          <w:lang w:eastAsia="en-US" w:bidi="en-US"/>
        </w:rPr>
      </w:pPr>
      <w:r/>
      <w:bookmarkStart w:id="847" w:name="_Toc9154887"/>
      <w:r/>
      <w:bookmarkStart w:id="848" w:name="_Toc84971033"/>
      <w:r/>
      <w:bookmarkStart w:id="849" w:name="_Toc166767252"/>
      <w:r/>
      <w:bookmarkStart w:id="850" w:name="_Toc198483592"/>
      <w:r>
        <w:rPr>
          <w:rFonts w:eastAsia="Times New Roman" w:cs="Times New Roman"/>
          <w:b/>
          <w:smallCaps/>
          <w:spacing w:val="0"/>
          <w:sz w:val="28"/>
          <w:szCs w:val="36"/>
          <w:lang w:eastAsia="en-US" w:bidi="en-US"/>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847"/>
      <w:r/>
      <w:bookmarkEnd w:id="848"/>
      <w:r/>
      <w:bookmarkEnd w:id="849"/>
      <w:r/>
      <w:bookmarkEnd w:id="850"/>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Согласно Методическим рекомендациям по разработке схем теплос</w:t>
      </w:r>
      <w:r>
        <w:t xml:space="preserve">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w:t>
      </w:r>
      <w:r>
        <w:t xml:space="preserve">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r/>
    </w:p>
    <w:p>
      <w:pPr>
        <w:pStyle w:val="12960"/>
        <w:pBdr/>
        <w:spacing/>
        <w:ind/>
        <w:rPr/>
      </w:pPr>
      <w:r>
        <w:t xml:space="preserve">В данных программах перспективного развития, строительство нового источника комбинированной выработки эл</w:t>
      </w:r>
      <w:r>
        <w:t xml:space="preserve">ектрической и тепловой энергии на территории муниципального образования не предусматривается. Базовым проектом Схемы теплоснабжения, размещение источников комбинированной выработки на территории муниципального образования Астаповское не предусматривается. </w:t>
      </w:r>
      <w:r>
        <w:br w:type="page" w:clear="all"/>
      </w:r>
      <w:r/>
    </w:p>
    <w:p>
      <w:pPr>
        <w:pStyle w:val="10534"/>
        <w:numPr>
          <w:ilvl w:val="0"/>
          <w:numId w:val="136"/>
        </w:numPr>
        <w:pBdr/>
        <w:spacing/>
        <w:ind/>
        <w:rPr>
          <w:rFonts w:ascii="Times New Roman" w:hAnsi="Times New Roman" w:eastAsia="Times New Roman" w:cs="Times New Roman"/>
          <w:b/>
          <w:smallCaps/>
          <w:spacing w:val="0"/>
          <w:sz w:val="28"/>
          <w:szCs w:val="36"/>
          <w:lang w:eastAsia="en-US" w:bidi="en-US"/>
        </w:rPr>
      </w:pPr>
      <w:r/>
      <w:bookmarkStart w:id="851" w:name="_Toc198483593"/>
      <w:r/>
      <w:bookmarkStart w:id="852" w:name="_Toc166767253"/>
      <w:r/>
      <w:bookmarkStart w:id="853" w:name="_Toc84971034"/>
      <w:r/>
      <w:bookmarkStart w:id="854" w:name="_Toc9154888"/>
      <w:r>
        <w:rPr>
          <w:rFonts w:eastAsia="Times New Roman" w:cs="Times New Roman"/>
          <w:b/>
          <w:smallCaps/>
          <w:spacing w:val="0"/>
          <w:sz w:val="28"/>
          <w:szCs w:val="36"/>
          <w:lang w:eastAsia="en-US" w:bidi="en-US"/>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851"/>
      <w:r/>
      <w:bookmarkEnd w:id="852"/>
      <w:r/>
      <w:bookmarkEnd w:id="853"/>
      <w:r/>
      <w:bookmarkEnd w:id="854"/>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На территории муниципального образования Астаповское отсутствуют источники комбинированной выработки тепловой и электрической энергии.</w:t>
      </w:r>
      <w:r/>
    </w:p>
    <w:p>
      <w:pPr>
        <w:pStyle w:val="12960"/>
        <w:pBdr/>
        <w:spacing/>
        <w:ind/>
        <w:rPr/>
      </w:pPr>
      <w:r/>
      <w:r/>
    </w:p>
    <w:p>
      <w:pPr>
        <w:pStyle w:val="12960"/>
        <w:pBdr/>
        <w:spacing/>
        <w:ind/>
        <w:rPr/>
      </w:pPr>
      <w:r/>
      <w:r/>
    </w:p>
    <w:p>
      <w:pPr>
        <w:pStyle w:val="12960"/>
        <w:pBdr/>
        <w:spacing/>
        <w:ind/>
        <w:rPr/>
      </w:pPr>
      <w:r/>
      <w:r/>
    </w:p>
    <w:p>
      <w:pPr>
        <w:pStyle w:val="12960"/>
        <w:pBdr/>
        <w:spacing/>
        <w:ind/>
        <w:rPr/>
      </w:pPr>
      <w:r/>
      <w:r>
        <w:br w:type="page" w:clear="all"/>
      </w:r>
      <w:r/>
    </w:p>
    <w:p>
      <w:pPr>
        <w:pStyle w:val="10534"/>
        <w:numPr>
          <w:ilvl w:val="0"/>
          <w:numId w:val="137"/>
        </w:numPr>
        <w:pBdr/>
        <w:spacing/>
        <w:ind/>
        <w:rPr>
          <w:rFonts w:ascii="Times New Roman" w:hAnsi="Times New Roman" w:eastAsia="Times New Roman" w:cs="Times New Roman"/>
          <w:b/>
          <w:smallCaps/>
          <w:spacing w:val="0"/>
          <w:sz w:val="28"/>
          <w:szCs w:val="36"/>
          <w:lang w:eastAsia="en-US" w:bidi="en-US"/>
        </w:rPr>
      </w:pPr>
      <w:r/>
      <w:bookmarkStart w:id="855" w:name="_Toc198483594"/>
      <w:r/>
      <w:bookmarkStart w:id="856" w:name="_Toc166767254"/>
      <w:r/>
      <w:bookmarkStart w:id="857" w:name="_Toc84971035"/>
      <w:r/>
      <w:bookmarkStart w:id="858" w:name="_Toc9154889"/>
      <w:r>
        <w:rPr>
          <w:rFonts w:eastAsia="Times New Roman" w:cs="Times New Roman"/>
          <w:b/>
          <w:smallCaps/>
          <w:spacing w:val="0"/>
          <w:sz w:val="28"/>
          <w:szCs w:val="36"/>
          <w:lang w:eastAsia="en-US" w:bidi="en-US"/>
        </w:rPr>
        <w:t xml:space="preserve">Обоснование предложений по переоборудованию котельных в источники тепловой энергии, </w:t>
      </w:r>
      <w:r>
        <w:rPr>
          <w:rFonts w:eastAsia="Times New Roman" w:cs="Times New Roman"/>
          <w:b/>
          <w:smallCaps/>
          <w:spacing w:val="0"/>
          <w:sz w:val="28"/>
          <w:szCs w:val="36"/>
          <w:lang w:eastAsia="en-US" w:bidi="en-US"/>
        </w:rPr>
        <w:t xml:space="preserve">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855"/>
      <w:r/>
      <w:bookmarkEnd w:id="856"/>
      <w:r/>
      <w:bookmarkEnd w:id="857"/>
      <w:r/>
      <w:bookmarkEnd w:id="858"/>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Базовым проектом Схемы теплоснабжения, размещение источников комбинированной выработки на территории муниципального образования Астаповское не предусматривается.</w:t>
      </w:r>
      <w:r>
        <w:br w:type="page" w:clear="all"/>
      </w:r>
      <w:r/>
    </w:p>
    <w:p>
      <w:pPr>
        <w:pStyle w:val="10534"/>
        <w:numPr>
          <w:ilvl w:val="0"/>
          <w:numId w:val="138"/>
        </w:numPr>
        <w:pBdr/>
        <w:spacing/>
        <w:ind/>
        <w:rPr>
          <w:rFonts w:ascii="Times New Roman" w:hAnsi="Times New Roman" w:eastAsia="Times New Roman" w:cs="Times New Roman"/>
          <w:b/>
          <w:smallCaps/>
          <w:spacing w:val="0"/>
          <w:sz w:val="28"/>
          <w:szCs w:val="36"/>
          <w:lang w:eastAsia="en-US" w:bidi="en-US"/>
        </w:rPr>
      </w:pPr>
      <w:r/>
      <w:bookmarkStart w:id="859" w:name="_Toc9154890"/>
      <w:r/>
      <w:bookmarkStart w:id="860" w:name="_Toc84971036"/>
      <w:r/>
      <w:bookmarkStart w:id="861" w:name="_Toc198483595"/>
      <w:r/>
      <w:bookmarkStart w:id="862" w:name="_Toc166767255"/>
      <w:r>
        <w:rPr>
          <w:rFonts w:eastAsia="Times New Roman" w:cs="Times New Roman"/>
          <w:b/>
          <w:smallCaps/>
          <w:spacing w:val="0"/>
          <w:sz w:val="28"/>
          <w:szCs w:val="36"/>
          <w:lang w:eastAsia="en-US" w:bidi="en-US"/>
        </w:rPr>
        <w:t xml:space="preserve">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859"/>
      <w:r/>
      <w:bookmarkEnd w:id="860"/>
      <w:r/>
      <w:bookmarkEnd w:id="861"/>
      <w:r/>
      <w:bookmarkEnd w:id="862"/>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r>
        <w:br w:type="page" w:clear="all"/>
      </w:r>
      <w:r/>
    </w:p>
    <w:p>
      <w:pPr>
        <w:pStyle w:val="10534"/>
        <w:numPr>
          <w:ilvl w:val="0"/>
          <w:numId w:val="139"/>
        </w:numPr>
        <w:pBdr/>
        <w:spacing/>
        <w:ind/>
        <w:rPr>
          <w:rFonts w:ascii="Times New Roman" w:hAnsi="Times New Roman" w:eastAsia="Times New Roman" w:cs="Times New Roman"/>
          <w:b/>
          <w:smallCaps/>
          <w:spacing w:val="0"/>
          <w:sz w:val="28"/>
          <w:szCs w:val="36"/>
          <w:lang w:eastAsia="en-US" w:bidi="en-US"/>
        </w:rPr>
      </w:pPr>
      <w:r/>
      <w:bookmarkStart w:id="863" w:name="_Toc198483596"/>
      <w:r/>
      <w:bookmarkStart w:id="864" w:name="_Toc166767256"/>
      <w:r/>
      <w:bookmarkStart w:id="865" w:name="_Toc84971037"/>
      <w:r/>
      <w:bookmarkStart w:id="866" w:name="_Toc9154891"/>
      <w:r>
        <w:rPr>
          <w:rFonts w:eastAsia="Times New Roman" w:cs="Times New Roman"/>
          <w:b/>
          <w:smallCaps/>
          <w:spacing w:val="0"/>
          <w:sz w:val="28"/>
          <w:szCs w:val="36"/>
          <w:lang w:eastAsia="en-US" w:bidi="en-US"/>
        </w:rPr>
        <w:t xml:space="preserve">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863"/>
      <w:r/>
      <w:bookmarkEnd w:id="864"/>
      <w:r/>
      <w:bookmarkEnd w:id="865"/>
      <w:r/>
      <w:bookmarkEnd w:id="866"/>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Перевод котельной в пиковый режим по отношению к источникам энергии с комбинированной выработкой тепловой и электрической энергии не предусматривается.</w:t>
      </w:r>
      <w:r>
        <w:br w:type="page" w:clear="all"/>
      </w:r>
      <w:r/>
    </w:p>
    <w:p>
      <w:pPr>
        <w:pStyle w:val="10534"/>
        <w:numPr>
          <w:ilvl w:val="0"/>
          <w:numId w:val="140"/>
        </w:numPr>
        <w:pBdr/>
        <w:spacing/>
        <w:ind/>
        <w:rPr>
          <w:rFonts w:ascii="Times New Roman" w:hAnsi="Times New Roman" w:eastAsia="Times New Roman" w:cs="Times New Roman"/>
          <w:b/>
          <w:smallCaps/>
          <w:spacing w:val="0"/>
          <w:sz w:val="28"/>
          <w:szCs w:val="36"/>
          <w:lang w:eastAsia="en-US" w:bidi="en-US"/>
        </w:rPr>
      </w:pPr>
      <w:r/>
      <w:bookmarkStart w:id="867" w:name="_Toc198483597"/>
      <w:r/>
      <w:bookmarkStart w:id="868" w:name="_Toc166767257"/>
      <w:r/>
      <w:bookmarkStart w:id="869" w:name="_Toc84971038"/>
      <w:r/>
      <w:bookmarkStart w:id="870" w:name="_Toc9154892"/>
      <w:r>
        <w:rPr>
          <w:rFonts w:eastAsia="Times New Roman" w:cs="Times New Roman"/>
          <w:b/>
          <w:smallCaps/>
          <w:spacing w:val="0"/>
          <w:sz w:val="28"/>
          <w:szCs w:val="36"/>
          <w:lang w:eastAsia="en-US" w:bidi="en-US"/>
        </w:rPr>
        <w:t xml:space="preserve">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867"/>
      <w:r/>
      <w:bookmarkEnd w:id="868"/>
      <w:r/>
      <w:bookmarkEnd w:id="869"/>
      <w:r/>
      <w:bookmarkEnd w:id="870"/>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Не предусматривается из-за отсутствия в муниципальном образовании источника с комбинированной выработкой тепловой и электрической энергией.</w:t>
      </w:r>
      <w:r>
        <w:br w:type="page" w:clear="all"/>
      </w:r>
      <w:r/>
    </w:p>
    <w:p>
      <w:pPr>
        <w:pStyle w:val="10534"/>
        <w:widowControl w:val="true"/>
        <w:numPr>
          <w:ilvl w:val="0"/>
          <w:numId w:val="141"/>
        </w:numPr>
        <w:pBdr/>
        <w:bidi w:val="false"/>
        <w:spacing w:after="240" w:before="120" w:line="360" w:lineRule="auto"/>
        <w:ind w:right="0" w:hanging="340" w:left="397"/>
        <w:contextualSpacing w:val="true"/>
        <w:jc w:val="center"/>
        <w:rPr>
          <w:spacing w:val="0"/>
        </w:rPr>
      </w:pPr>
      <w:r/>
      <w:bookmarkStart w:id="871" w:name="_Toc84971039"/>
      <w:r/>
      <w:bookmarkStart w:id="872" w:name="_Toc9154893"/>
      <w:r/>
      <w:bookmarkStart w:id="873" w:name="_Toc166767258"/>
      <w:r/>
      <w:bookmarkStart w:id="874" w:name="_Toc198483598"/>
      <w:r>
        <w:rPr>
          <w:spacing w:val="0"/>
        </w:rPr>
        <w:t xml:space="preserve"> </w:t>
      </w:r>
      <w:r>
        <w:rPr>
          <w:rFonts w:eastAsia="Times New Roman" w:cs="Times New Roman"/>
          <w:b/>
          <w:smallCaps/>
          <w:spacing w:val="0"/>
          <w:sz w:val="28"/>
          <w:szCs w:val="36"/>
          <w:lang w:eastAsia="en-US" w:bidi="en-US"/>
        </w:rPr>
        <w:t xml:space="preserve">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871"/>
      <w:r/>
      <w:bookmarkEnd w:id="872"/>
      <w:r/>
      <w:bookmarkEnd w:id="873"/>
      <w:r/>
      <w:bookmarkEnd w:id="874"/>
      <w:r/>
      <w:r>
        <w:rPr>
          <w:spacing w:val="0"/>
        </w:rPr>
      </w:r>
    </w:p>
    <w:p>
      <w:pPr>
        <w:pStyle w:val="12960"/>
        <w:pBdr/>
        <w:spacing/>
        <w:ind/>
        <w:rPr/>
      </w:pPr>
      <w:r/>
      <w:r>
        <w:t xml:space="preserve">Вывод в резерв и (или) вывода из эксплуатации котельных при передаче тепловых нагрузок на другие источники тепловой энергии не предусматривается.</w:t>
      </w:r>
      <w:r/>
    </w:p>
    <w:p>
      <w:pPr>
        <w:pStyle w:val="12960"/>
        <w:pBdr/>
        <w:spacing/>
        <w:ind/>
        <w:rPr/>
      </w:pPr>
      <w:r>
        <w:t xml:space="preserve">Вывод из эксплуатации – окончательная остановка работы источников тепловой энергии и тепловых сетей, которая осуществляется в целях их ликвидации или консервации на срок более одного года.</w:t>
      </w:r>
      <w:r/>
    </w:p>
    <w:p>
      <w:pPr>
        <w:pStyle w:val="12960"/>
        <w:pBdr/>
        <w:spacing/>
        <w:ind/>
        <w:rPr/>
      </w:pPr>
      <w:r>
        <w:t xml:space="preserve">Принятие окончательного решения о выводе из эксплуатации осуществляется по согласованию с органом местного самоуп</w:t>
      </w:r>
      <w:r>
        <w:t xml:space="preserve">равления в соответствии с Правилами вывода в ремонт и из эксплуатации источников тепловой энергии и тепловых сетей, утв. постановлением Правительства РФ от 06.09.2012 № 889 «О выводе в ремонт и из эксплуатации источников тепловой энергии и тепловых сетей».</w:t>
      </w:r>
      <w:r/>
    </w:p>
    <w:p>
      <w:pPr>
        <w:pStyle w:val="12960"/>
        <w:pBdr/>
        <w:spacing/>
        <w:ind/>
        <w:rPr/>
      </w:pPr>
      <w:r/>
      <w:bookmarkStart w:id="876" w:name="_Hlk205435191"/>
      <w:r>
        <w:t xml:space="preserve">В рамках реализации Схемы теплоснабжения вывод из эксплуатации, консервация и демонтаж источников тепловой энергии не предусмотрен.</w:t>
      </w:r>
      <w:bookmarkEnd w:id="876"/>
      <w:r>
        <w:br w:type="page" w:clear="all"/>
      </w:r>
      <w:r/>
    </w:p>
    <w:p>
      <w:pPr>
        <w:pStyle w:val="10534"/>
        <w:widowControl w:val="true"/>
        <w:numPr>
          <w:ilvl w:val="0"/>
          <w:numId w:val="142"/>
        </w:numPr>
        <w:pBdr/>
        <w:bidi w:val="false"/>
        <w:spacing w:after="240" w:before="120" w:line="360" w:lineRule="auto"/>
        <w:ind w:right="0" w:hanging="340" w:left="340"/>
        <w:contextualSpacing w:val="true"/>
        <w:jc w:val="center"/>
        <w:rPr>
          <w:spacing w:val="0"/>
        </w:rPr>
      </w:pPr>
      <w:r/>
      <w:bookmarkStart w:id="877" w:name="_Toc198483599"/>
      <w:r/>
      <w:bookmarkStart w:id="878" w:name="_Toc166767259"/>
      <w:r/>
      <w:bookmarkStart w:id="879" w:name="_Toc84971040"/>
      <w:r/>
      <w:bookmarkStart w:id="880" w:name="_Toc9154894"/>
      <w:r>
        <w:rPr>
          <w:spacing w:val="0"/>
        </w:rPr>
        <w:t xml:space="preserve"> </w:t>
      </w:r>
      <w:r>
        <w:rPr>
          <w:rFonts w:eastAsia="Times New Roman" w:cs="Times New Roman"/>
          <w:b/>
          <w:smallCaps/>
          <w:spacing w:val="0"/>
          <w:sz w:val="28"/>
          <w:szCs w:val="36"/>
          <w:lang w:eastAsia="en-US" w:bidi="en-US"/>
        </w:rPr>
        <w:t xml:space="preserve">Обоснование организации индивидуального теплоснабжения в зонах застройки поселения малоэтажными жилыми зданиями</w:t>
      </w:r>
      <w:bookmarkEnd w:id="877"/>
      <w:r/>
      <w:bookmarkEnd w:id="878"/>
      <w:r/>
      <w:bookmarkEnd w:id="879"/>
      <w:r/>
      <w:bookmarkEnd w:id="880"/>
      <w:r/>
      <w:r>
        <w:rPr>
          <w:spacing w:val="0"/>
        </w:rPr>
      </w:r>
    </w:p>
    <w:p>
      <w:pPr>
        <w:pStyle w:val="12960"/>
        <w:pBdr/>
        <w:spacing/>
        <w:ind/>
        <w:rPr/>
      </w:pPr>
      <w:r>
        <w:t xml:space="preserve">Централизованным теплоснабжением на расчетный период, предусматривается обеспечить сохраняемую застройку. </w:t>
      </w:r>
      <w:r/>
    </w:p>
    <w:p>
      <w:pPr>
        <w:pStyle w:val="12960"/>
        <w:pBdr/>
        <w:spacing/>
        <w:ind/>
        <w:rPr/>
      </w:pPr>
      <w:r>
        <w:t xml:space="preserve">Теплоснабжение индивидуальных жилых домов с приусадебными земельными участками и коттеджной застройки, расположенных за пределами системы централизованного теплоснабжения, предполагается осуществить децентрализовано от индивидуальных источников тепла. </w:t>
      </w:r>
      <w:r/>
    </w:p>
    <w:p>
      <w:pPr>
        <w:pStyle w:val="12960"/>
        <w:pBdr/>
        <w:spacing/>
        <w:ind/>
        <w:rPr/>
      </w:pPr>
      <w:r>
        <w:t xml:space="preserve">Подключение таких потребителей к централизованному теплоснабжению неоправданно в виду значительных капитальных затрат на строительство тепловых сетей. Плотность индивидуальной и малоэтажной застро</w:t>
      </w:r>
      <w:r>
        <w:t xml:space="preserve">йки мала, что приводит к необходимости строительства тепловых сетей малых диаметров, но большой протяженности. В настоящее время на рынке представлено значительное количество источников индивидуального теплоснабжения, работающих на различных видах топлива.</w:t>
      </w:r>
      <w:r/>
    </w:p>
    <w:p>
      <w:pPr>
        <w:pStyle w:val="12960"/>
        <w:pBdr/>
        <w:spacing/>
        <w:ind/>
        <w:rPr/>
      </w:pPr>
      <w: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r/>
    </w:p>
    <w:p>
      <w:pPr>
        <w:pStyle w:val="11103"/>
        <w:widowControl w:val="true"/>
        <w:numPr>
          <w:ilvl w:val="0"/>
          <w:numId w:val="66"/>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Индивидуальных жилых домов до трех этажей вне зависимости от месторасположения;</w:t>
      </w:r>
      <w:r>
        <w:rPr>
          <w:rFonts w:ascii="Times New Roman" w:hAnsi="Times New Roman" w:eastAsia="MS Mincho"/>
          <w:lang w:val="ru-RU"/>
        </w:rPr>
      </w:r>
    </w:p>
    <w:p>
      <w:pPr>
        <w:pStyle w:val="11103"/>
        <w:widowControl w:val="true"/>
        <w:numPr>
          <w:ilvl w:val="0"/>
          <w:numId w:val="66"/>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Малоэтажн</w:t>
      </w:r>
      <w:r>
        <w:rPr>
          <w:rFonts w:ascii="Times New Roman" w:hAnsi="Times New Roman" w:eastAsia="MS Mincho"/>
          <w:lang w:val="ru-RU"/>
        </w:rPr>
        <w:t xml:space="preserve">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r>
        <w:rPr>
          <w:rFonts w:ascii="Times New Roman" w:hAnsi="Times New Roman" w:eastAsia="MS Mincho"/>
          <w:lang w:val="ru-RU"/>
        </w:rPr>
      </w:r>
    </w:p>
    <w:p>
      <w:pPr>
        <w:pStyle w:val="11103"/>
        <w:widowControl w:val="true"/>
        <w:numPr>
          <w:ilvl w:val="0"/>
          <w:numId w:val="66"/>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r>
        <w:rPr>
          <w:rFonts w:ascii="Times New Roman" w:hAnsi="Times New Roman" w:eastAsia="MS Mincho"/>
          <w:lang w:val="ru-RU"/>
        </w:rPr>
      </w:r>
    </w:p>
    <w:p>
      <w:pPr>
        <w:pStyle w:val="11103"/>
        <w:widowControl w:val="true"/>
        <w:numPr>
          <w:ilvl w:val="0"/>
          <w:numId w:val="66"/>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r>
        <w:rPr>
          <w:rFonts w:ascii="Times New Roman" w:hAnsi="Times New Roman" w:eastAsia="MS Mincho"/>
          <w:lang w:val="ru-RU"/>
        </w:rPr>
      </w:r>
    </w:p>
    <w:p>
      <w:pPr>
        <w:pStyle w:val="11103"/>
        <w:numPr>
          <w:ilvl w:val="0"/>
          <w:numId w:val="66"/>
        </w:numPr>
        <w:pBdr/>
        <w:spacing/>
        <w:ind/>
        <w:rPr>
          <w:rFonts w:ascii="Times New Roman" w:hAnsi="Times New Roman" w:eastAsia="MS Mincho"/>
          <w:lang w:val="ru-RU"/>
        </w:rPr>
      </w:pPr>
      <w:r>
        <w:rPr>
          <w:rFonts w:ascii="Times New Roman" w:hAnsi="Times New Roman" w:eastAsia="MS Mincho"/>
          <w:lang w:val="ru-RU"/>
        </w:rPr>
        <w:t xml:space="preserve">Промышленных и прочих потребителей;</w:t>
      </w:r>
      <w:r>
        <w:rPr>
          <w:rFonts w:ascii="Times New Roman" w:hAnsi="Times New Roman" w:eastAsia="MS Mincho"/>
          <w:lang w:val="ru-RU"/>
        </w:rPr>
      </w:r>
    </w:p>
    <w:p>
      <w:pPr>
        <w:pStyle w:val="11103"/>
        <w:widowControl w:val="true"/>
        <w:numPr>
          <w:ilvl w:val="0"/>
          <w:numId w:val="66"/>
        </w:numPr>
        <w:pBdr/>
        <w:bidi w:val="false"/>
        <w:spacing w:after="0" w:before="0" w:line="360" w:lineRule="auto"/>
        <w:ind w:right="0" w:firstLine="567" w:left="0"/>
        <w:contextualSpacing w:val="true"/>
        <w:jc w:val="both"/>
        <w:rPr>
          <w:rFonts w:ascii="Times New Roman" w:hAnsi="Times New Roman" w:eastAsia="MS Mincho"/>
          <w:lang w:val="ru-RU"/>
        </w:rPr>
      </w:pPr>
      <w:r>
        <w:rPr>
          <w:rFonts w:ascii="Times New Roman" w:hAnsi="Times New Roman" w:eastAsia="MS Mincho"/>
          <w:lang w:val="ru-RU"/>
        </w:rPr>
        <w:t xml:space="preserve">Инновационных объектов, проектом теплоснабжения которых предусматривается удельный расход тепловой энергии на отопление менее 15 кВт∙ч/м</w:t>
      </w:r>
      <w:r>
        <w:rPr>
          <w:rFonts w:ascii="Times New Roman" w:hAnsi="Times New Roman" w:eastAsia="MS Mincho"/>
          <w:vertAlign w:val="superscript"/>
          <w:lang w:val="ru-RU"/>
        </w:rPr>
        <w:t xml:space="preserve">2</w:t>
      </w:r>
      <w:r>
        <w:rPr>
          <w:rFonts w:ascii="Times New Roman" w:hAnsi="Times New Roman" w:eastAsia="MS Mincho"/>
          <w:lang w:val="ru-RU"/>
        </w:rPr>
        <w:t xml:space="preserve">год, т.н. «пассивный (или нулевой) дом» или теплоснабжение которых предусматривается от альтернативных источников, включая вторичные энергоресурсы.</w:t>
      </w:r>
      <w:r>
        <w:rPr>
          <w:rFonts w:ascii="Times New Roman" w:hAnsi="Times New Roman" w:eastAsia="MS Mincho"/>
          <w:lang w:val="ru-RU"/>
        </w:rPr>
      </w:r>
    </w:p>
    <w:p>
      <w:pPr>
        <w:pStyle w:val="12960"/>
        <w:pBdr/>
        <w:spacing/>
        <w:ind/>
        <w:rPr/>
      </w:pPr>
      <w: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r>
        <w:br w:type="page" w:clear="all"/>
      </w:r>
      <w:r/>
    </w:p>
    <w:p>
      <w:pPr>
        <w:pStyle w:val="10534"/>
        <w:widowControl w:val="true"/>
        <w:numPr>
          <w:ilvl w:val="0"/>
          <w:numId w:val="143"/>
        </w:numPr>
        <w:pBdr/>
        <w:bidi w:val="false"/>
        <w:spacing w:after="240" w:before="120" w:line="360" w:lineRule="auto"/>
        <w:ind w:right="0" w:hanging="340" w:left="340"/>
        <w:contextualSpacing w:val="true"/>
        <w:jc w:val="center"/>
        <w:rPr>
          <w:spacing w:val="0"/>
        </w:rPr>
      </w:pPr>
      <w:r/>
      <w:bookmarkStart w:id="881" w:name="_Toc198483600"/>
      <w:r/>
      <w:bookmarkStart w:id="882" w:name="_Toc9154895"/>
      <w:r/>
      <w:bookmarkStart w:id="883" w:name="_Toc166767260"/>
      <w:r/>
      <w:bookmarkStart w:id="884" w:name="_Toc84971041"/>
      <w:r>
        <w:rPr>
          <w:spacing w:val="0"/>
        </w:rPr>
        <w:t xml:space="preserve"> </w:t>
      </w:r>
      <w:r>
        <w:rPr>
          <w:rFonts w:eastAsia="Times New Roman" w:cs="Times New Roman"/>
          <w:b/>
          <w:smallCaps/>
          <w:spacing w:val="0"/>
          <w:sz w:val="28"/>
          <w:szCs w:val="36"/>
          <w:lang w:eastAsia="en-US" w:bidi="en-US"/>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881"/>
      <w:r/>
      <w:bookmarkEnd w:id="882"/>
      <w:r/>
      <w:bookmarkEnd w:id="883"/>
      <w:r/>
      <w:bookmarkEnd w:id="884"/>
      <w:r/>
      <w:r>
        <w:rPr>
          <w:spacing w:val="0"/>
        </w:rPr>
      </w:r>
    </w:p>
    <w:p>
      <w:pPr>
        <w:pStyle w:val="12960"/>
        <w:pBdr/>
        <w:spacing/>
        <w:ind/>
        <w:rPr/>
      </w:pPr>
      <w:r>
        <w:t xml:space="preserve">Схемой не предусмотрено подключение существующей и перспективной застройки, а также генеральным планом не предусмотрено дальнейшее увеличение жилищного фонда. Результаты расчетов отражены в таблице 2.1.1 гл.2. </w:t>
      </w:r>
      <w:r>
        <w:br w:type="page" w:clear="all"/>
      </w:r>
      <w:r/>
    </w:p>
    <w:p>
      <w:pPr>
        <w:pStyle w:val="10534"/>
        <w:widowControl w:val="true"/>
        <w:numPr>
          <w:ilvl w:val="0"/>
          <w:numId w:val="144"/>
        </w:numPr>
        <w:pBdr/>
        <w:bidi w:val="false"/>
        <w:spacing w:after="240" w:before="120" w:line="360" w:lineRule="auto"/>
        <w:ind w:right="0" w:hanging="340" w:left="397"/>
        <w:contextualSpacing w:val="true"/>
        <w:jc w:val="center"/>
        <w:rPr>
          <w:spacing w:val="0"/>
        </w:rPr>
      </w:pPr>
      <w:r/>
      <w:bookmarkStart w:id="885" w:name="_Toc198483601"/>
      <w:r/>
      <w:bookmarkStart w:id="886" w:name="_Toc9154896"/>
      <w:r/>
      <w:bookmarkStart w:id="887" w:name="_Toc166767261"/>
      <w:r/>
      <w:bookmarkStart w:id="888" w:name="_Toc84971042"/>
      <w:r>
        <w:rPr>
          <w:spacing w:val="0"/>
        </w:rPr>
        <w:t xml:space="preserve"> </w:t>
      </w:r>
      <w:r>
        <w:rPr>
          <w:rFonts w:eastAsia="Times New Roman" w:cs="Times New Roman"/>
          <w:b/>
          <w:smallCaps/>
          <w:spacing w:val="0"/>
          <w:sz w:val="28"/>
          <w:szCs w:val="36"/>
          <w:lang w:eastAsia="en-US" w:bidi="en-US"/>
        </w:rPr>
        <w:t xml:space="preserve">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885"/>
      <w:r/>
      <w:bookmarkEnd w:id="886"/>
      <w:r/>
      <w:bookmarkEnd w:id="887"/>
      <w:r/>
      <w:bookmarkEnd w:id="888"/>
      <w:r/>
      <w:r>
        <w:rPr>
          <w:spacing w:val="0"/>
        </w:rPr>
      </w:r>
    </w:p>
    <w:p>
      <w:pPr>
        <w:pStyle w:val="12960"/>
        <w:pBdr/>
        <w:spacing/>
        <w:ind/>
        <w:rPr/>
      </w:pPr>
      <w:r>
        <w:t xml:space="preserve">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поверхностных и сточных вод.</w:t>
      </w:r>
      <w:r/>
    </w:p>
    <w:p>
      <w:pPr>
        <w:pStyle w:val="12960"/>
        <w:pBdr/>
        <w:spacing/>
        <w:ind/>
        <w:rPr/>
      </w:pPr>
      <w:r>
        <w:t xml:space="preserve">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w:t>
      </w:r>
      <w:r>
        <w:t xml:space="preserve">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r/>
    </w:p>
    <w:p>
      <w:pPr>
        <w:pStyle w:val="12960"/>
        <w:pBdr/>
        <w:spacing/>
        <w:ind/>
        <w:rPr/>
      </w:pPr>
      <w:r>
        <w:t xml:space="preserve">Солнечная радиация</w:t>
      </w:r>
      <w:r/>
    </w:p>
    <w:p>
      <w:pPr>
        <w:pStyle w:val="12960"/>
        <w:pBdr/>
        <w:spacing/>
        <w:ind/>
        <w:rPr/>
      </w:pPr>
      <w:r>
        <w:t xml:space="preserve">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МДж/м</w:t>
      </w:r>
      <w:r>
        <w:rPr>
          <w:vertAlign w:val="superscript"/>
        </w:rPr>
        <w:t xml:space="preserve">2</w:t>
      </w:r>
      <w:r>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r/>
    </w:p>
    <w:p>
      <w:pPr>
        <w:pStyle w:val="12960"/>
        <w:pBdr/>
        <w:spacing/>
        <w:ind/>
        <w:rPr/>
      </w:pPr>
      <w:r>
        <w:t xml:space="preserve">При среднем за летний период приходе суммарной радиации на ориентированную поверхность теплоприемника около 400-500 ккал/м</w:t>
      </w:r>
      <w:r>
        <w:rPr>
          <w:vertAlign w:val="superscript"/>
        </w:rPr>
        <w:t xml:space="preserve">2</w:t>
      </w:r>
      <w:r>
        <w:t xml:space="preserve">∙час и КПД солнечной водонагревательной установки 0,5-0,7 потребная площадь солнечных коллекторов на 1 Гкал/ч летней нагрузки ГВС составит 2800-4000 м</w:t>
      </w:r>
      <w:r>
        <w:rPr>
          <w:vertAlign w:val="superscript"/>
        </w:rPr>
        <w:t xml:space="preserve">2</w:t>
      </w:r>
      <w:r>
        <w:t xml:space="preserve">.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w:t>
      </w:r>
      <w:r/>
    </w:p>
    <w:p>
      <w:pPr>
        <w:pStyle w:val="12960"/>
        <w:pBdr/>
        <w:spacing/>
        <w:ind/>
        <w:rPr/>
      </w:pPr>
      <w:r>
        <w:t xml:space="preserve">Также очевидно, что </w:t>
      </w:r>
      <w:r>
        <w:t xml:space="preserve">для установки централизованного ГВС требуются большие площади под солнечные коллекторы, которые в сельской черте изыскать не удастся. Поэтому в далекой перспективе использование солнечных водонагревательных установок может быть конкурентоспособным для приг</w:t>
      </w:r>
      <w:r>
        <w:rPr>
          <w:lang w:val="en-US"/>
        </w:rPr>
        <w:t xml:space="preserve">o</w:t>
      </w:r>
      <w:r>
        <w:t xml:space="preserve">родной малоэтажной застройки в случае применения для децентрализованного теплоснабжения жидкого топлива или электроэнергии.</w:t>
      </w:r>
      <w:r/>
    </w:p>
    <w:p>
      <w:pPr>
        <w:pStyle w:val="12960"/>
        <w:pBdr/>
        <w:spacing/>
        <w:ind/>
        <w:rPr/>
      </w:pPr>
      <w:r>
        <w:t xml:space="preserve">Геотермальное тепло</w:t>
      </w:r>
      <w:r/>
    </w:p>
    <w:p>
      <w:pPr>
        <w:pStyle w:val="12960"/>
        <w:pBdr/>
        <w:spacing/>
        <w:ind/>
        <w:rPr/>
      </w:pPr>
      <w:r>
        <w:t xml:space="preserve">В настоящее время наиболее отработаны технол</w:t>
      </w:r>
      <w:r>
        <w:t xml:space="preserve">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r/>
    </w:p>
    <w:p>
      <w:pPr>
        <w:pStyle w:val="12960"/>
        <w:pBdr/>
        <w:spacing/>
        <w:ind/>
        <w:rPr/>
      </w:pPr>
      <w:r>
        <w:t xml:space="preserve">В состав подоб</w:t>
      </w:r>
      <w:r>
        <w:t xml:space="preserve">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r/>
    </w:p>
    <w:p>
      <w:pPr>
        <w:pStyle w:val="12960"/>
        <w:pBdr/>
        <w:spacing/>
        <w:ind/>
        <w:rPr/>
      </w:pPr>
      <w:r>
        <w:t xml:space="preserve">Система теплосбора при наличии свободных</w:t>
      </w:r>
      <w:r>
        <w:t xml:space="preserve">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r/>
    </w:p>
    <w:p>
      <w:pPr>
        <w:pStyle w:val="12960"/>
        <w:pBdr/>
        <w:spacing/>
        <w:ind/>
        <w:rPr/>
      </w:pPr>
      <w:r>
        <w:t xml:space="preserve">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w:t>
      </w:r>
      <w:r>
        <w:t xml:space="preserve">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r/>
    </w:p>
    <w:p>
      <w:pPr>
        <w:pStyle w:val="12960"/>
        <w:pBdr/>
        <w:spacing/>
        <w:ind/>
        <w:rPr/>
      </w:pPr>
      <w:r>
        <w:t xml:space="preserve">Энергетическая эффективность ТН опре</w:t>
      </w:r>
      <w:r>
        <w:t xml:space="preserve">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 ⁰С значения КОП достигают 3,5-4 ед.</w:t>
      </w:r>
      <w:r/>
    </w:p>
    <w:p>
      <w:pPr>
        <w:pStyle w:val="12960"/>
        <w:pBdr/>
        <w:spacing/>
        <w:ind/>
        <w:rPr/>
      </w:pPr>
      <w:r>
        <w:t xml:space="preserve">С учетом расхода электроэнергии на привод циркуляционных насосов общий КОП ТНУ снижается до 3,0-3,5 ед. </w:t>
      </w:r>
      <w:r/>
    </w:p>
    <w:p>
      <w:pPr>
        <w:pStyle w:val="12960"/>
        <w:pBdr/>
        <w:spacing/>
        <w:ind/>
        <w:rPr/>
      </w:pPr>
      <w:r>
        <w:t xml:space="preserve">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w:t>
      </w:r>
      <w:r>
        <w:rPr>
          <w:lang w:val="en-US"/>
        </w:rPr>
        <w:t xml:space="preserve">o</w:t>
      </w:r>
      <w:r>
        <w:t xml:space="preserve">дном г</w:t>
      </w:r>
      <w:r>
        <w:rPr>
          <w:lang w:val="en-US"/>
        </w:rPr>
        <w:t xml:space="preserve">a</w:t>
      </w:r>
      <w:r>
        <w:t xml:space="preserve">зе (простой срок окупаемости превышает 25 лет).</w:t>
      </w:r>
      <w:r/>
    </w:p>
    <w:p>
      <w:pPr>
        <w:pStyle w:val="12960"/>
        <w:pBdr/>
        <w:spacing/>
        <w:ind/>
        <w:rPr/>
      </w:pPr>
      <w:r>
        <w:t xml:space="preserve">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r/>
    </w:p>
    <w:p>
      <w:pPr>
        <w:pStyle w:val="12960"/>
        <w:pBdr/>
        <w:spacing/>
        <w:ind/>
        <w:rPr/>
      </w:pPr>
      <w:r>
        <w:t xml:space="preserve">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r/>
    </w:p>
    <w:p>
      <w:pPr>
        <w:pStyle w:val="12960"/>
        <w:pBdr/>
        <w:spacing/>
        <w:ind/>
        <w:rPr/>
      </w:pPr>
      <w:r>
        <w:t xml:space="preserve">Выводы:</w:t>
      </w:r>
      <w:r/>
    </w:p>
    <w:p>
      <w:pPr>
        <w:pStyle w:val="12960"/>
        <w:pBdr/>
        <w:spacing/>
        <w:ind/>
        <w:rPr/>
      </w:pPr>
      <w:r>
        <w:t xml:space="preserve">Централизованное теплоснабжение с использованием возобновляемых источников энергии в условиях муниципального образования Астаповское в ближайшей перспективе не является конкурентоспособным традиционным системам.</w:t>
      </w:r>
      <w:r/>
    </w:p>
    <w:p>
      <w:pPr>
        <w:pStyle w:val="12960"/>
        <w:pBdr/>
        <w:spacing/>
        <w:ind/>
        <w:rPr/>
      </w:pPr>
      <w:r>
        <w:t xml:space="preserve">Примен</w:t>
      </w:r>
      <w:r>
        <w:t xml:space="preserve">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r>
        <w:br w:type="page" w:clear="all"/>
      </w:r>
      <w:r/>
    </w:p>
    <w:p>
      <w:pPr>
        <w:pStyle w:val="10534"/>
        <w:widowControl w:val="true"/>
        <w:numPr>
          <w:ilvl w:val="0"/>
          <w:numId w:val="145"/>
        </w:numPr>
        <w:pBdr/>
        <w:bidi w:val="false"/>
        <w:spacing w:after="240" w:before="120" w:line="360" w:lineRule="auto"/>
        <w:ind w:right="0" w:hanging="340" w:left="340"/>
        <w:contextualSpacing w:val="true"/>
        <w:jc w:val="center"/>
        <w:rPr>
          <w:spacing w:val="0"/>
        </w:rPr>
      </w:pPr>
      <w:r/>
      <w:bookmarkStart w:id="889" w:name="_Toc198483602"/>
      <w:r/>
      <w:bookmarkStart w:id="890" w:name="_Toc166767262"/>
      <w:r/>
      <w:bookmarkStart w:id="891" w:name="_Toc84971043"/>
      <w:r/>
      <w:bookmarkStart w:id="892" w:name="_Toc9154897"/>
      <w:r>
        <w:rPr>
          <w:spacing w:val="0"/>
        </w:rPr>
        <w:t xml:space="preserve"> </w:t>
      </w:r>
      <w:r>
        <w:rPr>
          <w:rFonts w:eastAsia="Times New Roman" w:cs="Times New Roman"/>
          <w:b/>
          <w:smallCaps/>
          <w:spacing w:val="0"/>
          <w:sz w:val="28"/>
          <w:szCs w:val="36"/>
          <w:lang w:eastAsia="en-US" w:bidi="en-US"/>
        </w:rPr>
        <w:t xml:space="preserve">Обоснование организации теплоснабжения в производственных зонах на территории муниципального образования</w:t>
      </w:r>
      <w:bookmarkEnd w:id="889"/>
      <w:r/>
      <w:bookmarkEnd w:id="890"/>
      <w:r/>
      <w:bookmarkEnd w:id="891"/>
      <w:r/>
      <w:bookmarkEnd w:id="892"/>
      <w:r/>
      <w:r>
        <w:rPr>
          <w:spacing w:val="0"/>
        </w:rPr>
      </w:r>
    </w:p>
    <w:p>
      <w:pPr>
        <w:pStyle w:val="12960"/>
        <w:pBdr/>
        <w:spacing/>
        <w:ind/>
        <w:rPr/>
      </w:pPr>
      <w:r>
        <w:t xml:space="preserve">Согласно Методическим </w:t>
      </w:r>
      <w:r>
        <w:t xml:space="preserve">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 </w:t>
      </w:r>
      <w:r/>
    </w:p>
    <w:p>
      <w:pPr>
        <w:pStyle w:val="12960"/>
        <w:pBdr/>
        <w:spacing/>
        <w:ind/>
        <w:rPr/>
      </w:pPr>
      <w:r>
        <w:t xml:space="preserve">По положению на 2025 г. отсутствуют сведения о проектах модернизации производственных котельных с целью выхода на рынок теплоснабжения. </w:t>
      </w:r>
      <w:r/>
    </w:p>
    <w:p>
      <w:pPr>
        <w:pStyle w:val="12960"/>
        <w:pBdr/>
        <w:spacing/>
        <w:ind/>
        <w:rPr/>
      </w:pPr>
      <w:r>
        <w:t xml:space="preserve">Существующие производственные зоны, расположенные вне зон существующих источников теплоснабжения и имеющих собственные тепловые источники, сохраняются.</w:t>
      </w:r>
      <w:r/>
    </w:p>
    <w:p>
      <w:pPr>
        <w:pStyle w:val="12960"/>
        <w:pBdr/>
        <w:spacing/>
        <w:ind/>
        <w:rPr/>
        <w:sectPr>
          <w:headerReference w:type="default" r:id="rId142"/>
          <w:headerReference w:type="first" r:id="rId143"/>
          <w:footerReference w:type="default" r:id="rId410"/>
          <w:footerReference w:type="first" r:id="rId411"/>
          <w:footnotePr/>
          <w:endnotePr/>
          <w:type w:val="nextPage"/>
          <w:pgSz w:h="16838" w:orient="portrait" w:w="11906"/>
          <w:pgMar w:top="1134" w:right="850" w:bottom="1134" w:left="1701" w:header="567" w:footer="454" w:gutter="0"/>
          <w:cols w:num="1" w:sep="0" w:space="1701" w:equalWidth="1"/>
        </w:sectPr>
      </w:pPr>
      <w:r>
        <w:t xml:space="preserve">Изменений в организации теплоснабжения в существующих производственных зонах схемой теплоснабжения не предполагается. </w:t>
      </w:r>
      <w:r/>
    </w:p>
    <w:p>
      <w:pPr>
        <w:pStyle w:val="10534"/>
        <w:numPr>
          <w:ilvl w:val="0"/>
          <w:numId w:val="146"/>
        </w:numPr>
        <w:pBdr/>
        <w:spacing/>
        <w:ind w:hanging="357" w:left="1066"/>
        <w:rPr>
          <w:spacing w:val="0"/>
        </w:rPr>
      </w:pPr>
      <w:r/>
      <w:bookmarkStart w:id="893" w:name="_Toc166767263"/>
      <w:r/>
      <w:bookmarkStart w:id="894" w:name="_Toc9154898"/>
      <w:r/>
      <w:bookmarkStart w:id="895" w:name="_Toc84971044"/>
      <w:r/>
      <w:bookmarkStart w:id="896" w:name="_Toc198483603"/>
      <w:r>
        <w:rPr>
          <w:spacing w:val="0"/>
        </w:rPr>
        <w:t xml:space="preserve"> </w:t>
      </w:r>
      <w:r>
        <w:rPr>
          <w:spacing w:val="0"/>
        </w:rPr>
        <w:t xml:space="preserve">Результаты расчетов радиуса эффективного теплоснабжения</w:t>
      </w:r>
      <w:bookmarkEnd w:id="893"/>
      <w:r/>
      <w:bookmarkEnd w:id="894"/>
      <w:r/>
      <w:bookmarkEnd w:id="895"/>
      <w:r/>
      <w:bookmarkEnd w:id="896"/>
      <w:r/>
      <w:r>
        <w:rPr>
          <w:spacing w:val="0"/>
        </w:rPr>
      </w:r>
    </w:p>
    <w:p>
      <w:pPr>
        <w:pStyle w:val="12960"/>
        <w:pBdr/>
        <w:spacing/>
        <w:ind/>
        <w:rPr/>
      </w:pPr>
      <w:r>
        <w:t xml:space="preserve">Согласно ФЗ №190 от 27.07.2010 г., «радиус эффективного теплоснабжения - максимальное расстояние от теплопотребляющей у</w:t>
      </w:r>
      <w:r>
        <w:t xml:space="preserve">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r/>
    </w:p>
    <w:p>
      <w:pPr>
        <w:pStyle w:val="12960"/>
        <w:pBdr/>
        <w:spacing/>
        <w:ind/>
        <w:rPr/>
      </w:pPr>
      <w: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w:t>
      </w:r>
      <w:r/>
    </w:p>
    <w:p>
      <w:pPr>
        <w:pStyle w:val="10533"/>
        <w:pBdr/>
        <w:spacing w:after="0" w:before="0" w:line="360" w:lineRule="auto"/>
        <w:ind w:firstLine="357"/>
        <w:contextualSpacing w:val="true"/>
        <w:jc w:val="both"/>
        <w:rPr/>
      </w:pPr>
      <w:r>
        <w:t xml:space="preserve">- затраты на строительство новых участков тепловой сети и реконструкция существующих;</w:t>
      </w:r>
      <w:r/>
    </w:p>
    <w:p>
      <w:pPr>
        <w:pStyle w:val="10533"/>
        <w:pBdr/>
        <w:spacing w:after="0" w:before="0" w:line="360" w:lineRule="auto"/>
        <w:ind w:firstLine="357"/>
        <w:contextualSpacing w:val="true"/>
        <w:jc w:val="both"/>
        <w:rPr/>
      </w:pPr>
      <w:r>
        <w:t xml:space="preserve">- пропускная способность существующих магистральных тепловых сетей;</w:t>
      </w:r>
      <w:r/>
    </w:p>
    <w:p>
      <w:pPr>
        <w:pStyle w:val="10533"/>
        <w:pBdr/>
        <w:spacing w:after="0" w:before="0" w:line="360" w:lineRule="auto"/>
        <w:ind w:firstLine="357"/>
        <w:contextualSpacing w:val="true"/>
        <w:jc w:val="both"/>
        <w:rPr/>
      </w:pPr>
      <w:r>
        <w:t xml:space="preserve">- затраты на перекачку теплоносителя в тепловых сетях;</w:t>
      </w:r>
      <w:r/>
    </w:p>
    <w:p>
      <w:pPr>
        <w:pStyle w:val="10533"/>
        <w:pBdr/>
        <w:spacing w:after="0" w:before="0" w:line="360" w:lineRule="auto"/>
        <w:ind w:firstLine="357"/>
        <w:contextualSpacing w:val="true"/>
        <w:jc w:val="both"/>
        <w:rPr/>
      </w:pPr>
      <w:r>
        <w:t xml:space="preserve">- потери тепловой энергии в тепловых сетях при ее передаче;</w:t>
      </w:r>
      <w:r/>
    </w:p>
    <w:p>
      <w:pPr>
        <w:pStyle w:val="10533"/>
        <w:pBdr/>
        <w:spacing w:after="0" w:before="0" w:line="360" w:lineRule="auto"/>
        <w:ind w:firstLine="357"/>
        <w:contextualSpacing w:val="true"/>
        <w:jc w:val="both"/>
        <w:rPr/>
      </w:pPr>
      <w:r>
        <w:t xml:space="preserve">- надежность системы теплоснабжения.</w:t>
      </w:r>
      <w:r/>
    </w:p>
    <w:p>
      <w:pPr>
        <w:pStyle w:val="12960"/>
        <w:pBdr/>
        <w:spacing/>
        <w:ind/>
        <w:rPr/>
      </w:pPr>
      <w:r>
        <w:t xml:space="preserve">Комплексная оценка вышеперечисленных факторов, определяет величину эффективного радиуса теплоснабжения.</w:t>
      </w:r>
      <w:r/>
    </w:p>
    <w:p>
      <w:pPr>
        <w:pStyle w:val="12960"/>
        <w:pBdr/>
        <w:spacing/>
        <w:ind/>
        <w:rPr/>
      </w:pPr>
      <w: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r/>
    </w:p>
    <w:p>
      <w:pPr>
        <w:pStyle w:val="12960"/>
        <w:pBdr/>
        <w:spacing/>
        <w:ind/>
        <w:rPr/>
      </w:pPr>
      <w:r>
        <w:t xml:space="preserve">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r/>
    </w:p>
    <w:p>
      <w:pPr>
        <w:pStyle w:val="12960"/>
        <w:pBdr/>
        <w:spacing/>
        <w:ind/>
        <w:rPr/>
      </w:pPr>
      <w:r>
        <w:t xml:space="preserve">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r/>
    </w:p>
    <w:p>
      <w:pPr>
        <w:pStyle w:val="13832"/>
        <w:numPr>
          <w:ilvl w:val="0"/>
          <w:numId w:val="61"/>
        </w:numPr>
        <w:pBdr/>
        <w:spacing/>
        <w:ind w:hanging="284" w:left="1135"/>
        <w:rPr/>
      </w:pPr>
      <w:r>
        <w:t xml:space="preserve">Котельные, осуществляющие теплоснабжение 1 потребителя;</w:t>
      </w:r>
      <w:r/>
    </w:p>
    <w:p>
      <w:pPr>
        <w:pStyle w:val="13832"/>
        <w:numPr>
          <w:ilvl w:val="0"/>
          <w:numId w:val="61"/>
        </w:numPr>
        <w:pBdr/>
        <w:spacing/>
        <w:ind w:hanging="284" w:left="1135"/>
        <w:rPr/>
      </w:pPr>
      <w:r>
        <w:t xml:space="preserve">Котельные, вырабатывающие тепловую энергию исключительно для собственного потребления;</w:t>
      </w:r>
      <w:r/>
    </w:p>
    <w:p>
      <w:pPr>
        <w:pStyle w:val="13832"/>
        <w:numPr>
          <w:ilvl w:val="0"/>
          <w:numId w:val="61"/>
        </w:numPr>
        <w:pBdr/>
        <w:spacing/>
        <w:ind w:hanging="284" w:left="1135"/>
        <w:rPr/>
      </w:pPr>
      <w:r>
        <w:t xml:space="preserve">Ведомственные котельные, не имеющие наружных тепловых сетей.</w:t>
      </w:r>
      <w:r/>
    </w:p>
    <w:p>
      <w:pPr>
        <w:pStyle w:val="12960"/>
        <w:pBdr/>
        <w:spacing/>
        <w:ind/>
        <w:rPr/>
      </w:pPr>
      <w:r>
        <w:t xml:space="preserve">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w:t>
      </w:r>
      <w:r>
        <w:t xml:space="preserve">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r/>
    </w:p>
    <w:p>
      <w:pPr>
        <w:pStyle w:val="12960"/>
        <w:pBdr/>
        <w:spacing/>
        <w:ind/>
        <w:rPr/>
      </w:pPr>
      <w: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r/>
    </w:p>
    <w:p>
      <w:pPr>
        <w:pStyle w:val="10533"/>
        <w:pBdr/>
        <w:spacing/>
        <w:ind/>
        <w:rPr>
          <w:rFonts w:eastAsia="MS Mincho"/>
        </w:rPr>
      </w:pPr>
      <w:r>
        <mc:AlternateContent>
          <mc:Choice Requires="wpg">
            <w:drawing>
              <wp:anchor xmlns:wp="http://schemas.openxmlformats.org/drawingml/2006/wordprocessingDrawing" xmlns:wp14="http://schemas.microsoft.com/office/word/2010/wordprocessingDrawing" distT="0" distB="0" distL="0" distR="0" simplePos="0" relativeHeight="63" behindDoc="0" locked="0" layoutInCell="0" allowOverlap="1">
                <wp:simplePos x="0" y="0"/>
                <wp:positionH relativeFrom="column">
                  <wp:posOffset>1816735</wp:posOffset>
                </wp:positionH>
                <wp:positionV relativeFrom="paragraph">
                  <wp:posOffset>6350</wp:posOffset>
                </wp:positionV>
                <wp:extent cx="2303780" cy="474980"/>
                <wp:effectExtent l="0" t="0" r="0" b="0"/>
                <wp:wrapSquare wrapText="bothSides"/>
                <wp:docPr id="54" name=""/>
                <wp:cNvGraphicFramePr/>
                <a:graphic xmlns:a="http://schemas.openxmlformats.org/drawingml/2006/main">
                  <a:graphicData uri="http://schemas.openxmlformats.org/drawingml/2006/picture">
                    <pic:pic xmlns:pic="http://schemas.openxmlformats.org/drawingml/2006/picture">
                      <pic:nvPicPr>
                        <pic:cNvPr id="59" name="" descr=""/>
                        <pic:cNvPicPr/>
                        <pic:nvPr/>
                      </pic:nvPicPr>
                      <pic:blipFill rotWithShape="1">
                        <a:blip r:embed="rId624">
                          <a:extLst>
                            <a:ext uri="{96DAC541-7B7A-43D3-8B79-37D633B846F1}">
                              <asvg:svgBlip xmlns:asvg="http://schemas.microsoft.com/office/drawing/2016/SVG/main" r:embed="rId625"/>
                            </a:ext>
                          </a:extLst>
                        </a:blip>
                        <a:stretch/>
                      </pic:blipFill>
                      <pic:spPr bwMode="auto">
                        <a:xfrm>
                          <a:off x="0" y="0"/>
                          <a:ext cx="2303640" cy="474840"/>
                        </a:xfrm>
                        <a:prstGeom prst="rect">
                          <a:avLst/>
                        </a:prstGeom>
                        <a:noFill/>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 o:spid="_x0000_s57" type="#_x0000_t75" style="position:absolute;z-index:63;o:allowoverlap:true;o:allowincell:false;mso-position-horizontal-relative:text;margin-left:143.05pt;mso-position-horizontal:absolute;mso-position-vertical-relative:text;margin-top:0.50pt;mso-position-vertical:absolute;width:181.40pt;height:37.40pt;mso-wrap-distance-left:0.00pt;mso-wrap-distance-top:0.00pt;mso-wrap-distance-right:0.00pt;mso-wrap-distance-bottom:0.00pt;z-index:1;" stroked="f" strokeweight="0.00pt">
                <w10:wrap type="square"/>
                <v:imagedata r:id="rId624" o:title=""/>
                <o:lock v:ext="edit" rotation="t"/>
              </v:shape>
            </w:pict>
          </mc:Fallback>
        </mc:AlternateContent>
      </w:r>
      <w:r>
        <w:br w:type="textWrapping" w:clear="all"/>
      </w:r>
      <w:r>
        <w:rPr>
          <w:rFonts w:eastAsia="MS Mincho"/>
        </w:rPr>
      </w:r>
    </w:p>
    <w:p>
      <w:pPr>
        <w:pStyle w:val="10533"/>
        <w:pBdr/>
        <w:spacing w:line="360" w:lineRule="auto"/>
        <w:ind w:firstLine="567"/>
        <w:jc w:val="both"/>
        <w:rPr>
          <w:rFonts w:eastAsia="MS Mincho"/>
        </w:rPr>
      </w:pPr>
      <w:r>
        <w:rPr>
          <w:rFonts w:eastAsia="MS Mincho"/>
        </w:rPr>
        <w:t xml:space="preserve">Где:</w:t>
      </w:r>
      <w:r>
        <w:rPr>
          <w:rFonts w:eastAsia="MS Mincho"/>
        </w:rPr>
      </w:r>
    </w:p>
    <w:p>
      <w:pPr>
        <w:pStyle w:val="10533"/>
        <w:pBdr/>
        <w:spacing w:line="360" w:lineRule="auto"/>
        <w:ind w:firstLine="567"/>
        <w:jc w:val="both"/>
        <w:rPr>
          <w:rFonts w:eastAsia="MS Mincho"/>
        </w:rPr>
      </w:pPr>
      <w:r>
        <w:rPr>
          <w:rFonts w:eastAsia="MS Mincho"/>
        </w:rPr>
        <w:t xml:space="preserve">R - радиус действия тепловой сети (длина главной тепловой магистрали самого протяженного вывода от источника), км;</w:t>
      </w:r>
      <w:r>
        <w:rPr>
          <w:rFonts w:eastAsia="MS Mincho"/>
        </w:rPr>
      </w:r>
    </w:p>
    <w:p>
      <w:pPr>
        <w:pStyle w:val="10533"/>
        <w:pBdr/>
        <w:spacing w:line="360" w:lineRule="auto"/>
        <w:ind w:firstLine="567"/>
        <w:jc w:val="both"/>
        <w:rPr>
          <w:rFonts w:eastAsia="MS Mincho"/>
        </w:rPr>
      </w:pPr>
      <w:r>
        <w:rPr>
          <w:rFonts w:eastAsia="MS Mincho"/>
        </w:rPr>
        <w:t xml:space="preserve">H - потеря напора на трение при транспорте теплоносителя по тепловой магистрали, м.вод.ст.;</w:t>
      </w:r>
      <w:r>
        <w:rPr>
          <w:rFonts w:eastAsia="MS Mincho"/>
        </w:rPr>
      </w:r>
    </w:p>
    <w:p>
      <w:pPr>
        <w:pStyle w:val="10533"/>
        <w:pBdr/>
        <w:spacing w:line="360" w:lineRule="auto"/>
        <w:ind w:firstLine="567"/>
        <w:jc w:val="both"/>
        <w:rPr>
          <w:rFonts w:eastAsia="MS Mincho"/>
        </w:rPr>
      </w:pPr>
      <w:r>
        <w:rPr>
          <w:rFonts w:eastAsia="MS Mincho"/>
        </w:rPr>
        <w:t xml:space="preserve">b - эмпирический коэффициент удельных затрат в единицу тепловой мощности котельной, руб./Гкал/ч;</w:t>
      </w:r>
      <w:r>
        <w:rPr>
          <w:rFonts w:eastAsia="MS Mincho"/>
        </w:rPr>
      </w:r>
    </w:p>
    <w:p>
      <w:pPr>
        <w:pStyle w:val="10533"/>
        <w:pBdr/>
        <w:spacing w:line="360" w:lineRule="auto"/>
        <w:ind w:firstLine="567"/>
        <w:jc w:val="both"/>
        <w:rPr>
          <w:rFonts w:eastAsia="MS Mincho"/>
        </w:rPr>
      </w:pPr>
      <w:r>
        <w:rPr>
          <w:rFonts w:eastAsia="MS Mincho"/>
        </w:rPr>
        <w:t xml:space="preserve">s - удельная стоимость материальной характеристики тепловой сети, руб./м</w:t>
      </w:r>
      <w:r>
        <w:rPr>
          <w:rFonts w:eastAsia="MS Mincho"/>
          <w:vertAlign w:val="superscript"/>
        </w:rPr>
        <w:t xml:space="preserve">2</w:t>
      </w:r>
      <w:r>
        <w:rPr>
          <w:rFonts w:eastAsia="MS Mincho"/>
        </w:rPr>
        <w:t xml:space="preserve">;</w:t>
      </w:r>
      <w:r>
        <w:rPr>
          <w:rFonts w:eastAsia="MS Mincho"/>
        </w:rPr>
      </w:r>
    </w:p>
    <w:p>
      <w:pPr>
        <w:pStyle w:val="10533"/>
        <w:pBdr/>
        <w:spacing w:line="360" w:lineRule="auto"/>
        <w:ind w:firstLine="567"/>
        <w:jc w:val="both"/>
        <w:rPr>
          <w:rFonts w:eastAsia="MS Mincho"/>
        </w:rPr>
      </w:pPr>
      <w:r>
        <w:rPr>
          <w:rFonts w:eastAsia="MS Mincho"/>
        </w:rPr>
        <w:t xml:space="preserve">B - среднее число абонентов на единицу площади зоны действия источника теплоснабжения, 1/км²;</w:t>
      </w:r>
      <w:r>
        <w:rPr>
          <w:rFonts w:eastAsia="MS Mincho"/>
        </w:rPr>
      </w:r>
    </w:p>
    <w:p>
      <w:pPr>
        <w:pStyle w:val="10533"/>
        <w:pBdr/>
        <w:spacing w:line="360" w:lineRule="auto"/>
        <w:ind w:firstLine="567"/>
        <w:jc w:val="both"/>
        <w:rPr>
          <w:rFonts w:eastAsia="MS Mincho"/>
        </w:rPr>
      </w:pPr>
      <w:r>
        <w:rPr>
          <w:rFonts w:eastAsia="MS Mincho"/>
        </w:rPr>
        <w:t xml:space="preserve">П - теплоплотность района, Гкал/ч</w:t>
      </w:r>
      <w:r>
        <w:rPr>
          <w:rFonts w:ascii="Symbol" w:hAnsi="Symbol" w:eastAsia="Symbol" w:cs="Symbol"/>
        </w:rPr>
        <w:t xml:space="preserve">´</w:t>
      </w:r>
      <w:r>
        <w:rPr>
          <w:rFonts w:eastAsia="MS Mincho"/>
        </w:rPr>
        <w:t xml:space="preserve">км²;</w:t>
      </w:r>
      <w:r>
        <w:rPr>
          <w:rFonts w:eastAsia="MS Mincho"/>
        </w:rPr>
      </w:r>
    </w:p>
    <w:p>
      <w:pPr>
        <w:pStyle w:val="10533"/>
        <w:pBdr/>
        <w:spacing w:line="360" w:lineRule="auto"/>
        <w:ind w:firstLine="567"/>
        <w:jc w:val="both"/>
        <w:rPr>
          <w:rFonts w:eastAsia="MS Mincho"/>
        </w:rPr>
      </w:pPr>
      <w:r>
        <w:rPr>
          <w:rFonts w:eastAsia="MS Mincho"/>
        </w:rPr>
        <w:t xml:space="preserve">Δτ - расчетный перепад температур теплоносителя в тепловой сети, °С;</w:t>
      </w:r>
      <w:r>
        <w:rPr>
          <w:rFonts w:eastAsia="MS Mincho"/>
        </w:rPr>
      </w:r>
    </w:p>
    <w:p>
      <w:pPr>
        <w:pStyle w:val="10533"/>
        <w:pBdr/>
        <w:spacing w:line="360" w:lineRule="auto"/>
        <w:ind w:firstLine="567"/>
        <w:jc w:val="both"/>
        <w:rPr>
          <w:rFonts w:eastAsia="MS Mincho"/>
        </w:rPr>
      </w:pPr>
      <w:r>
        <w:rPr>
          <w:rFonts w:eastAsia="MS Mincho"/>
        </w:rPr>
        <w:t xml:space="preserve">φ - поправочный коэффициент, принимаемый равным 1,3 для ТЭЦ; 1-для котельных.</w:t>
      </w:r>
      <w:r>
        <w:rPr>
          <w:rFonts w:eastAsia="MS Mincho"/>
        </w:rPr>
      </w:r>
    </w:p>
    <w:p>
      <w:pPr>
        <w:pStyle w:val="10533"/>
        <w:pBdr/>
        <w:spacing w:line="360" w:lineRule="auto"/>
        <w:ind w:firstLine="567"/>
        <w:jc w:val="both"/>
        <w:rPr>
          <w:rFonts w:eastAsia="MS Mincho"/>
        </w:rPr>
      </w:pPr>
      <w:r>
        <w:rPr>
          <w:rFonts w:eastAsia="MS Mincho"/>
        </w:rPr>
        <w:t xml:space="preserve">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r>
        <w:rPr>
          <w:rFonts w:eastAsia="MS Mincho"/>
        </w:rPr>
      </w:r>
    </w:p>
    <w:p>
      <w:pPr>
        <w:pStyle w:val="10533"/>
        <w:pBdr/>
        <w:spacing/>
        <w:ind w:firstLine="567"/>
        <w:jc w:val="center"/>
        <w:rPr>
          <w:rFonts w:eastAsia="MS Mincho"/>
        </w:rPr>
      </w:pPr>
      <w:r/>
      <m:oMath>
        <m:sSub>
          <m:sSubPr>
            <m:ctrlPr/>
          </m:sSubPr>
          <m:e>
            <m:r>
              <w:rPr>
                <w:rFonts w:ascii="Cambria Math" w:hAnsi="Cambria Math"/>
              </w:rPr>
              <m:rPr/>
              <m:t>R</m:t>
            </m:r>
          </m:e>
          <m:sub>
            <m:r>
              <w:rPr>
                <w:rFonts w:ascii="Cambria Math" w:hAnsi="Cambria Math"/>
              </w:rPr>
              <m:rPr/>
              <m:t>э</m:t>
            </m:r>
          </m:sub>
        </m:sSub>
        <m:r>
          <w:rPr>
            <w:rFonts w:ascii="Cambria Math" w:hAnsi="Cambria Math"/>
          </w:rPr>
          <m:rPr/>
          <m:t>=</m:t>
        </m:r>
        <m:r>
          <w:rPr>
            <w:rFonts w:ascii="Cambria Math" w:hAnsi="Cambria Math"/>
          </w:rPr>
          <m:rPr>
            <m:lit m:val="on"/>
            <m:nor m:val="on"/>
          </m:rPr>
          <m:t>563</m:t>
        </m:r>
        <m:r>
          <w:rPr>
            <w:rFonts w:ascii="Cambria Math" w:hAnsi="Cambria Math"/>
          </w:rPr>
          <m:rPr/>
          <m:t>⋅</m:t>
        </m:r>
        <m:sSup>
          <m:sSupPr>
            <m:ctrlPr/>
          </m:sSupPr>
          <m:e>
            <m:d>
              <m:dPr>
                <m:begChr m:val="("/>
                <m:endChr m:val=")"/>
                <m:ctrlPr/>
              </m:dPr>
              <m:e>
                <m:f>
                  <m:fPr>
                    <m:ctrlPr/>
                  </m:fPr>
                  <m:num>
                    <m:r>
                      <w:rPr>
                        <w:rFonts w:ascii="Cambria Math" w:hAnsi="Cambria Math"/>
                      </w:rPr>
                      <m:rPr/>
                      <m:t>ϕ</m:t>
                    </m:r>
                  </m:num>
                  <m:den>
                    <m:r>
                      <w:rPr>
                        <w:rFonts w:ascii="Cambria Math" w:hAnsi="Cambria Math"/>
                      </w:rPr>
                      <m:rPr/>
                      <m:t>s</m:t>
                    </m:r>
                  </m:den>
                </m:f>
              </m:e>
            </m:d>
          </m:e>
          <m:sup>
            <m:r>
              <w:rPr>
                <w:rFonts w:ascii="Cambria Math" w:hAnsi="Cambria Math"/>
              </w:rPr>
              <m:rPr/>
              <m:t>0</m:t>
            </m:r>
            <m:r>
              <w:rPr>
                <w:rFonts w:ascii="Cambria Math" w:hAnsi="Cambria Math"/>
              </w:rPr>
              <m:rPr/>
              <m:t>,</m:t>
            </m:r>
            <m:r>
              <w:rPr>
                <w:rFonts w:ascii="Cambria Math" w:hAnsi="Cambria Math"/>
              </w:rPr>
              <m:rPr>
                <m:lit m:val="on"/>
                <m:nor m:val="on"/>
              </m:rPr>
              <m:t>35</m:t>
            </m:r>
          </m:sup>
        </m:sSup>
        <m:r>
          <w:rPr>
            <w:rFonts w:ascii="Cambria Math" w:hAnsi="Cambria Math"/>
          </w:rPr>
          <m:rPr/>
          <m:t>⋅</m:t>
        </m:r>
        <m:f>
          <m:fPr>
            <m:ctrlPr/>
          </m:fPr>
          <m:num>
            <m:sSup>
              <m:sSupPr>
                <m:ctrlPr/>
              </m:sSupPr>
              <m:e>
                <m:r>
                  <w:rPr>
                    <w:rFonts w:ascii="Cambria Math" w:hAnsi="Cambria Math"/>
                  </w:rPr>
                  <m:rPr/>
                  <m:t>H</m:t>
                </m:r>
              </m:e>
              <m:sup>
                <m:r>
                  <w:rPr>
                    <w:rFonts w:ascii="Cambria Math" w:hAnsi="Cambria Math"/>
                  </w:rPr>
                  <m:rPr/>
                  <m:t>0</m:t>
                </m:r>
                <m:r>
                  <w:rPr>
                    <w:rFonts w:ascii="Cambria Math" w:hAnsi="Cambria Math"/>
                  </w:rPr>
                  <m:rPr/>
                  <m:t>,</m:t>
                </m:r>
                <m:r>
                  <w:rPr>
                    <w:rFonts w:ascii="Cambria Math" w:hAnsi="Cambria Math"/>
                  </w:rPr>
                  <m:rPr>
                    <m:lit m:val="on"/>
                    <m:nor m:val="on"/>
                  </m:rPr>
                  <m:t>07</m:t>
                </m:r>
              </m:sup>
            </m:sSup>
          </m:num>
          <m:den>
            <m:sSup>
              <m:sSupPr>
                <m:ctrlPr/>
              </m:sSupPr>
              <m:e>
                <m:r>
                  <w:rPr>
                    <w:rFonts w:ascii="Cambria Math" w:hAnsi="Cambria Math"/>
                  </w:rPr>
                  <m:rPr/>
                  <m:t>B</m:t>
                </m:r>
              </m:e>
              <m:sup>
                <m:r>
                  <w:rPr>
                    <w:rFonts w:ascii="Cambria Math" w:hAnsi="Cambria Math"/>
                  </w:rPr>
                  <m:rPr/>
                  <m:t>0</m:t>
                </m:r>
                <m:r>
                  <w:rPr>
                    <w:rFonts w:ascii="Cambria Math" w:hAnsi="Cambria Math"/>
                  </w:rPr>
                  <m:rPr/>
                  <m:t>,</m:t>
                </m:r>
                <m:r>
                  <w:rPr>
                    <w:rFonts w:ascii="Cambria Math" w:hAnsi="Cambria Math"/>
                  </w:rPr>
                  <m:rPr>
                    <m:lit m:val="on"/>
                    <m:nor m:val="on"/>
                  </m:rPr>
                  <m:t>09</m:t>
                </m:r>
              </m:sup>
            </m:sSup>
          </m:den>
        </m:f>
        <m:r>
          <w:rPr>
            <w:rFonts w:ascii="Cambria Math" w:hAnsi="Cambria Math"/>
          </w:rPr>
          <m:rPr/>
          <m:t>⋅</m:t>
        </m:r>
        <m:sSup>
          <m:sSupPr>
            <m:ctrlPr/>
          </m:sSupPr>
          <m:e>
            <m:d>
              <m:dPr>
                <m:begChr m:val="("/>
                <m:endChr m:val=")"/>
                <m:ctrlPr/>
              </m:dPr>
              <m:e>
                <m:f>
                  <m:fPr>
                    <m:ctrlPr/>
                  </m:fPr>
                  <m:num>
                    <m:r>
                      <w:rPr>
                        <w:rFonts w:ascii="Cambria Math" w:hAnsi="Cambria Math"/>
                      </w:rPr>
                      <m:rPr/>
                      <m:t>Δτ</m:t>
                    </m:r>
                  </m:num>
                  <m:den>
                    <m:r>
                      <w:rPr>
                        <w:rFonts w:ascii="Cambria Math" w:hAnsi="Cambria Math"/>
                      </w:rPr>
                      <m:rPr/>
                      <m:t>П</m:t>
                    </m:r>
                  </m:den>
                </m:f>
              </m:e>
            </m:d>
          </m:e>
          <m:sup>
            <m:r>
              <w:rPr>
                <w:rFonts w:ascii="Cambria Math" w:hAnsi="Cambria Math"/>
              </w:rPr>
              <m:rPr/>
              <m:t>0</m:t>
            </m:r>
            <m:r>
              <w:rPr>
                <w:rFonts w:ascii="Cambria Math" w:hAnsi="Cambria Math"/>
              </w:rPr>
              <m:rPr/>
              <m:t>,</m:t>
            </m:r>
            <m:r>
              <w:rPr>
                <w:rFonts w:ascii="Cambria Math" w:hAnsi="Cambria Math"/>
              </w:rPr>
              <m:rPr>
                <m:lit m:val="on"/>
                <m:nor m:val="on"/>
              </m:rPr>
              <m:t>13</m:t>
            </m:r>
          </m:sup>
        </m:sSup>
      </m:oMath>
      <w:r>
        <w:rPr>
          <w:rFonts w:eastAsia="MS Mincho"/>
        </w:rPr>
        <w:t xml:space="preserve">.</w:t>
      </w:r>
      <w:r>
        <w:rPr>
          <w:rFonts w:eastAsia="MS Mincho"/>
        </w:rPr>
      </w:r>
    </w:p>
    <w:p>
      <w:pPr>
        <w:pStyle w:val="12960"/>
        <w:pBdr/>
        <w:spacing/>
        <w:ind/>
        <w:rPr/>
      </w:pPr>
      <w:r>
        <w:t xml:space="preserve">Результаты расчета эффектив</w:t>
      </w:r>
      <w:r>
        <w:t xml:space="preserve">ного радиуса теплоснабжения для о источников теплоснабжения муниципального образования Астаповское приводятся в таблице. Необходимо подчеркнуть, рассмотренный общий подход уместен для получения только самых укрупнённых и приближенных оценок, в основном – д</w:t>
      </w:r>
      <w:r>
        <w:t xml:space="preserve">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bookmarkStart w:id="897" w:name="_Hlk193202687"/>
      <w:r/>
      <w:r/>
    </w:p>
    <w:p>
      <w:pPr>
        <w:pStyle w:val="12960"/>
        <w:pBdr/>
        <w:spacing/>
        <w:ind/>
        <w:rPr>
          <w:b/>
          <w:bCs w:val="0"/>
        </w:rPr>
      </w:pPr>
      <w:r/>
      <w:r/>
      <w:r/>
      <w:r/>
      <w:r/>
      <w:bookmarkStart w:id="902" w:name="_Toc527946783"/>
      <w:r/>
      <w:bookmarkEnd w:id="897"/>
      <w:r>
        <w:rPr>
          <w:b/>
          <w:bCs w:val="0"/>
        </w:rPr>
        <w:t xml:space="preserve">Таблица 7.15.1 – Эффективный радиус теплоснабжения источников</w:t>
      </w:r>
      <w:bookmarkEnd w:id="902"/>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719"/>
        <w:gridCol w:w="1049"/>
        <w:gridCol w:w="1047"/>
        <w:gridCol w:w="877"/>
        <w:gridCol w:w="1066"/>
        <w:gridCol w:w="744"/>
        <w:gridCol w:w="852"/>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719" w:type="dxa"/>
            <w:vAlign w:val="center"/>
          </w:tcPr>
          <w:p>
            <w:pPr>
              <w:pStyle w:val="12385"/>
              <w:pBdr/>
              <w:spacing/>
              <w:ind/>
              <w:rPr/>
            </w:pPr>
            <w:r>
              <w:t xml:space="preserve">Источник энергии</w:t>
            </w:r>
            <w:r/>
          </w:p>
        </w:tc>
        <w:tc>
          <w:tcPr>
            <w:shd w:val="clear" w:color="000000" w:fill="d9d9d9"/>
            <w:tcBorders>
              <w:top w:val="single" w:color="000000" w:sz="4" w:space="0"/>
              <w:bottom w:val="single" w:color="000000" w:sz="4" w:space="0"/>
              <w:right w:val="single" w:color="000000" w:sz="4" w:space="0"/>
            </w:tcBorders>
            <w:tcW w:w="1049" w:type="dxa"/>
            <w:vAlign w:val="center"/>
          </w:tcPr>
          <w:p>
            <w:pPr>
              <w:pStyle w:val="12385"/>
              <w:pBdr/>
              <w:spacing/>
              <w:ind/>
              <w:rPr/>
            </w:pPr>
            <w:r>
              <w:t xml:space="preserve">Площадь, км</w:t>
            </w:r>
            <w:r>
              <w:rPr>
                <w:vertAlign w:val="superscript"/>
              </w:rPr>
              <w:t xml:space="preserve">2</w:t>
            </w:r>
            <w:r/>
          </w:p>
        </w:tc>
        <w:tc>
          <w:tcPr>
            <w:shd w:val="clear" w:color="000000" w:fill="d9d9d9"/>
            <w:tcBorders>
              <w:top w:val="single" w:color="000000" w:sz="4" w:space="0"/>
              <w:bottom w:val="single" w:color="000000" w:sz="4" w:space="0"/>
              <w:right w:val="single" w:color="000000" w:sz="4" w:space="0"/>
            </w:tcBorders>
            <w:tcW w:w="1047" w:type="dxa"/>
            <w:vAlign w:val="center"/>
          </w:tcPr>
          <w:p>
            <w:pPr>
              <w:pStyle w:val="12385"/>
              <w:pBdr/>
              <w:spacing/>
              <w:ind/>
              <w:rPr/>
            </w:pPr>
            <w:r>
              <w:t xml:space="preserve">Нагрузка, Гкал/ч</w:t>
            </w:r>
            <w:r/>
          </w:p>
        </w:tc>
        <w:tc>
          <w:tcPr>
            <w:shd w:val="clear" w:color="000000" w:fill="d9d9d9"/>
            <w:tcBorders>
              <w:top w:val="single" w:color="000000" w:sz="4" w:space="0"/>
              <w:bottom w:val="single" w:color="000000" w:sz="4" w:space="0"/>
              <w:right w:val="single" w:color="000000" w:sz="4" w:space="0"/>
            </w:tcBorders>
            <w:tcW w:w="877" w:type="dxa"/>
            <w:vAlign w:val="center"/>
          </w:tcPr>
          <w:p>
            <w:pPr>
              <w:pStyle w:val="12385"/>
              <w:pBdr/>
              <w:spacing/>
              <w:ind/>
              <w:rPr/>
            </w:pPr>
            <w:r>
              <w:t xml:space="preserve">П, Гкал/ч* км</w:t>
            </w:r>
            <w:r>
              <w:rPr>
                <w:vertAlign w:val="superscript"/>
              </w:rPr>
              <w:t xml:space="preserve">2</w:t>
            </w:r>
            <w:r/>
          </w:p>
        </w:tc>
        <w:tc>
          <w:tcPr>
            <w:shd w:val="clear" w:color="000000" w:fill="d9d9d9"/>
            <w:tcBorders>
              <w:top w:val="single" w:color="000000" w:sz="4" w:space="0"/>
              <w:bottom w:val="single" w:color="000000" w:sz="4" w:space="0"/>
              <w:right w:val="single" w:color="000000" w:sz="4" w:space="0"/>
            </w:tcBorders>
            <w:tcW w:w="1066" w:type="dxa"/>
            <w:vAlign w:val="center"/>
          </w:tcPr>
          <w:p>
            <w:pPr>
              <w:pStyle w:val="12385"/>
              <w:pBdr/>
              <w:spacing/>
              <w:ind/>
              <w:rPr/>
            </w:pPr>
            <w:r>
              <w:t xml:space="preserve">В, аб./км</w:t>
            </w:r>
            <w:r>
              <w:rPr>
                <w:vertAlign w:val="superscript"/>
              </w:rPr>
              <w:t xml:space="preserve">2</w:t>
            </w:r>
            <w:r/>
          </w:p>
        </w:tc>
        <w:tc>
          <w:tcPr>
            <w:shd w:val="clear" w:color="000000" w:fill="d9d9d9"/>
            <w:tcBorders>
              <w:top w:val="single" w:color="000000" w:sz="4" w:space="0"/>
              <w:bottom w:val="single" w:color="000000" w:sz="4" w:space="0"/>
              <w:right w:val="single" w:color="000000" w:sz="4" w:space="0"/>
            </w:tcBorders>
            <w:tcW w:w="744" w:type="dxa"/>
            <w:vAlign w:val="center"/>
          </w:tcPr>
          <w:p>
            <w:pPr>
              <w:pStyle w:val="12385"/>
              <w:pBdr/>
              <w:spacing/>
              <w:ind/>
              <w:rPr/>
            </w:pPr>
            <w:r>
              <w:t xml:space="preserve">Rопт., км</w:t>
            </w:r>
            <w:r/>
          </w:p>
        </w:tc>
        <w:tc>
          <w:tcPr>
            <w:shd w:val="clear" w:color="000000" w:fill="d9d9d9"/>
            <w:tcBorders>
              <w:top w:val="single" w:color="000000" w:sz="4" w:space="0"/>
              <w:bottom w:val="single" w:color="000000" w:sz="4" w:space="0"/>
              <w:right w:val="single" w:color="000000" w:sz="4" w:space="0"/>
            </w:tcBorders>
            <w:tcW w:w="852" w:type="dxa"/>
            <w:vAlign w:val="center"/>
          </w:tcPr>
          <w:p>
            <w:pPr>
              <w:pStyle w:val="12385"/>
              <w:pBdr/>
              <w:spacing/>
              <w:ind/>
              <w:rPr/>
            </w:pPr>
            <w:r>
              <w:t xml:space="preserve">Rмакс., км</w:t>
            </w:r>
            <w:r/>
          </w:p>
        </w:tc>
      </w:tr>
      <w:tr>
        <w:trPr>
          <w:trHeight w:val="20"/>
        </w:trPr>
        <w:tc>
          <w:tcPr>
            <w:shd w:val="clear" w:color="000000" w:fill="ffffff"/>
            <w:tcBorders>
              <w:left w:val="single" w:color="000000" w:sz="4" w:space="0"/>
              <w:bottom w:val="single" w:color="000000" w:sz="4" w:space="0"/>
              <w:right w:val="single" w:color="000000" w:sz="4" w:space="0"/>
            </w:tcBorders>
            <w:tcW w:w="3719" w:type="dxa"/>
            <w:vAlign w:val="center"/>
          </w:tcPr>
          <w:p>
            <w:pPr>
              <w:pStyle w:val="12385"/>
              <w:pBdr/>
              <w:spacing/>
              <w:ind/>
              <w:rPr/>
            </w:pPr>
            <w:r>
              <w:rPr>
                <w:color w:val="000000"/>
                <w:szCs w:val="20"/>
              </w:rPr>
              <w:t xml:space="preserve">Котельная №5 д. Ясенки</w:t>
            </w:r>
            <w:r/>
          </w:p>
        </w:tc>
        <w:tc>
          <w:tcPr>
            <w:shd w:val="clear" w:color="000000" w:fill="ffffff"/>
            <w:tcBorders>
              <w:bottom w:val="single" w:color="000000" w:sz="4" w:space="0"/>
              <w:right w:val="single" w:color="000000" w:sz="4" w:space="0"/>
            </w:tcBorders>
            <w:tcW w:w="1049" w:type="dxa"/>
            <w:vAlign w:val="center"/>
          </w:tcPr>
          <w:p>
            <w:pPr>
              <w:pStyle w:val="12385"/>
              <w:pBdr/>
              <w:spacing/>
              <w:ind/>
              <w:rPr>
                <w:rFonts w:cs="Times New Roman"/>
              </w:rPr>
            </w:pPr>
            <w:r>
              <w:rPr>
                <w:color w:val="000000"/>
                <w:szCs w:val="20"/>
              </w:rPr>
              <w:t xml:space="preserve">0,00008</w:t>
            </w:r>
            <w:r>
              <w:rPr>
                <w:rFonts w:cs="Times New Roman"/>
              </w:rPr>
            </w:r>
          </w:p>
        </w:tc>
        <w:tc>
          <w:tcPr>
            <w:shd w:val="clear" w:color="000000" w:fill="ffffff"/>
            <w:tcBorders>
              <w:bottom w:val="single" w:color="000000" w:sz="4" w:space="0"/>
              <w:right w:val="single" w:color="000000" w:sz="4" w:space="0"/>
            </w:tcBorders>
            <w:tcW w:w="1047" w:type="dxa"/>
            <w:vAlign w:val="center"/>
          </w:tcPr>
          <w:p>
            <w:pPr>
              <w:pStyle w:val="12385"/>
              <w:pBdr/>
              <w:spacing/>
              <w:ind/>
              <w:rPr>
                <w:rFonts w:cs="Times New Roman"/>
              </w:rPr>
            </w:pPr>
            <w:r>
              <w:rPr>
                <w:color w:val="000000"/>
                <w:szCs w:val="20"/>
              </w:rPr>
              <w:t xml:space="preserve">0,05</w:t>
            </w:r>
            <w:r>
              <w:rPr>
                <w:rFonts w:cs="Times New Roman"/>
              </w:rPr>
            </w:r>
          </w:p>
        </w:tc>
        <w:tc>
          <w:tcPr>
            <w:shd w:val="clear" w:color="000000" w:fill="ffffff"/>
            <w:tcBorders>
              <w:bottom w:val="single" w:color="000000" w:sz="4" w:space="0"/>
              <w:right w:val="single" w:color="000000" w:sz="4" w:space="0"/>
            </w:tcBorders>
            <w:tcW w:w="877" w:type="dxa"/>
            <w:vAlign w:val="center"/>
          </w:tcPr>
          <w:p>
            <w:pPr>
              <w:pStyle w:val="12385"/>
              <w:pBdr/>
              <w:spacing/>
              <w:ind/>
              <w:rPr>
                <w:rFonts w:cs="Times New Roman"/>
              </w:rPr>
            </w:pPr>
            <w:r>
              <w:rPr>
                <w:color w:val="000000"/>
                <w:szCs w:val="20"/>
              </w:rPr>
              <w:t xml:space="preserve">636,943</w:t>
            </w:r>
            <w:r>
              <w:rPr>
                <w:rFonts w:cs="Times New Roman"/>
              </w:rPr>
            </w:r>
          </w:p>
        </w:tc>
        <w:tc>
          <w:tcPr>
            <w:shd w:val="clear" w:color="000000" w:fill="ffffff"/>
            <w:tcBorders>
              <w:bottom w:val="single" w:color="000000" w:sz="4" w:space="0"/>
              <w:right w:val="single" w:color="000000" w:sz="4" w:space="0"/>
            </w:tcBorders>
            <w:tcW w:w="1066" w:type="dxa"/>
          </w:tcPr>
          <w:p>
            <w:pPr>
              <w:pStyle w:val="12385"/>
              <w:pBdr/>
              <w:spacing/>
              <w:ind/>
              <w:rPr>
                <w:rFonts w:cs="Times New Roman"/>
              </w:rPr>
            </w:pPr>
            <w:r>
              <w:t xml:space="preserve">12738,85</w:t>
            </w:r>
            <w:r>
              <w:rPr>
                <w:rFonts w:cs="Times New Roman"/>
              </w:rPr>
            </w:r>
          </w:p>
        </w:tc>
        <w:tc>
          <w:tcPr>
            <w:shd w:val="clear" w:color="000000" w:fill="ffffff"/>
            <w:tcBorders>
              <w:bottom w:val="single" w:color="000000" w:sz="4" w:space="0"/>
              <w:right w:val="single" w:color="000000" w:sz="4" w:space="0"/>
            </w:tcBorders>
            <w:tcW w:w="744" w:type="dxa"/>
            <w:vAlign w:val="center"/>
          </w:tcPr>
          <w:p>
            <w:pPr>
              <w:pStyle w:val="12385"/>
              <w:pBdr/>
              <w:spacing/>
              <w:ind/>
              <w:rPr>
                <w:rFonts w:cs="Times New Roman"/>
              </w:rPr>
            </w:pPr>
            <w:r>
              <w:rPr>
                <w:color w:val="000000"/>
                <w:szCs w:val="20"/>
              </w:rPr>
              <w:t xml:space="preserve">0,005</w:t>
            </w:r>
            <w:r>
              <w:rPr>
                <w:rFonts w:cs="Times New Roman"/>
              </w:rPr>
            </w:r>
          </w:p>
        </w:tc>
        <w:tc>
          <w:tcPr>
            <w:shd w:val="clear" w:color="000000" w:fill="ffffff"/>
            <w:tcBorders>
              <w:bottom w:val="single" w:color="000000" w:sz="4" w:space="0"/>
              <w:right w:val="single" w:color="000000" w:sz="4" w:space="0"/>
            </w:tcBorders>
            <w:tcW w:w="852" w:type="dxa"/>
            <w:vAlign w:val="bottom"/>
          </w:tcPr>
          <w:p>
            <w:pPr>
              <w:pStyle w:val="12385"/>
              <w:pBdr/>
              <w:spacing/>
              <w:ind/>
              <w:rPr>
                <w:rFonts w:cs="Times New Roman"/>
              </w:rPr>
            </w:pPr>
            <w:r>
              <w:rPr>
                <w:color w:val="000000"/>
                <w:szCs w:val="20"/>
              </w:rPr>
              <w:t xml:space="preserve">0,006</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19" w:type="dxa"/>
            <w:vAlign w:val="center"/>
          </w:tcPr>
          <w:p>
            <w:pPr>
              <w:pStyle w:val="12385"/>
              <w:pBdr/>
              <w:spacing/>
              <w:ind/>
              <w:rPr/>
            </w:pPr>
            <w:r>
              <w:rPr>
                <w:color w:val="000000"/>
                <w:szCs w:val="20"/>
              </w:rPr>
              <w:t xml:space="preserve">Котельная №6 п. Первомайский</w:t>
            </w:r>
            <w:r/>
          </w:p>
        </w:tc>
        <w:tc>
          <w:tcPr>
            <w:shd w:val="clear" w:color="000000" w:fill="ffffff"/>
            <w:tcBorders>
              <w:bottom w:val="single" w:color="000000" w:sz="4" w:space="0"/>
              <w:right w:val="single" w:color="000000" w:sz="4" w:space="0"/>
            </w:tcBorders>
            <w:tcW w:w="1049" w:type="dxa"/>
            <w:vAlign w:val="center"/>
          </w:tcPr>
          <w:p>
            <w:pPr>
              <w:pStyle w:val="12385"/>
              <w:pBdr/>
              <w:spacing/>
              <w:ind/>
              <w:rPr>
                <w:rFonts w:cs="Times New Roman"/>
              </w:rPr>
            </w:pPr>
            <w:r>
              <w:rPr>
                <w:color w:val="000000"/>
                <w:szCs w:val="20"/>
              </w:rPr>
              <w:t xml:space="preserve">0,00024</w:t>
            </w:r>
            <w:r>
              <w:rPr>
                <w:rFonts w:cs="Times New Roman"/>
              </w:rPr>
            </w:r>
          </w:p>
        </w:tc>
        <w:tc>
          <w:tcPr>
            <w:shd w:val="clear" w:color="000000" w:fill="ffffff"/>
            <w:tcBorders>
              <w:bottom w:val="single" w:color="000000" w:sz="4" w:space="0"/>
              <w:right w:val="single" w:color="000000" w:sz="4" w:space="0"/>
            </w:tcBorders>
            <w:tcW w:w="1047" w:type="dxa"/>
            <w:vAlign w:val="center"/>
          </w:tcPr>
          <w:p>
            <w:pPr>
              <w:pStyle w:val="12385"/>
              <w:pBdr/>
              <w:spacing/>
              <w:ind/>
              <w:rPr>
                <w:rFonts w:cs="Times New Roman"/>
              </w:rPr>
            </w:pPr>
            <w:r>
              <w:rPr>
                <w:color w:val="000000"/>
                <w:szCs w:val="20"/>
              </w:rPr>
              <w:t xml:space="preserve">0,12</w:t>
            </w:r>
            <w:r>
              <w:rPr>
                <w:rFonts w:cs="Times New Roman"/>
              </w:rPr>
            </w:r>
          </w:p>
        </w:tc>
        <w:tc>
          <w:tcPr>
            <w:shd w:val="clear" w:color="000000" w:fill="ffffff"/>
            <w:tcBorders>
              <w:bottom w:val="single" w:color="000000" w:sz="4" w:space="0"/>
              <w:right w:val="single" w:color="000000" w:sz="4" w:space="0"/>
            </w:tcBorders>
            <w:tcW w:w="877" w:type="dxa"/>
            <w:vAlign w:val="center"/>
          </w:tcPr>
          <w:p>
            <w:pPr>
              <w:pStyle w:val="12385"/>
              <w:pBdr/>
              <w:spacing/>
              <w:ind/>
              <w:rPr>
                <w:rFonts w:cs="Times New Roman"/>
              </w:rPr>
            </w:pPr>
            <w:r>
              <w:rPr>
                <w:color w:val="000000"/>
                <w:szCs w:val="20"/>
              </w:rPr>
              <w:t xml:space="preserve">499,155</w:t>
            </w:r>
            <w:r>
              <w:rPr>
                <w:rFonts w:cs="Times New Roman"/>
              </w:rPr>
            </w:r>
          </w:p>
        </w:tc>
        <w:tc>
          <w:tcPr>
            <w:shd w:val="clear" w:color="000000" w:fill="ffffff"/>
            <w:tcBorders>
              <w:bottom w:val="single" w:color="000000" w:sz="4" w:space="0"/>
              <w:right w:val="single" w:color="000000" w:sz="4" w:space="0"/>
            </w:tcBorders>
            <w:tcW w:w="1066" w:type="dxa"/>
          </w:tcPr>
          <w:p>
            <w:pPr>
              <w:pStyle w:val="12385"/>
              <w:pBdr/>
              <w:spacing/>
              <w:ind/>
              <w:rPr>
                <w:rFonts w:cs="Times New Roman"/>
              </w:rPr>
            </w:pPr>
            <w:r>
              <w:t xml:space="preserve">4159,63</w:t>
            </w:r>
            <w:r>
              <w:rPr>
                <w:rFonts w:cs="Times New Roman"/>
              </w:rPr>
            </w:r>
          </w:p>
        </w:tc>
        <w:tc>
          <w:tcPr>
            <w:shd w:val="clear" w:color="000000" w:fill="ffffff"/>
            <w:tcBorders>
              <w:bottom w:val="single" w:color="000000" w:sz="4" w:space="0"/>
              <w:right w:val="single" w:color="000000" w:sz="4" w:space="0"/>
            </w:tcBorders>
            <w:tcW w:w="744" w:type="dxa"/>
            <w:vAlign w:val="center"/>
          </w:tcPr>
          <w:p>
            <w:pPr>
              <w:pStyle w:val="12385"/>
              <w:pBdr/>
              <w:spacing/>
              <w:ind/>
              <w:rPr>
                <w:rFonts w:cs="Times New Roman"/>
              </w:rPr>
            </w:pPr>
            <w:r>
              <w:rPr>
                <w:color w:val="000000"/>
                <w:szCs w:val="20"/>
              </w:rPr>
              <w:t xml:space="preserve">0,009</w:t>
            </w:r>
            <w:r>
              <w:rPr>
                <w:rFonts w:cs="Times New Roman"/>
              </w:rPr>
            </w:r>
          </w:p>
        </w:tc>
        <w:tc>
          <w:tcPr>
            <w:shd w:val="clear" w:color="000000" w:fill="ffffff"/>
            <w:tcBorders>
              <w:bottom w:val="single" w:color="000000" w:sz="4" w:space="0"/>
              <w:right w:val="single" w:color="000000" w:sz="4" w:space="0"/>
            </w:tcBorders>
            <w:tcW w:w="852" w:type="dxa"/>
            <w:vAlign w:val="bottom"/>
          </w:tcPr>
          <w:p>
            <w:pPr>
              <w:pStyle w:val="12385"/>
              <w:pBdr/>
              <w:spacing/>
              <w:ind/>
              <w:rPr>
                <w:rFonts w:cs="Times New Roman"/>
              </w:rPr>
            </w:pPr>
            <w:r>
              <w:rPr>
                <w:color w:val="000000"/>
                <w:szCs w:val="20"/>
              </w:rPr>
              <w:t xml:space="preserve">0,011</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19" w:type="dxa"/>
            <w:vAlign w:val="center"/>
          </w:tcPr>
          <w:p>
            <w:pPr>
              <w:pStyle w:val="12385"/>
              <w:pBdr/>
              <w:spacing/>
              <w:ind/>
              <w:rPr/>
            </w:pPr>
            <w:r>
              <w:rPr>
                <w:color w:val="000000"/>
                <w:szCs w:val="20"/>
              </w:rPr>
              <w:t xml:space="preserve">Котельная №7 с. Белый Колодезь</w:t>
            </w:r>
            <w:r/>
          </w:p>
        </w:tc>
        <w:tc>
          <w:tcPr>
            <w:shd w:val="clear" w:color="000000" w:fill="ffffff"/>
            <w:tcBorders>
              <w:bottom w:val="single" w:color="000000" w:sz="4" w:space="0"/>
              <w:right w:val="single" w:color="000000" w:sz="4" w:space="0"/>
            </w:tcBorders>
            <w:tcW w:w="1049" w:type="dxa"/>
            <w:vAlign w:val="center"/>
          </w:tcPr>
          <w:p>
            <w:pPr>
              <w:pStyle w:val="12385"/>
              <w:pBdr/>
              <w:spacing/>
              <w:ind/>
              <w:rPr>
                <w:rFonts w:cs="Times New Roman"/>
              </w:rPr>
            </w:pPr>
            <w:r>
              <w:rPr>
                <w:color w:val="000000"/>
                <w:szCs w:val="20"/>
              </w:rPr>
              <w:t xml:space="preserve">0,00024</w:t>
            </w:r>
            <w:r>
              <w:rPr>
                <w:rFonts w:cs="Times New Roman"/>
              </w:rPr>
            </w:r>
          </w:p>
        </w:tc>
        <w:tc>
          <w:tcPr>
            <w:shd w:val="clear" w:color="000000" w:fill="ffffff"/>
            <w:tcBorders>
              <w:bottom w:val="single" w:color="000000" w:sz="4" w:space="0"/>
              <w:right w:val="single" w:color="000000" w:sz="4" w:space="0"/>
            </w:tcBorders>
            <w:tcW w:w="1047" w:type="dxa"/>
            <w:vAlign w:val="center"/>
          </w:tcPr>
          <w:p>
            <w:pPr>
              <w:pStyle w:val="12385"/>
              <w:pBdr/>
              <w:spacing/>
              <w:ind/>
              <w:rPr>
                <w:rFonts w:cs="Times New Roman"/>
              </w:rPr>
            </w:pPr>
            <w:r>
              <w:rPr>
                <w:color w:val="000000"/>
                <w:szCs w:val="20"/>
              </w:rPr>
              <w:t xml:space="preserve">0,07</w:t>
            </w:r>
            <w:r>
              <w:rPr>
                <w:rFonts w:cs="Times New Roman"/>
              </w:rPr>
            </w:r>
          </w:p>
        </w:tc>
        <w:tc>
          <w:tcPr>
            <w:shd w:val="clear" w:color="000000" w:fill="ffffff"/>
            <w:tcBorders>
              <w:bottom w:val="single" w:color="000000" w:sz="4" w:space="0"/>
              <w:right w:val="single" w:color="000000" w:sz="4" w:space="0"/>
            </w:tcBorders>
            <w:tcW w:w="877" w:type="dxa"/>
            <w:vAlign w:val="center"/>
          </w:tcPr>
          <w:p>
            <w:pPr>
              <w:pStyle w:val="12385"/>
              <w:pBdr/>
              <w:spacing/>
              <w:ind/>
              <w:rPr>
                <w:rFonts w:cs="Times New Roman"/>
              </w:rPr>
            </w:pPr>
            <w:r>
              <w:rPr>
                <w:color w:val="000000"/>
                <w:szCs w:val="20"/>
              </w:rPr>
              <w:t xml:space="preserve">291,174</w:t>
            </w:r>
            <w:r>
              <w:rPr>
                <w:rFonts w:cs="Times New Roman"/>
              </w:rPr>
            </w:r>
          </w:p>
        </w:tc>
        <w:tc>
          <w:tcPr>
            <w:shd w:val="clear" w:color="000000" w:fill="ffffff"/>
            <w:tcBorders>
              <w:bottom w:val="single" w:color="000000" w:sz="4" w:space="0"/>
              <w:right w:val="single" w:color="000000" w:sz="4" w:space="0"/>
            </w:tcBorders>
            <w:tcW w:w="1066" w:type="dxa"/>
          </w:tcPr>
          <w:p>
            <w:pPr>
              <w:pStyle w:val="12385"/>
              <w:pBdr/>
              <w:spacing/>
              <w:ind/>
              <w:rPr>
                <w:rFonts w:cs="Times New Roman"/>
              </w:rPr>
            </w:pPr>
            <w:r>
              <w:t xml:space="preserve">4159,63</w:t>
            </w:r>
            <w:r>
              <w:rPr>
                <w:rFonts w:cs="Times New Roman"/>
              </w:rPr>
            </w:r>
          </w:p>
        </w:tc>
        <w:tc>
          <w:tcPr>
            <w:shd w:val="clear" w:color="000000" w:fill="ffffff"/>
            <w:tcBorders>
              <w:bottom w:val="single" w:color="000000" w:sz="4" w:space="0"/>
              <w:right w:val="single" w:color="000000" w:sz="4" w:space="0"/>
            </w:tcBorders>
            <w:tcW w:w="744" w:type="dxa"/>
            <w:vAlign w:val="center"/>
          </w:tcPr>
          <w:p>
            <w:pPr>
              <w:pStyle w:val="12385"/>
              <w:pBdr/>
              <w:spacing/>
              <w:ind/>
              <w:rPr>
                <w:rFonts w:cs="Times New Roman"/>
              </w:rPr>
            </w:pPr>
            <w:r>
              <w:rPr>
                <w:color w:val="000000"/>
                <w:szCs w:val="20"/>
              </w:rPr>
              <w:t xml:space="preserve">0,009</w:t>
            </w:r>
            <w:r>
              <w:rPr>
                <w:rFonts w:cs="Times New Roman"/>
              </w:rPr>
            </w:r>
          </w:p>
        </w:tc>
        <w:tc>
          <w:tcPr>
            <w:shd w:val="clear" w:color="000000" w:fill="ffffff"/>
            <w:tcBorders>
              <w:bottom w:val="single" w:color="000000" w:sz="4" w:space="0"/>
              <w:right w:val="single" w:color="000000" w:sz="4" w:space="0"/>
            </w:tcBorders>
            <w:tcW w:w="852" w:type="dxa"/>
            <w:vAlign w:val="bottom"/>
          </w:tcPr>
          <w:p>
            <w:pPr>
              <w:pStyle w:val="12385"/>
              <w:pBdr/>
              <w:spacing/>
              <w:ind/>
              <w:rPr>
                <w:rFonts w:cs="Times New Roman"/>
              </w:rPr>
            </w:pPr>
            <w:r>
              <w:rPr>
                <w:color w:val="000000"/>
                <w:szCs w:val="20"/>
              </w:rPr>
              <w:t xml:space="preserve">0,011</w:t>
            </w:r>
            <w:r>
              <w:rPr>
                <w:rFonts w:cs="Times New Roman"/>
              </w:rPr>
            </w:r>
          </w:p>
        </w:tc>
      </w:tr>
    </w:tbl>
    <w:p>
      <w:pPr>
        <w:pStyle w:val="12960"/>
        <w:pBdr/>
        <w:spacing/>
        <w:ind/>
        <w:rPr/>
      </w:pPr>
      <w:r/>
      <w:r/>
    </w:p>
    <w:p>
      <w:pPr>
        <w:pStyle w:val="10534"/>
        <w:numPr>
          <w:ilvl w:val="0"/>
          <w:numId w:val="0"/>
        </w:numPr>
        <w:pBdr/>
        <w:spacing/>
        <w:ind w:firstLine="0" w:left="0"/>
        <w:rPr>
          <w:spacing w:val="0"/>
        </w:rPr>
      </w:pPr>
      <w:r/>
      <w:bookmarkStart w:id="903" w:name="_Toc198483604"/>
      <w:r/>
      <w:bookmarkStart w:id="904" w:name="_Toc166767264"/>
      <w:r/>
      <w:bookmarkStart w:id="905" w:name="_Toc84971045"/>
      <w:r/>
      <w:bookmarkStart w:id="906" w:name="_Toc9154899"/>
      <w:r>
        <w:rPr>
          <w:spacing w:val="0"/>
        </w:rPr>
        <w:t xml:space="preserve">ГЛАВА 8. ПРЕДЛОЖЕНИЯ ПО СТРОИТЕЛЬСТВУ, РЕКОНСТРУКЦИИ И (ИЛИ) МОДЕРНИЗАЦИИ ТЕПЛОВЫХ СЕТЕЙ</w:t>
      </w:r>
      <w:bookmarkEnd w:id="903"/>
      <w:r/>
      <w:bookmarkEnd w:id="904"/>
      <w:r/>
      <w:bookmarkEnd w:id="905"/>
      <w:r/>
      <w:bookmarkEnd w:id="906"/>
      <w:r/>
      <w:r>
        <w:rPr>
          <w:spacing w:val="0"/>
        </w:rPr>
      </w:r>
    </w:p>
    <w:p>
      <w:pPr>
        <w:pStyle w:val="10533"/>
        <w:pBdr/>
        <w:spacing/>
        <w:ind/>
        <w:rPr/>
        <w:sectPr>
          <w:headerReference w:type="default" r:id="rId144"/>
          <w:headerReference w:type="first" r:id="rId145"/>
          <w:footerReference w:type="default" r:id="rId412"/>
          <w:footerReference w:type="first" r:id="rId413"/>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47"/>
        </w:numPr>
        <w:pBdr/>
        <w:spacing/>
        <w:ind/>
        <w:rPr>
          <w:rFonts w:ascii="Times New Roman" w:hAnsi="Times New Roman" w:eastAsia="Times New Roman" w:cs="Times New Roman"/>
          <w:b/>
          <w:smallCaps/>
          <w:spacing w:val="0"/>
          <w:sz w:val="28"/>
          <w:szCs w:val="36"/>
          <w:lang w:eastAsia="en-US" w:bidi="en-US"/>
        </w:rPr>
      </w:pPr>
      <w:r/>
      <w:bookmarkStart w:id="907" w:name="_Toc198483605"/>
      <w:r/>
      <w:bookmarkStart w:id="908" w:name="_Toc166767265"/>
      <w:r/>
      <w:bookmarkStart w:id="909" w:name="_Toc84971046"/>
      <w:r/>
      <w:bookmarkStart w:id="910" w:name="_Toc9154900"/>
      <w:r>
        <w:rPr>
          <w:rFonts w:eastAsia="Times New Roman" w:cs="Times New Roman"/>
          <w:b/>
          <w:smallCaps/>
          <w:spacing w:val="0"/>
          <w:sz w:val="28"/>
          <w:szCs w:val="36"/>
          <w:lang w:eastAsia="en-US" w:bidi="en-US"/>
        </w:rPr>
        <w:t xml:space="preserve">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907"/>
      <w:r/>
      <w:bookmarkEnd w:id="908"/>
      <w:r/>
      <w:bookmarkEnd w:id="909"/>
      <w:r/>
      <w:bookmarkEnd w:id="910"/>
      <w:r/>
      <w:r>
        <w:rPr>
          <w:rFonts w:ascii="Times New Roman" w:hAnsi="Times New Roman" w:eastAsia="Times New Roman" w:cs="Times New Roman"/>
          <w:b/>
          <w:smallCaps/>
          <w:spacing w:val="0"/>
          <w:sz w:val="28"/>
          <w:szCs w:val="36"/>
          <w:lang w:eastAsia="en-US" w:bidi="en-US"/>
        </w:rPr>
      </w:r>
    </w:p>
    <w:p>
      <w:pPr>
        <w:pStyle w:val="12960"/>
        <w:pBdr/>
        <w:spacing/>
        <w:ind/>
        <w:rPr/>
      </w:pPr>
      <w:r/>
      <w:bookmarkStart w:id="911" w:name="_Hlk205236881"/>
      <w:r/>
      <w:bookmarkEnd w:id="911"/>
      <w:r>
        <w:t xml:space="preserve">Развитие тепловых сетей выполняется с подключением новых абонентов, а также выполняется ремонт и замена существующих. Строительство резервных трубопроводных связей между смежными трубопроводами, позволит повысить надежность теплоснабжения. </w:t>
      </w:r>
      <w:r/>
    </w:p>
    <w:p>
      <w:pPr>
        <w:pStyle w:val="12960"/>
        <w:pBdr/>
        <w:spacing/>
        <w:ind/>
        <w:rPr/>
      </w:pPr>
      <w:r>
        <w:t xml:space="preserve">На момент разработки схемы теплоснабжения в Муниципальном образовании Астаповское отсутствуют зоны с дефицитами тепловой мощности.</w:t>
      </w:r>
      <w:r/>
    </w:p>
    <w:p>
      <w:pPr>
        <w:pStyle w:val="12960"/>
        <w:pBdr/>
        <w:spacing/>
        <w:ind/>
        <w:rPr/>
      </w:pPr>
      <w:r>
        <w:t xml:space="preserve">Таким образом, предложения по строительству и реконструкции тепловых сетей, обеспечивающих перераспределение тепловой нагрузки в схеме теплоснабжения – не предусмотрены.</w:t>
      </w:r>
      <w:r/>
    </w:p>
    <w:p>
      <w:pPr>
        <w:pStyle w:val="12960"/>
        <w:pBdr/>
        <w:spacing/>
        <w:ind/>
        <w:rPr/>
      </w:pPr>
      <w:r>
        <w:t xml:space="preserve">В целях повышения качества централизованного теплоснабжения предлагается выполнение следующих мероприятий:</w:t>
      </w:r>
      <w:r/>
    </w:p>
    <w:p>
      <w:pPr>
        <w:pStyle w:val="13832"/>
        <w:numPr>
          <w:ilvl w:val="0"/>
          <w:numId w:val="61"/>
        </w:numPr>
        <w:pBdr/>
        <w:spacing/>
        <w:ind w:hanging="284" w:left="1135"/>
        <w:rPr/>
      </w:pPr>
      <w:r>
        <w:t xml:space="preserve">Реконструкция участков тепловых сетей, подлежащих замене в связи с исчерпанием эксплуатационного ресурса</w:t>
      </w:r>
      <w:r/>
    </w:p>
    <w:p>
      <w:pPr>
        <w:pStyle w:val="12960"/>
        <w:pBdr/>
        <w:spacing/>
        <w:ind/>
        <w:rPr/>
      </w:pPr>
      <w:r>
        <w:t xml:space="preserve">Реконструкцию тепловых сетей предполагается выполнять с применением современных энергоэффективных технологий, что позволит обеспе</w:t>
      </w:r>
      <w:r>
        <w:t xml:space="preserve">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w:t>
      </w:r>
      <w:r/>
    </w:p>
    <w:p>
      <w:pPr>
        <w:pStyle w:val="12960"/>
        <w:pBdr/>
        <w:spacing/>
        <w:ind/>
        <w:rPr/>
        <w:sectPr>
          <w:headerReference w:type="default" r:id="rId146"/>
          <w:headerReference w:type="first" r:id="rId147"/>
          <w:footerReference w:type="default" r:id="rId414"/>
          <w:footerReference w:type="first" r:id="rId415"/>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48"/>
        </w:numPr>
        <w:pBdr/>
        <w:spacing/>
        <w:ind w:hanging="357" w:left="1066"/>
        <w:rPr>
          <w:spacing w:val="0"/>
        </w:rPr>
      </w:pPr>
      <w:r/>
      <w:bookmarkStart w:id="912" w:name="_Hlk205236881"/>
      <w:r/>
      <w:bookmarkStart w:id="913" w:name="_Toc166767266"/>
      <w:r/>
      <w:bookmarkStart w:id="914" w:name="_Toc198483606"/>
      <w:r/>
      <w:bookmarkStart w:id="915" w:name="_Toc9154901"/>
      <w:r/>
      <w:bookmarkStart w:id="916" w:name="_Toc84971047"/>
      <w:r/>
      <w:bookmarkEnd w:id="912"/>
      <w:r>
        <w:rPr>
          <w:spacing w:val="0"/>
        </w:rPr>
        <w:t xml:space="preserve">Предложения по стро</w:t>
      </w:r>
      <w:r>
        <w:rPr>
          <w:spacing w:val="0"/>
        </w:rPr>
        <w:t xml:space="preserve">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bookmarkEnd w:id="913"/>
      <w:r/>
      <w:bookmarkEnd w:id="914"/>
      <w:r/>
      <w:bookmarkEnd w:id="915"/>
      <w:r/>
      <w:bookmarkEnd w:id="916"/>
      <w:r/>
      <w:r>
        <w:rPr>
          <w:spacing w:val="0"/>
        </w:rPr>
      </w:r>
    </w:p>
    <w:p>
      <w:pPr>
        <w:pStyle w:val="12960"/>
        <w:pBdr/>
        <w:spacing/>
        <w:ind/>
        <w:rPr/>
      </w:pPr>
      <w:r/>
      <w:bookmarkStart w:id="917" w:name="_Hlk212946069"/>
      <w:r/>
      <w:bookmarkEnd w:id="917"/>
      <w:r>
        <w:t xml:space="preserve">Предложения по строительству тепловых сетей для обеспечения перспективных приростов тепловой нагрузки отсутствуют.</w:t>
      </w:r>
      <w:r/>
    </w:p>
    <w:p>
      <w:pPr>
        <w:pStyle w:val="10533"/>
        <w:widowControl w:val="false"/>
        <w:pBdr/>
        <w:spacing/>
        <w:ind w:left="142"/>
        <w:rPr>
          <w:sz w:val="20"/>
          <w:lang w:eastAsia="en-US"/>
        </w:rPr>
        <w:sectPr>
          <w:headerReference w:type="default" r:id="rId148"/>
          <w:headerReference w:type="first" r:id="rId149"/>
          <w:footerReference w:type="default" r:id="rId416"/>
          <w:footerReference w:type="first" r:id="rId417"/>
          <w:footnotePr/>
          <w:endnotePr/>
          <w:type w:val="nextPage"/>
          <w:pgSz w:h="16838" w:orient="portrait" w:w="11906"/>
          <w:pgMar w:top="1134" w:right="850" w:bottom="1134" w:left="1701" w:header="567" w:footer="454" w:gutter="0"/>
          <w:cols w:num="1" w:sep="0" w:space="1701" w:equalWidth="1"/>
        </w:sectPr>
      </w:pPr>
      <w:r>
        <w:rPr>
          <w:sz w:val="20"/>
          <w:lang w:eastAsia="en-US"/>
        </w:rPr>
      </w:r>
      <w:r>
        <w:rPr>
          <w:sz w:val="20"/>
          <w:lang w:eastAsia="en-US"/>
        </w:rPr>
      </w:r>
    </w:p>
    <w:p>
      <w:pPr>
        <w:pStyle w:val="10534"/>
        <w:numPr>
          <w:ilvl w:val="0"/>
          <w:numId w:val="149"/>
        </w:numPr>
        <w:pBdr/>
        <w:spacing/>
        <w:ind/>
        <w:rPr>
          <w:rFonts w:ascii="Times New Roman" w:hAnsi="Times New Roman" w:eastAsia="Times New Roman" w:cs="Times New Roman"/>
          <w:b/>
          <w:smallCaps/>
          <w:spacing w:val="0"/>
          <w:sz w:val="28"/>
          <w:szCs w:val="36"/>
          <w:lang w:eastAsia="en-US" w:bidi="en-US"/>
        </w:rPr>
      </w:pPr>
      <w:r/>
      <w:bookmarkStart w:id="918" w:name="_Hlk212946069"/>
      <w:r/>
      <w:bookmarkStart w:id="919" w:name="OLE_LINK5"/>
      <w:r/>
      <w:bookmarkStart w:id="920" w:name="_Toc198483607"/>
      <w:r/>
      <w:bookmarkStart w:id="921" w:name="_Toc166767267"/>
      <w:r/>
      <w:bookmarkStart w:id="922" w:name="_Toc84971048"/>
      <w:r/>
      <w:bookmarkStart w:id="923" w:name="_Toc9154902"/>
      <w:r/>
      <w:bookmarkStart w:id="924" w:name="_bookmark445"/>
      <w:r/>
      <w:bookmarkEnd w:id="918"/>
      <w:r/>
      <w:bookmarkEnd w:id="924"/>
      <w:r>
        <w:rPr>
          <w:rFonts w:eastAsia="Times New Roman" w:cs="Times New Roman"/>
          <w:b/>
          <w:smallCaps/>
          <w:spacing w:val="0"/>
          <w:sz w:val="28"/>
          <w:szCs w:val="36"/>
          <w:lang w:eastAsia="en-US" w:bidi="en-US"/>
        </w:rPr>
        <w:t xml:space="preserve">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919"/>
      <w:r/>
      <w:bookmarkEnd w:id="920"/>
      <w:r/>
      <w:bookmarkEnd w:id="921"/>
      <w:r/>
      <w:bookmarkEnd w:id="922"/>
      <w:r/>
      <w:bookmarkEnd w:id="923"/>
      <w:r/>
      <w:r>
        <w:rPr>
          <w:rFonts w:ascii="Times New Roman" w:hAnsi="Times New Roman" w:eastAsia="Times New Roman" w:cs="Times New Roman"/>
          <w:b/>
          <w:smallCaps/>
          <w:spacing w:val="0"/>
          <w:sz w:val="28"/>
          <w:szCs w:val="36"/>
          <w:lang w:eastAsia="en-US" w:bidi="en-US"/>
        </w:rPr>
      </w:r>
    </w:p>
    <w:p>
      <w:pPr>
        <w:pStyle w:val="12960"/>
        <w:pBdr/>
        <w:spacing/>
        <w:ind/>
        <w:rPr/>
      </w:pPr>
      <w:r>
        <w:rPr>
          <w:bCs w:val="0"/>
        </w:rPr>
        <w:t xml:space="preserve">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r>
        <w:br w:type="page" w:clear="all"/>
      </w:r>
      <w:r/>
    </w:p>
    <w:p>
      <w:pPr>
        <w:pStyle w:val="10534"/>
        <w:numPr>
          <w:ilvl w:val="0"/>
          <w:numId w:val="150"/>
        </w:numPr>
        <w:pBdr/>
        <w:spacing/>
        <w:ind/>
        <w:rPr>
          <w:rFonts w:ascii="Times New Roman" w:hAnsi="Times New Roman" w:eastAsia="Times New Roman" w:cs="Times New Roman"/>
          <w:b/>
          <w:smallCaps/>
          <w:spacing w:val="0"/>
          <w:sz w:val="28"/>
          <w:szCs w:val="36"/>
          <w:lang w:eastAsia="en-US" w:bidi="en-US"/>
        </w:rPr>
      </w:pPr>
      <w:r/>
      <w:bookmarkStart w:id="925" w:name="_Toc198483608"/>
      <w:r/>
      <w:bookmarkStart w:id="926" w:name="_Toc84971049"/>
      <w:r/>
      <w:bookmarkStart w:id="927" w:name="_Toc9154903"/>
      <w:r/>
      <w:bookmarkStart w:id="928" w:name="_Toc166767268"/>
      <w:r>
        <w:rPr>
          <w:rFonts w:eastAsia="Times New Roman" w:cs="Times New Roman"/>
          <w:b/>
          <w:smallCaps/>
          <w:spacing w:val="0"/>
          <w:sz w:val="28"/>
          <w:szCs w:val="36"/>
          <w:lang w:eastAsia="en-US" w:bidi="en-US"/>
        </w:rPr>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925"/>
      <w:r/>
      <w:bookmarkEnd w:id="926"/>
      <w:r/>
      <w:bookmarkEnd w:id="927"/>
      <w:r/>
      <w:bookmarkEnd w:id="928"/>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r/>
    </w:p>
    <w:p>
      <w:pPr>
        <w:pStyle w:val="12960"/>
        <w:pBdr/>
        <w:spacing/>
        <w:ind/>
        <w:rPr>
          <w:rFonts w:eastAsia="MS Mincho"/>
        </w:rPr>
      </w:pPr>
      <w:r>
        <w:rPr>
          <w:rFonts w:eastAsia="MS Mincho"/>
        </w:rPr>
      </w:r>
      <w:r>
        <w:br w:type="page" w:clear="all"/>
      </w:r>
      <w:r>
        <w:rPr>
          <w:rFonts w:eastAsia="MS Mincho"/>
        </w:rPr>
      </w:r>
    </w:p>
    <w:p>
      <w:pPr>
        <w:pStyle w:val="10534"/>
        <w:numPr>
          <w:ilvl w:val="0"/>
          <w:numId w:val="151"/>
        </w:numPr>
        <w:pBdr/>
        <w:spacing/>
        <w:ind/>
        <w:rPr>
          <w:rFonts w:ascii="Times New Roman" w:hAnsi="Times New Roman" w:eastAsia="Times New Roman" w:cs="Times New Roman"/>
          <w:b/>
          <w:smallCaps/>
          <w:spacing w:val="0"/>
          <w:sz w:val="28"/>
          <w:szCs w:val="36"/>
          <w:lang w:eastAsia="en-US" w:bidi="en-US"/>
        </w:rPr>
      </w:pPr>
      <w:r/>
      <w:bookmarkStart w:id="929" w:name="_Toc198483609"/>
      <w:r/>
      <w:bookmarkStart w:id="930" w:name="_Toc166767269"/>
      <w:r/>
      <w:bookmarkStart w:id="931" w:name="_Toc84971050"/>
      <w:r/>
      <w:bookmarkStart w:id="932" w:name="_Toc9154904"/>
      <w:r>
        <w:rPr>
          <w:rFonts w:eastAsia="Times New Roman" w:cs="Times New Roman"/>
          <w:b/>
          <w:smallCaps/>
          <w:spacing w:val="0"/>
          <w:sz w:val="28"/>
          <w:szCs w:val="36"/>
          <w:lang w:eastAsia="en-US" w:bidi="en-US"/>
        </w:rPr>
        <w:t xml:space="preserve">Предложения по строительству тепловых сетей для обеспечения нормативной надежности теплоснабжения</w:t>
      </w:r>
      <w:bookmarkEnd w:id="929"/>
      <w:r/>
      <w:bookmarkEnd w:id="930"/>
      <w:r/>
      <w:bookmarkEnd w:id="931"/>
      <w:r/>
      <w:bookmarkEnd w:id="932"/>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Для обеспечения надежной работы системы теплоснабжения требуется реконструкция части существующих трубопроводов и реконструкция трубопроводов по мере износа. </w:t>
      </w:r>
      <w:r/>
    </w:p>
    <w:p>
      <w:pPr>
        <w:pStyle w:val="12960"/>
        <w:pBdr/>
        <w:spacing/>
        <w:ind/>
        <w:rPr/>
      </w:pPr>
      <w:r>
        <w:t xml:space="preserve">Строительство и реконструкцию тепловых сетей для обеспечения нормативной надежности теплоснабжения потребителей, необходимо выполнить при реализации программ перспективного развития системы теплоснабжения по выбранному варианту, рассмотренных выше.</w:t>
      </w:r>
      <w:r>
        <w:br w:type="page" w:clear="all"/>
      </w:r>
      <w:r/>
    </w:p>
    <w:p>
      <w:pPr>
        <w:pStyle w:val="10534"/>
        <w:widowControl w:val="true"/>
        <w:numPr>
          <w:ilvl w:val="0"/>
          <w:numId w:val="152"/>
        </w:numPr>
        <w:pBdr/>
        <w:bidi w:val="false"/>
        <w:spacing w:after="240" w:before="120" w:line="360" w:lineRule="auto"/>
        <w:ind w:right="0" w:hanging="340" w:left="340"/>
        <w:contextualSpacing w:val="true"/>
        <w:jc w:val="center"/>
        <w:rPr>
          <w:spacing w:val="0"/>
        </w:rPr>
      </w:pPr>
      <w:r/>
      <w:bookmarkStart w:id="933" w:name="_Toc198483610"/>
      <w:r/>
      <w:bookmarkStart w:id="934" w:name="_Toc166767270"/>
      <w:r/>
      <w:bookmarkStart w:id="935" w:name="_Toc84971051"/>
      <w:r/>
      <w:bookmarkStart w:id="936" w:name="_Toc9154905"/>
      <w:r>
        <w:rPr>
          <w:rFonts w:eastAsia="Times New Roman" w:cs="Times New Roman"/>
          <w:b/>
          <w:smallCaps/>
          <w:spacing w:val="0"/>
          <w:sz w:val="28"/>
          <w:szCs w:val="36"/>
          <w:lang w:eastAsia="en-US" w:bidi="en-US"/>
        </w:rPr>
        <w:t xml:space="preserve">Предложения по реконструкции и (или) модернизации тепловых сетей с увеличением диаметра трубопроводов для обеспечения перспективных прир</w:t>
      </w:r>
      <w:r>
        <w:rPr>
          <w:spacing w:val="0"/>
        </w:rPr>
        <w:t xml:space="preserve">остов тепловой нагрузки</w:t>
      </w:r>
      <w:bookmarkEnd w:id="933"/>
      <w:r/>
      <w:bookmarkEnd w:id="934"/>
      <w:r/>
      <w:bookmarkEnd w:id="935"/>
      <w:r/>
      <w:bookmarkEnd w:id="936"/>
      <w:r/>
      <w:r>
        <w:rPr>
          <w:spacing w:val="0"/>
        </w:rPr>
      </w:r>
    </w:p>
    <w:p>
      <w:pPr>
        <w:pStyle w:val="12960"/>
        <w:pBdr/>
        <w:spacing/>
        <w:ind/>
        <w:rPr/>
      </w:pPr>
      <w:r>
        <w:t xml:space="preserve">Реконструкция тепловых сетей с увеличением диаметра трубопроводов для обеспечения перспективных приростов тепловой не требуется.</w:t>
      </w:r>
      <w:r/>
    </w:p>
    <w:p>
      <w:pPr>
        <w:pStyle w:val="12960"/>
        <w:pBdr/>
        <w:spacing/>
        <w:ind/>
        <w:rPr/>
      </w:pPr>
      <w:r/>
      <w:r>
        <w:br w:type="page" w:clear="all"/>
      </w:r>
      <w:r/>
    </w:p>
    <w:p>
      <w:pPr>
        <w:pStyle w:val="10534"/>
        <w:numPr>
          <w:ilvl w:val="0"/>
          <w:numId w:val="153"/>
        </w:numPr>
        <w:pBdr/>
        <w:spacing/>
        <w:ind/>
        <w:rPr>
          <w:rFonts w:ascii="Times New Roman" w:hAnsi="Times New Roman" w:eastAsia="Times New Roman" w:cs="Times New Roman"/>
          <w:b/>
          <w:smallCaps/>
          <w:spacing w:val="0"/>
          <w:sz w:val="28"/>
          <w:szCs w:val="36"/>
          <w:lang w:eastAsia="en-US" w:bidi="en-US"/>
        </w:rPr>
      </w:pPr>
      <w:r/>
      <w:bookmarkStart w:id="937" w:name="_Toc198483611"/>
      <w:r/>
      <w:bookmarkStart w:id="938" w:name="_Toc84971052"/>
      <w:r/>
      <w:bookmarkStart w:id="939" w:name="_Toc9154906"/>
      <w:r/>
      <w:bookmarkStart w:id="940" w:name="_Toc166767271"/>
      <w:r>
        <w:rPr>
          <w:rFonts w:eastAsia="Times New Roman" w:cs="Times New Roman"/>
          <w:b/>
          <w:smallCaps/>
          <w:spacing w:val="0"/>
          <w:sz w:val="28"/>
          <w:szCs w:val="36"/>
          <w:lang w:eastAsia="en-US" w:bidi="en-US"/>
        </w:rPr>
        <w:t xml:space="preserve">Предложения по реконструкции и (или) модернизации </w:t>
      </w:r>
      <w:bookmarkStart w:id="941" w:name="OLE_LINK8"/>
      <w:r>
        <w:rPr>
          <w:rFonts w:eastAsia="Times New Roman" w:cs="Times New Roman"/>
          <w:b/>
          <w:smallCaps/>
          <w:spacing w:val="0"/>
          <w:sz w:val="28"/>
          <w:szCs w:val="36"/>
          <w:lang w:eastAsia="en-US" w:bidi="en-US"/>
        </w:rPr>
        <w:t xml:space="preserve">тепловых сетей, подлежащих замене в связи с исчерпанием эксплуатационного ресурса</w:t>
      </w:r>
      <w:bookmarkEnd w:id="937"/>
      <w:r/>
      <w:bookmarkEnd w:id="938"/>
      <w:r/>
      <w:bookmarkEnd w:id="939"/>
      <w:r/>
      <w:bookmarkEnd w:id="940"/>
      <w:r/>
      <w:bookmarkEnd w:id="941"/>
      <w:r/>
      <w:r>
        <w:rPr>
          <w:rFonts w:ascii="Times New Roman" w:hAnsi="Times New Roman" w:eastAsia="Times New Roman" w:cs="Times New Roman"/>
          <w:b/>
          <w:smallCaps/>
          <w:spacing w:val="0"/>
          <w:sz w:val="28"/>
          <w:szCs w:val="36"/>
          <w:lang w:eastAsia="en-US" w:bidi="en-US"/>
        </w:rPr>
      </w:r>
    </w:p>
    <w:p>
      <w:pPr>
        <w:pStyle w:val="12960"/>
        <w:pBdr/>
        <w:spacing/>
        <w:ind/>
        <w:rPr/>
      </w:pPr>
      <w:r/>
      <w:bookmarkStart w:id="942" w:name="_Hlk212946006"/>
      <w:r/>
      <w:r/>
      <w:bookmarkEnd w:id="942"/>
      <w:r>
        <w:t xml:space="preserve">По мере исчерпания эксплуатационного ресурса участков существующих тепловых сетей необходима их реконструкции.</w:t>
      </w:r>
      <w:r/>
    </w:p>
    <w:p>
      <w:pPr>
        <w:pStyle w:val="12960"/>
        <w:pBdr/>
        <w:spacing/>
        <w:ind/>
        <w:rPr/>
      </w:pPr>
      <w:r/>
      <w:bookmarkStart w:id="944" w:name="_Hlk216659528"/>
      <w:r>
        <w:t xml:space="preserve">.</w:t>
      </w:r>
      <w:bookmarkEnd w:id="944"/>
      <w:r>
        <w:t xml:space="preserve"> Объем реконструкции участков тепловых сетей, подлежащих замене в связи с исчерпанием эксплуатационного ресурса с разделением по котельным, не может быть представлен, так как данные по тепловым сетям не были предоставлены.</w:t>
      </w:r>
      <w:r/>
    </w:p>
    <w:p>
      <w:pPr>
        <w:pStyle w:val="12960"/>
        <w:pBdr/>
        <w:spacing/>
        <w:ind/>
        <w:rPr/>
      </w:pPr>
      <w:r/>
      <w:r/>
      <w:bookmarkStart w:id="946" w:name="_Hlk212946006"/>
      <w:r/>
      <w:bookmarkEnd w:id="946"/>
      <w:r/>
      <w:r/>
    </w:p>
    <w:p>
      <w:pPr>
        <w:pStyle w:val="10533"/>
        <w:pBdr/>
        <w:spacing w:after="120" w:before="0"/>
        <w:ind w:firstLine="709"/>
        <w:rPr/>
      </w:pPr>
      <w:r/>
      <w:r>
        <w:br w:type="page" w:clear="all"/>
      </w:r>
      <w:r/>
    </w:p>
    <w:p>
      <w:pPr>
        <w:pStyle w:val="10534"/>
        <w:numPr>
          <w:ilvl w:val="0"/>
          <w:numId w:val="154"/>
        </w:numPr>
        <w:pBdr/>
        <w:spacing/>
        <w:ind/>
        <w:rPr>
          <w:rFonts w:ascii="Times New Roman" w:hAnsi="Times New Roman" w:eastAsia="Times New Roman" w:cs="Times New Roman"/>
          <w:b/>
          <w:smallCaps/>
          <w:spacing w:val="0"/>
          <w:sz w:val="28"/>
          <w:szCs w:val="36"/>
          <w:lang w:eastAsia="en-US" w:bidi="en-US"/>
        </w:rPr>
      </w:pPr>
      <w:r/>
      <w:bookmarkStart w:id="947" w:name="_Toc198483612"/>
      <w:r/>
      <w:bookmarkStart w:id="948" w:name="_Toc166767272"/>
      <w:r/>
      <w:bookmarkStart w:id="949" w:name="_Toc84971053"/>
      <w:r/>
      <w:bookmarkStart w:id="950" w:name="_Toc9154907"/>
      <w:r>
        <w:rPr>
          <w:rFonts w:eastAsia="Times New Roman" w:cs="Times New Roman"/>
          <w:b/>
          <w:smallCaps/>
          <w:spacing w:val="0"/>
          <w:sz w:val="28"/>
          <w:szCs w:val="36"/>
          <w:lang w:eastAsia="en-US" w:bidi="en-US"/>
        </w:rPr>
        <w:t xml:space="preserve">Предложения по строительству, реконструкции и (или) модернизации насосных станций</w:t>
      </w:r>
      <w:bookmarkEnd w:id="947"/>
      <w:r/>
      <w:bookmarkEnd w:id="948"/>
      <w:r/>
      <w:bookmarkEnd w:id="949"/>
      <w:r/>
      <w:bookmarkEnd w:id="950"/>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Строительство повысительных насосных станции на территории муниципального образования не требуется. </w:t>
      </w:r>
      <w:r/>
    </w:p>
    <w:p>
      <w:pPr>
        <w:pStyle w:val="12960"/>
        <w:pBdr/>
        <w:spacing/>
        <w:ind/>
        <w:rPr/>
        <w:sectPr>
          <w:headerReference w:type="default" r:id="rId150"/>
          <w:headerReference w:type="first" r:id="rId151"/>
          <w:footerReference w:type="default" r:id="rId418"/>
          <w:footerReference w:type="first" r:id="rId419"/>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pPr>
      <w:r/>
      <w:bookmarkStart w:id="951" w:name="_Toc9154908"/>
      <w:r/>
      <w:bookmarkStart w:id="952" w:name="_Toc84971054"/>
      <w:r/>
      <w:bookmarkStart w:id="953" w:name="_Toc166767273"/>
      <w:r/>
      <w:bookmarkStart w:id="954" w:name="_Toc198483613"/>
      <w:r>
        <w:rPr>
          <w:spacing w:val="0"/>
        </w:rPr>
        <w:t xml:space="preserve">ГЛАВА 9. ПРЕДЛОЖЕНИЯ ПО ПЕРЕВОДУ ОТКРЫТЫХ СИСТЕМ ТЕПЛОСНАБЖЕНИЯ (ГОРЯЧЕГО ВОДОСНАБЖЕНИЯ) В ЗАКРЫТЫЕ СИСТЕМЫ ГОРЯЧЕГО ВОДОСНАБЖЕНИЯ</w:t>
      </w:r>
      <w:bookmarkEnd w:id="951"/>
      <w:r/>
      <w:bookmarkEnd w:id="952"/>
      <w:r/>
      <w:bookmarkEnd w:id="953"/>
      <w:r/>
      <w:bookmarkEnd w:id="954"/>
      <w:r/>
      <w:r>
        <w:rPr>
          <w:spacing w:val="0"/>
        </w:rPr>
      </w:r>
    </w:p>
    <w:p>
      <w:pPr>
        <w:pStyle w:val="10533"/>
        <w:pBdr/>
        <w:spacing/>
        <w:ind/>
        <w:rPr/>
        <w:sectPr>
          <w:headerReference w:type="default" r:id="rId152"/>
          <w:headerReference w:type="first" r:id="rId153"/>
          <w:footerReference w:type="default" r:id="rId420"/>
          <w:footerReference w:type="first" r:id="rId421"/>
          <w:footnotePr/>
          <w:endnotePr/>
          <w:type w:val="nextPage"/>
          <w:pgSz w:h="16838" w:orient="portrait" w:w="11906"/>
          <w:pgMar w:top="1134" w:right="850" w:bottom="1134" w:left="1701" w:header="567" w:footer="454" w:gutter="0"/>
          <w:cols w:num="1" w:sep="0" w:space="1701" w:equalWidth="1"/>
        </w:sectPr>
      </w:pPr>
      <w:r/>
      <w:r/>
    </w:p>
    <w:p>
      <w:pPr>
        <w:pStyle w:val="10534"/>
        <w:widowControl w:val="true"/>
        <w:numPr>
          <w:ilvl w:val="0"/>
          <w:numId w:val="155"/>
        </w:numPr>
        <w:pBdr/>
        <w:bidi w:val="false"/>
        <w:spacing w:after="240" w:before="120" w:line="360" w:lineRule="auto"/>
        <w:ind w:right="0" w:hanging="340" w:left="340"/>
        <w:contextualSpacing w:val="true"/>
        <w:jc w:val="center"/>
        <w:rPr>
          <w:spacing w:val="0"/>
        </w:rPr>
      </w:pPr>
      <w:r/>
      <w:bookmarkStart w:id="955" w:name="_Toc198483614"/>
      <w:r/>
      <w:bookmarkStart w:id="956" w:name="_Toc166767274"/>
      <w:r/>
      <w:bookmarkStart w:id="957" w:name="_Toc84971055"/>
      <w:r/>
      <w:bookmarkStart w:id="958" w:name="_Toc9154909"/>
      <w:r>
        <w:rPr>
          <w:rFonts w:eastAsia="Times New Roman" w:cs="Times New Roman"/>
          <w:b/>
          <w:smallCaps/>
          <w:spacing w:val="0"/>
          <w:sz w:val="28"/>
          <w:szCs w:val="36"/>
          <w:lang w:eastAsia="en-US" w:bidi="en-US"/>
        </w:rPr>
        <w:t xml:space="preserve">Технико-экономическое обоснован</w:t>
      </w:r>
      <w:r>
        <w:rPr>
          <w:rFonts w:eastAsia="Times New Roman" w:cs="Times New Roman"/>
          <w:b/>
          <w:smallCaps/>
          <w:spacing w:val="0"/>
          <w:sz w:val="28"/>
          <w:szCs w:val="36"/>
          <w:lang w:eastAsia="en-US" w:bidi="en-US"/>
        </w:rPr>
        <w:t xml:space="preserve">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w:t>
      </w:r>
      <w:r>
        <w:rPr>
          <w:spacing w:val="0"/>
        </w:rPr>
        <w:t xml:space="preserve">ю систему горячего водоснабжения</w:t>
      </w:r>
      <w:bookmarkEnd w:id="955"/>
      <w:r/>
      <w:bookmarkEnd w:id="956"/>
      <w:r/>
      <w:bookmarkEnd w:id="957"/>
      <w:r/>
      <w:bookmarkEnd w:id="958"/>
      <w:r/>
      <w:r>
        <w:rPr>
          <w:spacing w:val="0"/>
        </w:rPr>
      </w:r>
    </w:p>
    <w:p>
      <w:pPr>
        <w:pStyle w:val="12960"/>
        <w:pBdr/>
        <w:spacing/>
        <w:ind/>
        <w:rPr/>
      </w:pPr>
      <w:r>
        <w:t xml:space="preserve">В Муниципальном образовании Астаповское от ООО «АГК» запроектированы и действуют закрытые системы теплоснабжения, в которых не предусматривается использование сетевой воды потребителями для нужд горячего водоснабжения.</w:t>
      </w:r>
      <w:r/>
    </w:p>
    <w:p>
      <w:pPr>
        <w:pStyle w:val="12960"/>
        <w:pBdr/>
        <w:spacing/>
        <w:ind/>
        <w:rPr/>
      </w:pPr>
      <w:r/>
      <w:bookmarkStart w:id="959" w:name="_Hlk215473911"/>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bookmarkEnd w:id="959"/>
      <w:r/>
      <w:r/>
    </w:p>
    <w:p>
      <w:pPr>
        <w:pStyle w:val="12960"/>
        <w:pBdr/>
        <w:spacing/>
        <w:ind/>
        <w:rPr/>
      </w:pPr>
      <w:r/>
      <w:r>
        <w:br w:type="page" w:clear="all"/>
      </w:r>
      <w:r/>
    </w:p>
    <w:p>
      <w:pPr>
        <w:pStyle w:val="10534"/>
        <w:numPr>
          <w:ilvl w:val="0"/>
          <w:numId w:val="156"/>
        </w:numPr>
        <w:pBdr/>
        <w:spacing/>
        <w:ind/>
        <w:rPr>
          <w:rFonts w:ascii="Times New Roman" w:hAnsi="Times New Roman" w:eastAsia="Times New Roman" w:cs="Times New Roman"/>
          <w:b/>
          <w:smallCaps/>
          <w:spacing w:val="0"/>
          <w:sz w:val="28"/>
          <w:szCs w:val="36"/>
          <w:lang w:eastAsia="en-US" w:bidi="en-US"/>
        </w:rPr>
      </w:pPr>
      <w:r/>
      <w:bookmarkStart w:id="960" w:name="_Toc198483615"/>
      <w:r/>
      <w:bookmarkStart w:id="961" w:name="_Toc166767275"/>
      <w:r/>
      <w:bookmarkStart w:id="962" w:name="_Toc84971056"/>
      <w:r/>
      <w:bookmarkStart w:id="963" w:name="_Toc9154910"/>
      <w:r>
        <w:rPr>
          <w:rFonts w:eastAsia="Times New Roman" w:cs="Times New Roman"/>
          <w:b/>
          <w:smallCaps/>
          <w:spacing w:val="0"/>
          <w:sz w:val="28"/>
          <w:szCs w:val="36"/>
          <w:lang w:eastAsia="en-US" w:bidi="en-US"/>
        </w:rPr>
        <w:t xml:space="preserve">Выбор и обоснование метода регулирования отпуска тепловой энергии от источников тепловой энергии</w:t>
      </w:r>
      <w:bookmarkEnd w:id="960"/>
      <w:r/>
      <w:bookmarkEnd w:id="961"/>
      <w:r/>
      <w:bookmarkEnd w:id="962"/>
      <w:r/>
      <w:bookmarkEnd w:id="963"/>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r/>
    </w:p>
    <w:p>
      <w:pPr>
        <w:pStyle w:val="12960"/>
        <w:pBdr/>
        <w:spacing/>
        <w:ind/>
        <w:rPr/>
      </w:pPr>
      <w:r/>
      <w:r>
        <w:br w:type="page" w:clear="all"/>
      </w:r>
      <w:r/>
    </w:p>
    <w:p>
      <w:pPr>
        <w:pStyle w:val="10534"/>
        <w:numPr>
          <w:ilvl w:val="0"/>
          <w:numId w:val="157"/>
        </w:numPr>
        <w:pBdr/>
        <w:spacing/>
        <w:ind/>
        <w:rPr>
          <w:rFonts w:ascii="Times New Roman" w:hAnsi="Times New Roman" w:eastAsia="Times New Roman" w:cs="Times New Roman"/>
          <w:b/>
          <w:smallCaps/>
          <w:spacing w:val="0"/>
          <w:sz w:val="28"/>
          <w:szCs w:val="36"/>
          <w:lang w:eastAsia="en-US" w:bidi="en-US"/>
        </w:rPr>
      </w:pPr>
      <w:r/>
      <w:bookmarkStart w:id="964" w:name="_Toc9154911"/>
      <w:r/>
      <w:bookmarkStart w:id="965" w:name="_Toc84971057"/>
      <w:r/>
      <w:bookmarkStart w:id="966" w:name="_Toc166767276"/>
      <w:r/>
      <w:bookmarkStart w:id="967" w:name="_Toc198483616"/>
      <w:r>
        <w:rPr>
          <w:rFonts w:eastAsia="Times New Roman" w:cs="Times New Roman"/>
          <w:b/>
          <w:smallCaps/>
          <w:spacing w:val="0"/>
          <w:sz w:val="28"/>
          <w:szCs w:val="36"/>
          <w:lang w:eastAsia="en-US" w:bidi="en-US"/>
        </w:rPr>
        <w:t xml:space="preserve">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964"/>
      <w:r/>
      <w:bookmarkEnd w:id="965"/>
      <w:r/>
      <w:bookmarkEnd w:id="966"/>
      <w:r/>
      <w:bookmarkEnd w:id="967"/>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r/>
    </w:p>
    <w:p>
      <w:pPr>
        <w:pStyle w:val="12960"/>
        <w:pBdr/>
        <w:spacing/>
        <w:ind/>
        <w:rPr/>
      </w:pPr>
      <w:r/>
      <w:r>
        <w:br w:type="page" w:clear="all"/>
      </w:r>
      <w:r/>
    </w:p>
    <w:p>
      <w:pPr>
        <w:pStyle w:val="10534"/>
        <w:numPr>
          <w:ilvl w:val="0"/>
          <w:numId w:val="158"/>
        </w:numPr>
        <w:pBdr/>
        <w:spacing/>
        <w:ind/>
        <w:rPr>
          <w:rFonts w:ascii="Times New Roman" w:hAnsi="Times New Roman" w:eastAsia="Times New Roman" w:cs="Times New Roman"/>
          <w:b/>
          <w:smallCaps/>
          <w:spacing w:val="0"/>
          <w:sz w:val="28"/>
          <w:szCs w:val="36"/>
          <w:lang w:eastAsia="en-US" w:bidi="en-US"/>
        </w:rPr>
      </w:pPr>
      <w:r/>
      <w:bookmarkStart w:id="968" w:name="_Toc198483617"/>
      <w:r/>
      <w:bookmarkStart w:id="969" w:name="_Toc166767277"/>
      <w:r/>
      <w:bookmarkStart w:id="970" w:name="_Toc84971058"/>
      <w:r/>
      <w:bookmarkStart w:id="971" w:name="_Toc9154912"/>
      <w:r>
        <w:rPr>
          <w:rFonts w:eastAsia="Times New Roman" w:cs="Times New Roman"/>
          <w:b/>
          <w:smallCaps/>
          <w:spacing w:val="0"/>
          <w:sz w:val="28"/>
          <w:szCs w:val="36"/>
          <w:lang w:eastAsia="en-US" w:bidi="en-US"/>
        </w:rPr>
        <w:t xml:space="preserve">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968"/>
      <w:r/>
      <w:bookmarkEnd w:id="969"/>
      <w:r/>
      <w:bookmarkEnd w:id="970"/>
      <w:r/>
      <w:bookmarkEnd w:id="971"/>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r/>
    </w:p>
    <w:p>
      <w:pPr>
        <w:pStyle w:val="12960"/>
        <w:pBdr/>
        <w:spacing/>
        <w:ind/>
        <w:rPr/>
      </w:pPr>
      <w:r/>
      <w:r>
        <w:br w:type="page" w:clear="all"/>
      </w:r>
      <w:r/>
    </w:p>
    <w:p>
      <w:pPr>
        <w:pStyle w:val="10534"/>
        <w:numPr>
          <w:ilvl w:val="0"/>
          <w:numId w:val="159"/>
        </w:numPr>
        <w:pBdr/>
        <w:spacing/>
        <w:ind/>
        <w:rPr>
          <w:rFonts w:ascii="Times New Roman" w:hAnsi="Times New Roman" w:eastAsia="Times New Roman" w:cs="Times New Roman"/>
          <w:b/>
          <w:smallCaps/>
          <w:spacing w:val="0"/>
          <w:sz w:val="28"/>
          <w:szCs w:val="36"/>
          <w:lang w:eastAsia="en-US" w:bidi="en-US"/>
        </w:rPr>
      </w:pPr>
      <w:r/>
      <w:bookmarkStart w:id="972" w:name="_Toc198483618"/>
      <w:r/>
      <w:bookmarkStart w:id="973" w:name="_Toc166767278"/>
      <w:r/>
      <w:bookmarkStart w:id="974" w:name="_Toc84971059"/>
      <w:r/>
      <w:bookmarkStart w:id="975" w:name="_Toc9154913"/>
      <w:r>
        <w:rPr>
          <w:rFonts w:eastAsia="Times New Roman" w:cs="Times New Roman"/>
          <w:b/>
          <w:smallCaps/>
          <w:spacing w:val="0"/>
          <w:sz w:val="28"/>
          <w:szCs w:val="36"/>
          <w:lang w:eastAsia="en-US" w:bidi="en-US"/>
        </w:rPr>
        <w:t xml:space="preserve">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972"/>
      <w:r/>
      <w:bookmarkEnd w:id="973"/>
      <w:r/>
      <w:bookmarkEnd w:id="974"/>
      <w:r/>
      <w:bookmarkEnd w:id="975"/>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r/>
    </w:p>
    <w:p>
      <w:pPr>
        <w:pStyle w:val="12960"/>
        <w:pBdr/>
        <w:spacing/>
        <w:ind/>
        <w:rPr/>
        <w:sectPr>
          <w:headerReference w:type="default" r:id="rId154"/>
          <w:headerReference w:type="first" r:id="rId155"/>
          <w:footerReference w:type="default" r:id="rId422"/>
          <w:footerReference w:type="first" r:id="rId423"/>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60"/>
        </w:numPr>
        <w:pBdr/>
        <w:spacing/>
        <w:ind w:hanging="357" w:left="1066"/>
        <w:rPr>
          <w:spacing w:val="0"/>
        </w:rPr>
      </w:pPr>
      <w:r/>
      <w:bookmarkStart w:id="976" w:name="_Toc9154914"/>
      <w:r/>
      <w:bookmarkStart w:id="977" w:name="_Toc84971060"/>
      <w:r/>
      <w:bookmarkStart w:id="978" w:name="_Toc166767279"/>
      <w:r/>
      <w:bookmarkStart w:id="979" w:name="_Toc198483619"/>
      <w:r>
        <w:rPr>
          <w:spacing w:val="0"/>
        </w:rPr>
        <w:t xml:space="preserve">Предложения по источникам инвестиций</w:t>
      </w:r>
      <w:bookmarkEnd w:id="976"/>
      <w:r/>
      <w:bookmarkEnd w:id="977"/>
      <w:r/>
      <w:bookmarkEnd w:id="978"/>
      <w:r/>
      <w:bookmarkEnd w:id="979"/>
      <w:r/>
      <w:r>
        <w:rPr>
          <w:spacing w:val="0"/>
        </w:rPr>
      </w:r>
    </w:p>
    <w:p>
      <w:pPr>
        <w:pStyle w:val="12960"/>
        <w:pBdr/>
        <w:spacing/>
        <w:ind/>
        <w:rPr/>
      </w:pPr>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r/>
    </w:p>
    <w:p>
      <w:pPr>
        <w:pStyle w:val="10534"/>
        <w:numPr>
          <w:ilvl w:val="0"/>
          <w:numId w:val="0"/>
        </w:numPr>
        <w:pBdr/>
        <w:spacing/>
        <w:ind w:firstLine="0" w:left="0"/>
        <w:rPr>
          <w:spacing w:val="0"/>
        </w:rPr>
        <w:sectPr>
          <w:headerReference w:type="default" r:id="rId156"/>
          <w:headerReference w:type="first" r:id="rId157"/>
          <w:footerReference w:type="default" r:id="rId424"/>
          <w:footerReference w:type="first" r:id="rId425"/>
          <w:footnotePr/>
          <w:endnotePr/>
          <w:type w:val="nextPage"/>
          <w:pgSz w:h="16838" w:orient="portrait" w:w="11906"/>
          <w:pgMar w:top="1134" w:right="850" w:bottom="1134" w:left="1701" w:header="567" w:footer="454" w:gutter="0"/>
          <w:cols w:num="1" w:sep="0" w:space="1701" w:equalWidth="1"/>
        </w:sectPr>
      </w:pPr>
      <w:r/>
      <w:bookmarkStart w:id="980" w:name="_Toc198483620"/>
      <w:r/>
      <w:bookmarkStart w:id="981" w:name="_Toc166767280"/>
      <w:r/>
      <w:bookmarkStart w:id="982" w:name="_Toc84971061"/>
      <w:r/>
      <w:bookmarkStart w:id="983" w:name="_Toc9154915"/>
      <w:r>
        <w:rPr>
          <w:spacing w:val="0"/>
        </w:rPr>
        <w:t xml:space="preserve">ГЛАВА 10. ПЕРСПЕКТИВНЫЕ ТОПЛИВНЫЕ БАЛАНСЫ</w:t>
      </w:r>
      <w:bookmarkEnd w:id="980"/>
      <w:r/>
      <w:bookmarkEnd w:id="981"/>
      <w:r/>
      <w:bookmarkEnd w:id="982"/>
      <w:r/>
      <w:bookmarkEnd w:id="983"/>
      <w:r/>
      <w:r>
        <w:rPr>
          <w:spacing w:val="0"/>
        </w:rPr>
      </w:r>
    </w:p>
    <w:p>
      <w:pPr>
        <w:pStyle w:val="10534"/>
        <w:numPr>
          <w:ilvl w:val="0"/>
          <w:numId w:val="161"/>
        </w:numPr>
        <w:pBdr/>
        <w:spacing/>
        <w:ind/>
        <w:rPr>
          <w:rFonts w:ascii="Times New Roman" w:hAnsi="Times New Roman" w:eastAsia="Times New Roman" w:cs="Times New Roman"/>
          <w:b/>
          <w:smallCaps/>
          <w:spacing w:val="0"/>
          <w:sz w:val="28"/>
          <w:szCs w:val="36"/>
          <w:lang w:eastAsia="en-US" w:bidi="en-US"/>
        </w:rPr>
      </w:pPr>
      <w:r/>
      <w:bookmarkStart w:id="984" w:name="_Toc198483621"/>
      <w:r/>
      <w:bookmarkStart w:id="985" w:name="_Toc166767281"/>
      <w:r/>
      <w:bookmarkStart w:id="986" w:name="_Toc84971062"/>
      <w:r/>
      <w:bookmarkStart w:id="987" w:name="_Toc9154916"/>
      <w:r>
        <w:rPr>
          <w:rFonts w:eastAsia="Times New Roman" w:cs="Times New Roman"/>
          <w:b/>
          <w:smallCaps/>
          <w:spacing w:val="0"/>
          <w:sz w:val="28"/>
          <w:szCs w:val="36"/>
          <w:lang w:eastAsia="en-US" w:bidi="en-US"/>
        </w:rPr>
        <w:t xml:space="preserve">Расчеты по каждому источни</w:t>
      </w:r>
      <w:r>
        <w:rPr>
          <w:rFonts w:eastAsia="Times New Roman" w:cs="Times New Roman"/>
          <w:b/>
          <w:smallCaps/>
          <w:spacing w:val="0"/>
          <w:sz w:val="28"/>
          <w:szCs w:val="36"/>
          <w:lang w:eastAsia="en-US" w:bidi="en-US"/>
        </w:rPr>
        <w:t xml:space="preserve">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bookmarkEnd w:id="984"/>
      <w:r/>
      <w:bookmarkEnd w:id="985"/>
      <w:r/>
      <w:bookmarkEnd w:id="986"/>
      <w:r/>
      <w:bookmarkEnd w:id="987"/>
      <w:r/>
      <w:r>
        <w:rPr>
          <w:rFonts w:ascii="Times New Roman" w:hAnsi="Times New Roman" w:eastAsia="Times New Roman" w:cs="Times New Roman"/>
          <w:b/>
          <w:smallCaps/>
          <w:spacing w:val="0"/>
          <w:sz w:val="28"/>
          <w:szCs w:val="36"/>
          <w:lang w:eastAsia="en-US" w:bidi="en-US"/>
        </w:rPr>
      </w:r>
    </w:p>
    <w:p>
      <w:pPr>
        <w:pStyle w:val="12960"/>
        <w:pBdr/>
        <w:spacing/>
        <w:ind/>
        <w:rPr/>
      </w:pPr>
      <w:r/>
      <w:bookmarkStart w:id="988" w:name="_Hlk212949216"/>
      <w:r>
        <w:t xml:space="preserve">На территории муниципального образования Астаповское функционируют 3 котельные. На котельных основным топливом является природный газ со средней теплотворной способностью 8312 Ккал/кг.</w:t>
      </w:r>
      <w:bookmarkEnd w:id="988"/>
      <w:r/>
      <w:r/>
    </w:p>
    <w:p>
      <w:pPr>
        <w:pStyle w:val="12960"/>
        <w:pBdr/>
        <w:spacing/>
        <w:ind/>
        <w:rPr/>
        <w:sectPr>
          <w:headerReference w:type="default" r:id="rId158"/>
          <w:headerReference w:type="first" r:id="rId159"/>
          <w:footerReference w:type="default" r:id="rId426"/>
          <w:footerReference w:type="first" r:id="rId427"/>
          <w:footnotePr/>
          <w:endnotePr/>
          <w:type w:val="nextPage"/>
          <w:pgSz w:h="16838" w:orient="portrait" w:w="11906"/>
          <w:pgMar w:top="1134" w:right="850" w:bottom="1134" w:left="1701" w:header="567" w:footer="454" w:gutter="0"/>
          <w:cols w:num="1" w:sep="0" w:space="1701" w:equalWidth="1"/>
        </w:sectPr>
      </w:pPr>
      <w:r>
        <w:t xml:space="preserve">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r/>
    </w:p>
    <w:p>
      <w:pPr>
        <w:pStyle w:val="12279"/>
        <w:pBdr/>
        <w:spacing/>
        <w:ind w:firstLine="0"/>
        <w:rPr>
          <w:rFonts w:ascii="Times New Roman" w:hAnsi="Times New Roman" w:cs="Times New Roman"/>
          <w:b/>
          <w:sz w:val="24"/>
          <w:szCs w:val="24"/>
        </w:rPr>
      </w:pPr>
      <w:r>
        <w:rPr>
          <w:rFonts w:ascii="Times New Roman" w:hAnsi="Times New Roman" w:cs="Times New Roman"/>
          <w:b/>
          <w:sz w:val="24"/>
          <w:szCs w:val="24"/>
        </w:rPr>
        <w:t xml:space="preserve">Таблица 10.1.1 – Существующие и перспективные топливные баланс</w:t>
      </w:r>
      <w:r>
        <w:rPr>
          <w:rFonts w:ascii="Times New Roman" w:hAnsi="Times New Roman" w:cs="Times New Roman"/>
          <w:b/>
          <w:sz w:val="24"/>
          <w:szCs w:val="24"/>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074"/>
        <w:gridCol w:w="1787"/>
        <w:gridCol w:w="1647"/>
        <w:gridCol w:w="1366"/>
        <w:gridCol w:w="1219"/>
        <w:gridCol w:w="1344"/>
        <w:gridCol w:w="1371"/>
        <w:gridCol w:w="1108"/>
        <w:gridCol w:w="1369"/>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3074"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1787" w:type="dxa"/>
            <w:vAlign w:val="center"/>
          </w:tcPr>
          <w:p>
            <w:pPr>
              <w:pStyle w:val="12385"/>
              <w:pBdr/>
              <w:spacing/>
              <w:ind/>
              <w:rPr/>
            </w:pPr>
            <w:r>
              <w:t xml:space="preserve">Тепловая нагрузка с учетом потерь при транспортировке и СН, Гкал/час</w:t>
            </w:r>
            <w:r/>
          </w:p>
        </w:tc>
        <w:tc>
          <w:tcPr>
            <w:shd w:val="clear" w:color="000000" w:fill="d9d9d9"/>
            <w:tcBorders>
              <w:top w:val="single" w:color="000000" w:sz="4" w:space="0"/>
              <w:bottom w:val="single" w:color="000000" w:sz="4" w:space="0"/>
              <w:right w:val="single" w:color="000000" w:sz="4" w:space="0"/>
            </w:tcBorders>
            <w:tcW w:w="1647" w:type="dxa"/>
            <w:vAlign w:val="center"/>
          </w:tcPr>
          <w:p>
            <w:pPr>
              <w:pStyle w:val="12385"/>
              <w:pBdr/>
              <w:spacing/>
              <w:ind/>
              <w:rPr/>
            </w:pPr>
            <w:r>
              <w:t xml:space="preserve">Присоединенная расчетная тепловая нагрузка (мощность), Гкал/ч</w:t>
            </w:r>
            <w:r/>
          </w:p>
        </w:tc>
        <w:tc>
          <w:tcPr>
            <w:shd w:val="clear" w:color="000000" w:fill="d9d9d9"/>
            <w:tcBorders>
              <w:top w:val="single" w:color="000000" w:sz="4" w:space="0"/>
              <w:bottom w:val="single" w:color="000000" w:sz="4" w:space="0"/>
              <w:right w:val="single" w:color="000000" w:sz="4" w:space="0"/>
            </w:tcBorders>
            <w:tcW w:w="1366" w:type="dxa"/>
            <w:vAlign w:val="center"/>
          </w:tcPr>
          <w:p>
            <w:pPr>
              <w:pStyle w:val="12385"/>
              <w:pBdr/>
              <w:spacing/>
              <w:ind/>
              <w:rPr/>
            </w:pPr>
            <w:r>
              <w:t xml:space="preserve">Объем производства тепловой энергии в год, Гкал</w:t>
            </w:r>
            <w:r/>
          </w:p>
        </w:tc>
        <w:tc>
          <w:tcPr>
            <w:shd w:val="clear" w:color="000000" w:fill="d9d9d9"/>
            <w:tcBorders>
              <w:top w:val="single" w:color="000000" w:sz="4" w:space="0"/>
              <w:bottom w:val="single" w:color="000000" w:sz="4" w:space="0"/>
              <w:right w:val="single" w:color="000000" w:sz="4" w:space="0"/>
            </w:tcBorders>
            <w:tcW w:w="1219" w:type="dxa"/>
            <w:vAlign w:val="center"/>
          </w:tcPr>
          <w:p>
            <w:pPr>
              <w:pStyle w:val="12385"/>
              <w:pBdr/>
              <w:spacing/>
              <w:ind/>
              <w:rPr/>
            </w:pPr>
            <w:r>
              <w:t xml:space="preserve">Основное топливо</w:t>
            </w:r>
            <w:r/>
          </w:p>
        </w:tc>
        <w:tc>
          <w:tcPr>
            <w:shd w:val="clear" w:color="000000" w:fill="d9d9d9"/>
            <w:tcBorders>
              <w:top w:val="single" w:color="000000" w:sz="4" w:space="0"/>
              <w:bottom w:val="single" w:color="000000" w:sz="4" w:space="0"/>
              <w:right w:val="single" w:color="000000" w:sz="4" w:space="0"/>
            </w:tcBorders>
            <w:tcW w:w="1344" w:type="dxa"/>
            <w:vAlign w:val="center"/>
          </w:tcPr>
          <w:p>
            <w:pPr>
              <w:pStyle w:val="12385"/>
              <w:pBdr/>
              <w:spacing/>
              <w:ind/>
              <w:rPr/>
            </w:pPr>
            <w:r>
              <w:t xml:space="preserve">Фактический удельный расход удельного топлива, кг.у.т./Гкал</w:t>
            </w:r>
            <w:r/>
          </w:p>
        </w:tc>
        <w:tc>
          <w:tcPr>
            <w:shd w:val="clear" w:color="000000" w:fill="d9d9d9"/>
            <w:tcBorders>
              <w:top w:val="single" w:color="000000" w:sz="4" w:space="0"/>
              <w:bottom w:val="single" w:color="000000" w:sz="4" w:space="0"/>
              <w:right w:val="single" w:color="000000" w:sz="4" w:space="0"/>
            </w:tcBorders>
            <w:tcW w:w="1371" w:type="dxa"/>
            <w:vAlign w:val="center"/>
          </w:tcPr>
          <w:p>
            <w:pPr>
              <w:pStyle w:val="12385"/>
              <w:pBdr/>
              <w:spacing/>
              <w:ind/>
              <w:rPr/>
            </w:pPr>
            <w:r>
              <w:t xml:space="preserve">Средняя теплотворная способность топлива, ккал/кг</w:t>
            </w:r>
            <w:r/>
          </w:p>
        </w:tc>
        <w:tc>
          <w:tcPr>
            <w:shd w:val="clear" w:color="000000" w:fill="d9d9d9"/>
            <w:tcBorders>
              <w:top w:val="single" w:color="000000" w:sz="4" w:space="0"/>
              <w:bottom w:val="single" w:color="000000" w:sz="4" w:space="0"/>
              <w:right w:val="single" w:color="000000" w:sz="4" w:space="0"/>
            </w:tcBorders>
            <w:tcW w:w="1108" w:type="dxa"/>
            <w:vAlign w:val="center"/>
          </w:tcPr>
          <w:p>
            <w:pPr>
              <w:pStyle w:val="12385"/>
              <w:pBdr/>
              <w:spacing/>
              <w:ind/>
              <w:rPr/>
            </w:pPr>
            <w:r>
              <w:t xml:space="preserve">Годовой расход основного топлива, т.у.т.</w:t>
            </w:r>
            <w:r/>
          </w:p>
        </w:tc>
        <w:tc>
          <w:tcPr>
            <w:shd w:val="clear" w:color="000000" w:fill="d9d9d9"/>
            <w:tcBorders>
              <w:top w:val="single" w:color="000000" w:sz="4" w:space="0"/>
              <w:bottom w:val="single" w:color="000000" w:sz="4" w:space="0"/>
              <w:right w:val="single" w:color="000000" w:sz="4" w:space="0"/>
            </w:tcBorders>
            <w:tcW w:w="1369" w:type="dxa"/>
            <w:vAlign w:val="center"/>
          </w:tcPr>
          <w:p>
            <w:pPr>
              <w:pStyle w:val="12385"/>
              <w:pBdr/>
              <w:spacing/>
              <w:ind/>
              <w:rPr/>
            </w:pPr>
            <w:r>
              <w:t xml:space="preserve">Годовой расход натурального топлива, т (тыс. м</w:t>
            </w:r>
            <w:r>
              <w:rPr>
                <w:vertAlign w:val="superscript"/>
              </w:rPr>
              <w:t xml:space="preserve">3</w:t>
            </w:r>
            <w:r>
              <w:t xml:space="preserve">, тыс. кВт*ч)</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2025 год</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r/>
          </w:p>
        </w:tc>
        <w:tc>
          <w:tcPr>
            <w:shd w:val="clear" w:color="000000" w:fill="ffffff"/>
            <w:tcBorders>
              <w:right w:val="single" w:color="000000" w:sz="4" w:space="0"/>
            </w:tcBorders>
            <w:tcW w:w="1108" w:type="dxa"/>
            <w:vAlign w:val="center"/>
          </w:tcPr>
          <w:p>
            <w:pPr>
              <w:pStyle w:val="12385"/>
              <w:pBdr/>
              <w:spacing/>
              <w:ind/>
              <w:rPr/>
            </w:pPr>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0,055</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0,050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118,577</w:t>
            </w:r>
            <w:r/>
          </w:p>
        </w:tc>
        <w:tc>
          <w:tcPr>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tcBorders>
              <w:bottom w:val="single" w:color="000000" w:sz="4" w:space="0"/>
              <w:right w:val="single" w:color="000000" w:sz="4" w:space="0"/>
            </w:tcBorders>
            <w:tcW w:w="1344" w:type="dxa"/>
            <w:vAlign w:val="center"/>
          </w:tcPr>
          <w:p>
            <w:pPr>
              <w:pStyle w:val="12385"/>
              <w:pBdr/>
              <w:spacing/>
              <w:ind/>
              <w:rPr/>
            </w:pPr>
            <w:r>
              <w:t xml:space="preserve">112,42</w:t>
            </w:r>
            <w:r/>
          </w:p>
        </w:tc>
        <w:tc>
          <w:tcPr>
            <w:tcBorders>
              <w:top w:val="single" w:color="000000" w:sz="8" w:space="0"/>
              <w:left w:val="single" w:color="000000" w:sz="8" w:space="0"/>
              <w:bottom w:val="single" w:color="000000" w:sz="8" w:space="0"/>
              <w:right w:val="single" w:color="000000" w:sz="8" w:space="0"/>
            </w:tcBorders>
            <w:tcW w:w="1371" w:type="dxa"/>
            <w:vAlign w:val="center"/>
          </w:tcPr>
          <w:p>
            <w:pPr>
              <w:pStyle w:val="12385"/>
              <w:pBdr/>
              <w:spacing/>
              <w:ind/>
              <w:rPr/>
            </w:pPr>
            <w:r>
              <w:t xml:space="preserve">8312</w:t>
            </w:r>
            <w:r/>
          </w:p>
        </w:tc>
        <w:tc>
          <w:tcPr>
            <w:tcBorders>
              <w:top w:val="single" w:color="000000" w:sz="8" w:space="0"/>
              <w:bottom w:val="single" w:color="000000" w:sz="8" w:space="0"/>
              <w:right w:val="single" w:color="000000" w:sz="8" w:space="0"/>
            </w:tcBorders>
            <w:tcW w:w="1108" w:type="dxa"/>
            <w:vAlign w:val="center"/>
          </w:tcPr>
          <w:p>
            <w:pPr>
              <w:pStyle w:val="12385"/>
              <w:pBdr/>
              <w:spacing/>
              <w:ind/>
              <w:rPr/>
            </w:pPr>
            <w:r>
              <w:t xml:space="preserve">13,32995</w:t>
            </w:r>
            <w:r/>
          </w:p>
        </w:tc>
        <w:tc>
          <w:tcPr>
            <w:tcBorders>
              <w:top w:val="single" w:color="000000" w:sz="8" w:space="0"/>
              <w:bottom w:val="single" w:color="000000" w:sz="8" w:space="0"/>
              <w:right w:val="single" w:color="000000" w:sz="8" w:space="0"/>
            </w:tcBorders>
            <w:tcW w:w="1369" w:type="dxa"/>
            <w:vAlign w:val="center"/>
          </w:tcPr>
          <w:p>
            <w:pPr>
              <w:pStyle w:val="12385"/>
              <w:pBdr/>
              <w:spacing/>
              <w:ind/>
              <w:rPr/>
            </w:pPr>
            <w:r>
              <w:t xml:space="preserve">11,23100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0,131</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0,120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316,156</w:t>
            </w:r>
            <w:r/>
          </w:p>
        </w:tc>
        <w:tc>
          <w:tcPr>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tcBorders>
              <w:bottom w:val="single" w:color="000000" w:sz="4" w:space="0"/>
              <w:right w:val="single" w:color="000000" w:sz="4" w:space="0"/>
            </w:tcBorders>
            <w:tcW w:w="1344" w:type="dxa"/>
            <w:vAlign w:val="center"/>
          </w:tcPr>
          <w:p>
            <w:pPr>
              <w:pStyle w:val="12385"/>
              <w:pBdr/>
              <w:spacing/>
              <w:ind/>
              <w:rPr/>
            </w:pPr>
            <w:r>
              <w:t xml:space="preserve">139,53</w:t>
            </w:r>
            <w:r/>
          </w:p>
        </w:tc>
        <w:tc>
          <w:tcPr>
            <w:tcBorders>
              <w:top w:val="single" w:color="000000" w:sz="4" w:space="0"/>
              <w:bottom w:val="single" w:color="000000" w:sz="4" w:space="0"/>
              <w:right w:val="single" w:color="000000" w:sz="4" w:space="0"/>
            </w:tcBorders>
            <w:tcW w:w="1371" w:type="dxa"/>
            <w:vAlign w:val="center"/>
          </w:tcPr>
          <w:p>
            <w:pPr>
              <w:pStyle w:val="12385"/>
              <w:pBdr/>
              <w:spacing/>
              <w:ind/>
              <w:rPr/>
            </w:pPr>
            <w:r>
              <w:t xml:space="preserve">8312</w:t>
            </w:r>
            <w:r/>
          </w:p>
        </w:tc>
        <w:tc>
          <w:tcPr>
            <w:tcBorders>
              <w:left w:val="single" w:color="000000" w:sz="8" w:space="0"/>
              <w:bottom w:val="single" w:color="000000" w:sz="8" w:space="0"/>
              <w:right w:val="single" w:color="000000" w:sz="8" w:space="0"/>
            </w:tcBorders>
            <w:tcW w:w="1108" w:type="dxa"/>
            <w:vAlign w:val="center"/>
          </w:tcPr>
          <w:p>
            <w:pPr>
              <w:pStyle w:val="12385"/>
              <w:pBdr/>
              <w:spacing/>
              <w:ind/>
              <w:rPr/>
            </w:pPr>
            <w:r>
              <w:t xml:space="preserve">44,11332</w:t>
            </w:r>
            <w:r/>
          </w:p>
        </w:tc>
        <w:tc>
          <w:tcPr>
            <w:tcBorders>
              <w:bottom w:val="single" w:color="000000" w:sz="8" w:space="0"/>
              <w:right w:val="single" w:color="000000" w:sz="8" w:space="0"/>
            </w:tcBorders>
            <w:tcW w:w="1369" w:type="dxa"/>
            <w:vAlign w:val="center"/>
          </w:tcPr>
          <w:p>
            <w:pPr>
              <w:pStyle w:val="12385"/>
              <w:pBdr/>
              <w:spacing/>
              <w:ind/>
              <w:rPr/>
            </w:pPr>
            <w:r>
              <w:t xml:space="preserve">37,17200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0,074</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0,070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159,960</w:t>
            </w:r>
            <w:r/>
          </w:p>
        </w:tc>
        <w:tc>
          <w:tcPr>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tcBorders>
              <w:bottom w:val="single" w:color="000000" w:sz="4" w:space="0"/>
              <w:right w:val="single" w:color="000000" w:sz="4" w:space="0"/>
            </w:tcBorders>
            <w:tcW w:w="1344" w:type="dxa"/>
            <w:vAlign w:val="center"/>
          </w:tcPr>
          <w:p>
            <w:pPr>
              <w:pStyle w:val="12385"/>
              <w:pBdr/>
              <w:spacing/>
              <w:ind/>
              <w:rPr/>
            </w:pPr>
            <w:r>
              <w:t xml:space="preserve">153,52</w:t>
            </w:r>
            <w:r/>
          </w:p>
        </w:tc>
        <w:tc>
          <w:tcPr>
            <w:tcBorders>
              <w:bottom w:val="single" w:color="000000" w:sz="4" w:space="0"/>
              <w:right w:val="single" w:color="000000" w:sz="4" w:space="0"/>
            </w:tcBorders>
            <w:tcW w:w="1371" w:type="dxa"/>
            <w:vAlign w:val="center"/>
          </w:tcPr>
          <w:p>
            <w:pPr>
              <w:pStyle w:val="12385"/>
              <w:pBdr/>
              <w:spacing/>
              <w:ind/>
              <w:rPr/>
            </w:pPr>
            <w:r>
              <w:t xml:space="preserve">8312</w:t>
            </w:r>
            <w:r/>
          </w:p>
        </w:tc>
        <w:tc>
          <w:tcPr>
            <w:tcBorders>
              <w:left w:val="single" w:color="000000" w:sz="8" w:space="0"/>
              <w:bottom w:val="single" w:color="000000" w:sz="8" w:space="0"/>
              <w:right w:val="single" w:color="000000" w:sz="8" w:space="0"/>
            </w:tcBorders>
            <w:tcW w:w="1108" w:type="dxa"/>
            <w:vAlign w:val="center"/>
          </w:tcPr>
          <w:p>
            <w:pPr>
              <w:pStyle w:val="12385"/>
              <w:pBdr/>
              <w:spacing/>
              <w:ind/>
              <w:rPr/>
            </w:pPr>
            <w:r>
              <w:t xml:space="preserve">24,55639</w:t>
            </w:r>
            <w:r/>
          </w:p>
        </w:tc>
        <w:tc>
          <w:tcPr>
            <w:tcBorders>
              <w:bottom w:val="single" w:color="000000" w:sz="8" w:space="0"/>
              <w:right w:val="single" w:color="000000" w:sz="8" w:space="0"/>
            </w:tcBorders>
            <w:tcW w:w="1369" w:type="dxa"/>
            <w:vAlign w:val="center"/>
          </w:tcPr>
          <w:p>
            <w:pPr>
              <w:pStyle w:val="12385"/>
              <w:pBdr/>
              <w:spacing/>
              <w:ind/>
              <w:rPr/>
            </w:pPr>
            <w:r>
              <w:t xml:space="preserve">20,68800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2026 год</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0,055</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0,050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118,577</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112,42</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13,32995</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11,23100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0,131</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0,120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316,156</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139,53</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44,11332</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37,17200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0,074</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0,070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159,960</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153,52</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24,55639</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20,68800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2027-2028 год</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0,055</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0,050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118,577</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112,42</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13,32995</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11,23100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0,131</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0,120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316,156</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139,53</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44,11332</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37,17200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0,074</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0,070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159,960</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153,52</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24,55639</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20,68800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2029-2038 годы</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0,055</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0,050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118,577</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112,42</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13,32995</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11,23100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0,131</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0,120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316,156</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139,53</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44,11332</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37,17200</w:t>
            </w:r>
            <w:r/>
          </w:p>
        </w:tc>
      </w:tr>
      <w:tr>
        <w:trPr>
          <w:trHeight w:val="20"/>
        </w:trPr>
        <w:tc>
          <w:tcPr>
            <w:shd w:val="clear" w:color="000000" w:fill="ffffff"/>
            <w:tcBorders>
              <w:left w:val="single" w:color="000000" w:sz="4" w:space="0"/>
              <w:bottom w:val="single" w:color="000000" w:sz="4" w:space="0"/>
              <w:right w:val="single" w:color="000000" w:sz="4" w:space="0"/>
            </w:tcBorders>
            <w:tcW w:w="307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787" w:type="dxa"/>
            <w:vAlign w:val="center"/>
          </w:tcPr>
          <w:p>
            <w:pPr>
              <w:pStyle w:val="12385"/>
              <w:pBdr/>
              <w:spacing/>
              <w:ind/>
              <w:rPr/>
            </w:pPr>
            <w:r>
              <w:t xml:space="preserve">0,074</w:t>
            </w:r>
            <w:r/>
          </w:p>
        </w:tc>
        <w:tc>
          <w:tcPr>
            <w:shd w:val="clear" w:color="000000" w:fill="ffffff"/>
            <w:tcBorders>
              <w:bottom w:val="single" w:color="000000" w:sz="4" w:space="0"/>
              <w:right w:val="single" w:color="000000" w:sz="4" w:space="0"/>
            </w:tcBorders>
            <w:tcW w:w="1647" w:type="dxa"/>
            <w:vAlign w:val="center"/>
          </w:tcPr>
          <w:p>
            <w:pPr>
              <w:pStyle w:val="12385"/>
              <w:pBdr/>
              <w:spacing/>
              <w:ind/>
              <w:rPr/>
            </w:pPr>
            <w:r>
              <w:t xml:space="preserve">0,070</w:t>
            </w:r>
            <w:r/>
          </w:p>
        </w:tc>
        <w:tc>
          <w:tcPr>
            <w:shd w:val="clear" w:color="000000" w:fill="ffffff"/>
            <w:tcBorders>
              <w:bottom w:val="single" w:color="000000" w:sz="4" w:space="0"/>
              <w:right w:val="single" w:color="000000" w:sz="4" w:space="0"/>
            </w:tcBorders>
            <w:tcW w:w="1366" w:type="dxa"/>
            <w:vAlign w:val="center"/>
          </w:tcPr>
          <w:p>
            <w:pPr>
              <w:pStyle w:val="12385"/>
              <w:pBdr/>
              <w:spacing/>
              <w:ind/>
              <w:rPr/>
            </w:pPr>
            <w:r>
              <w:t xml:space="preserve">159,960</w:t>
            </w:r>
            <w:r/>
          </w:p>
        </w:tc>
        <w:tc>
          <w:tcPr>
            <w:shd w:val="clear" w:color="000000" w:fill="ffffff"/>
            <w:tcBorders>
              <w:bottom w:val="single" w:color="000000" w:sz="4" w:space="0"/>
              <w:right w:val="single" w:color="000000" w:sz="4" w:space="0"/>
            </w:tcBorders>
            <w:tcW w:w="1219"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1344" w:type="dxa"/>
            <w:vAlign w:val="center"/>
          </w:tcPr>
          <w:p>
            <w:pPr>
              <w:pStyle w:val="12385"/>
              <w:pBdr/>
              <w:spacing/>
              <w:ind/>
              <w:rPr/>
            </w:pPr>
            <w:r>
              <w:t xml:space="preserve">153,52</w:t>
            </w:r>
            <w:r/>
          </w:p>
        </w:tc>
        <w:tc>
          <w:tcPr>
            <w:shd w:val="clear" w:color="000000" w:fill="ffffff"/>
            <w:tcBorders>
              <w:bottom w:val="single" w:color="000000" w:sz="4" w:space="0"/>
              <w:right w:val="single" w:color="000000" w:sz="4" w:space="0"/>
            </w:tcBorders>
            <w:tcW w:w="1371" w:type="dxa"/>
            <w:vAlign w:val="center"/>
          </w:tcPr>
          <w:p>
            <w:pPr>
              <w:pStyle w:val="12385"/>
              <w:pBdr/>
              <w:spacing/>
              <w:ind/>
              <w:rPr/>
            </w:pPr>
            <w:r>
              <w:t xml:space="preserve">8312</w:t>
            </w:r>
            <w:r/>
          </w:p>
        </w:tc>
        <w:tc>
          <w:tcPr>
            <w:shd w:val="clear" w:color="000000" w:fill="ffffff"/>
            <w:tcBorders>
              <w:bottom w:val="single" w:color="000000" w:sz="4" w:space="0"/>
              <w:right w:val="single" w:color="000000" w:sz="4" w:space="0"/>
            </w:tcBorders>
            <w:tcW w:w="1108" w:type="dxa"/>
            <w:vAlign w:val="center"/>
          </w:tcPr>
          <w:p>
            <w:pPr>
              <w:pStyle w:val="12385"/>
              <w:pBdr/>
              <w:spacing/>
              <w:ind/>
              <w:rPr/>
            </w:pPr>
            <w:r>
              <w:t xml:space="preserve">24,55639</w:t>
            </w:r>
            <w:r/>
          </w:p>
        </w:tc>
        <w:tc>
          <w:tcPr>
            <w:shd w:val="clear" w:color="000000" w:fill="ffffff"/>
            <w:tcBorders>
              <w:bottom w:val="single" w:color="000000" w:sz="4" w:space="0"/>
              <w:right w:val="single" w:color="000000" w:sz="4" w:space="0"/>
            </w:tcBorders>
            <w:tcW w:w="1369" w:type="dxa"/>
            <w:vAlign w:val="center"/>
          </w:tcPr>
          <w:p>
            <w:pPr>
              <w:pStyle w:val="12385"/>
              <w:pBdr/>
              <w:spacing/>
              <w:ind/>
              <w:rPr/>
            </w:pPr>
            <w:r>
              <w:t xml:space="preserve">20,68800</w:t>
            </w:r>
            <w:r/>
          </w:p>
        </w:tc>
      </w:tr>
    </w:tbl>
    <w:p>
      <w:pPr>
        <w:pBdr/>
        <w:spacing/>
        <w:ind/>
        <w:rPr/>
        <w:sectPr>
          <w:headerReference w:type="default" r:id="rId160"/>
          <w:headerReference w:type="first" r:id="rId161"/>
          <w:footerReference w:type="default" r:id="rId428"/>
          <w:footerReference w:type="first" r:id="rId429"/>
          <w:footnotePr/>
          <w:endnotePr/>
          <w:type w:val="nextPage"/>
          <w:pgSz w:h="11906" w:orient="landscape" w:w="16838"/>
          <w:pgMar w:top="1134" w:right="850" w:bottom="1134" w:left="1701" w:header="709" w:footer="709" w:gutter="0"/>
          <w:cols w:num="1" w:sep="0" w:space="1701" w:equalWidth="1"/>
        </w:sectPr>
      </w:pPr>
      <w:r/>
      <w:r/>
    </w:p>
    <w:p>
      <w:pPr>
        <w:pStyle w:val="10534"/>
        <w:numPr>
          <w:ilvl w:val="0"/>
          <w:numId w:val="162"/>
        </w:numPr>
        <w:pBdr/>
        <w:spacing/>
        <w:ind/>
        <w:rPr>
          <w:rFonts w:ascii="Times New Roman" w:hAnsi="Times New Roman" w:eastAsia="Times New Roman" w:cs="Times New Roman"/>
          <w:b/>
          <w:smallCaps/>
          <w:spacing w:val="0"/>
          <w:sz w:val="28"/>
          <w:szCs w:val="36"/>
          <w:lang w:eastAsia="en-US" w:bidi="en-US"/>
        </w:rPr>
      </w:pPr>
      <w:r/>
      <w:bookmarkStart w:id="989" w:name="_Hlk212949277"/>
      <w:r/>
      <w:bookmarkStart w:id="990" w:name="_Toc9154917"/>
      <w:r/>
      <w:bookmarkStart w:id="991" w:name="_Toc84971063"/>
      <w:r/>
      <w:bookmarkStart w:id="992" w:name="_Toc198483622"/>
      <w:r/>
      <w:bookmarkStart w:id="993" w:name="_Toc166767282"/>
      <w:r/>
      <w:bookmarkEnd w:id="989"/>
      <w:r>
        <w:rPr>
          <w:rFonts w:eastAsia="Times New Roman" w:cs="Times New Roman"/>
          <w:b/>
          <w:smallCaps/>
          <w:spacing w:val="0"/>
          <w:sz w:val="28"/>
          <w:szCs w:val="36"/>
          <w:lang w:eastAsia="en-US" w:bidi="en-US"/>
        </w:rPr>
        <w:t xml:space="preserve">Результаты расчетов по каждому источнику тепловой энергии нормативных запасов топлива</w:t>
      </w:r>
      <w:bookmarkEnd w:id="990"/>
      <w:r/>
      <w:bookmarkEnd w:id="991"/>
      <w:r/>
      <w:bookmarkEnd w:id="992"/>
      <w:r/>
      <w:bookmarkEnd w:id="993"/>
      <w:r/>
      <w:r>
        <w:rPr>
          <w:rFonts w:ascii="Times New Roman" w:hAnsi="Times New Roman" w:eastAsia="Times New Roman" w:cs="Times New Roman"/>
          <w:b/>
          <w:smallCaps/>
          <w:spacing w:val="0"/>
          <w:sz w:val="28"/>
          <w:szCs w:val="36"/>
          <w:lang w:eastAsia="en-US" w:bidi="en-US"/>
        </w:rPr>
      </w:r>
    </w:p>
    <w:p>
      <w:pPr>
        <w:pStyle w:val="12960"/>
        <w:pBdr/>
        <w:spacing/>
        <w:ind/>
        <w:rPr/>
      </w:pPr>
      <w:r/>
      <w:bookmarkStart w:id="994" w:name="_Hlk212949277"/>
      <w:r/>
      <w:bookmarkStart w:id="995" w:name="_Hlk212949323"/>
      <w:r/>
      <w:bookmarkEnd w:id="994"/>
      <w:r/>
      <w:bookmarkEnd w:id="995"/>
      <w:r>
        <w:t xml:space="preserve">Расчеты нормативных запасов аварийных видов топлива проводятся на основании фактических данных по видам использования аварийного топлива на источниках в соответствии с п</w:t>
      </w:r>
      <w:r>
        <w:t xml:space="preserve">риказом Минэнерго Российской Федерации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w:t>
      </w:r>
      <w:r>
        <w:t xml:space="preserve">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p>
    <w:p>
      <w:pPr>
        <w:pStyle w:val="12960"/>
        <w:pBdr/>
        <w:spacing/>
        <w:ind/>
        <w:rPr/>
      </w:pPr>
      <w:r>
        <w:t xml:space="preserve">Норматив неснижаемого запаса топлива для котельных, в которых завоз топлива осуществляется сезонно, не рассчитывается.</w:t>
      </w:r>
      <w:r/>
    </w:p>
    <w:p>
      <w:pPr>
        <w:pStyle w:val="12960"/>
        <w:pBdr/>
        <w:spacing/>
        <w:ind/>
        <w:rPr/>
      </w:pPr>
      <w:r>
        <w:t xml:space="preserve">Норматив запасов топ</w:t>
      </w:r>
      <w:r>
        <w:t xml:space="preserve">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r/>
    </w:p>
    <w:p>
      <w:pPr>
        <w:pStyle w:val="12960"/>
        <w:pBdr/>
        <w:spacing/>
        <w:ind/>
        <w:rPr/>
      </w:pPr>
      <w:r>
        <w:t xml:space="preserve">ННЗТ на отопительных котельных созд</w:t>
      </w:r>
      <w:r>
        <w:t xml:space="preserve">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r/>
    </w:p>
    <w:p>
      <w:pPr>
        <w:pStyle w:val="12960"/>
        <w:pBdr/>
        <w:spacing/>
        <w:ind/>
        <w:rPr/>
      </w:pPr>
      <w:r>
        <w:t xml:space="preserve">НЭЗТ необходим для надежной и стабильной работы электростанций и котельных и обеспечивает плановую выработку электрической и (или) тепловой энергии.</w:t>
      </w:r>
      <w:r/>
    </w:p>
    <w:p>
      <w:pPr>
        <w:pStyle w:val="12960"/>
        <w:pBdr/>
        <w:spacing/>
        <w:ind/>
        <w:rPr/>
      </w:pPr>
      <w:r>
        <w:t xml:space="preserve">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r/>
    </w:p>
    <w:p>
      <w:pPr>
        <w:pStyle w:val="12960"/>
        <w:pBdr/>
        <w:spacing/>
        <w:ind/>
        <w:rPr/>
      </w:pPr>
      <w: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r/>
    </w:p>
    <w:p>
      <w:pPr>
        <w:pStyle w:val="12960"/>
        <w:pBdr/>
        <w:spacing/>
        <w:ind/>
        <w:rPr/>
      </w:pPr>
      <w:r>
        <w:t xml:space="preserve">Расчет нормативных эксплуатационных запасов топлива (НЭЗТ) выполнялся в соответствии с «Инструкции по организации в Минэнерго России</w:t>
      </w:r>
      <w:r>
        <w:t xml:space="preserve">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r/>
    </w:p>
    <w:p>
      <w:pPr>
        <w:pStyle w:val="12960"/>
        <w:pBdr/>
        <w:spacing/>
        <w:ind/>
        <w:rPr>
          <w:b/>
          <w:bCs w:val="0"/>
        </w:rPr>
      </w:pPr>
      <w:r/>
      <w:bookmarkStart w:id="996" w:name="_Hlk212949323"/>
      <w:r/>
      <w:bookmarkStart w:id="997" w:name="_Hlk205236987"/>
      <w:r/>
      <w:bookmarkEnd w:id="996"/>
      <w:r>
        <w:rPr>
          <w:b/>
          <w:bCs w:val="0"/>
        </w:rPr>
        <w:t xml:space="preserve">Таблица 10.2.1 – </w:t>
      </w:r>
      <w:bookmarkStart w:id="998" w:name="_Hlk135532320"/>
      <w:r>
        <w:rPr>
          <w:b/>
          <w:bCs w:val="0"/>
        </w:rPr>
        <w:t xml:space="preserve">Суточные и часовые расходы топлива, аварийные (сроком на 3 дня) запасы топлива </w:t>
      </w:r>
      <w:bookmarkEnd w:id="997"/>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748"/>
        <w:gridCol w:w="2137"/>
        <w:gridCol w:w="1457"/>
        <w:gridCol w:w="1557"/>
        <w:gridCol w:w="1456"/>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748"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2137" w:type="dxa"/>
            <w:vAlign w:val="center"/>
          </w:tcPr>
          <w:p>
            <w:pPr>
              <w:pStyle w:val="12385"/>
              <w:pBdr/>
              <w:spacing/>
              <w:ind/>
              <w:rPr/>
            </w:pPr>
            <w:r>
              <w:t xml:space="preserve">Максимально-часовой расход топлива, т.у.т./час</w:t>
            </w:r>
            <w:r/>
          </w:p>
        </w:tc>
        <w:tc>
          <w:tcPr>
            <w:shd w:val="clear" w:color="000000" w:fill="d9d9d9"/>
            <w:tcBorders>
              <w:top w:val="single" w:color="000000" w:sz="4" w:space="0"/>
              <w:bottom w:val="single" w:color="000000" w:sz="4" w:space="0"/>
              <w:right w:val="single" w:color="000000" w:sz="4" w:space="0"/>
            </w:tcBorders>
            <w:tcW w:w="1457" w:type="dxa"/>
            <w:vAlign w:val="center"/>
          </w:tcPr>
          <w:p>
            <w:pPr>
              <w:pStyle w:val="12385"/>
              <w:pBdr/>
              <w:spacing/>
              <w:ind/>
              <w:rPr/>
            </w:pPr>
            <w:r>
              <w:t xml:space="preserve">Максимально-часовой расход топлива, т (тыс. м</w:t>
            </w:r>
            <w:r>
              <w:rPr>
                <w:vertAlign w:val="superscript"/>
              </w:rPr>
              <w:t xml:space="preserve">3</w:t>
            </w:r>
            <w:r>
              <w:t xml:space="preserve">, тыс. кВт*ч)/час</w:t>
            </w:r>
            <w:r/>
          </w:p>
        </w:tc>
        <w:tc>
          <w:tcPr>
            <w:shd w:val="clear" w:color="000000" w:fill="d9d9d9"/>
            <w:tcBorders>
              <w:top w:val="single" w:color="000000" w:sz="4" w:space="0"/>
              <w:bottom w:val="single" w:color="000000" w:sz="4" w:space="0"/>
              <w:right w:val="single" w:color="000000" w:sz="4" w:space="0"/>
            </w:tcBorders>
            <w:tcW w:w="1557" w:type="dxa"/>
            <w:vAlign w:val="center"/>
          </w:tcPr>
          <w:p>
            <w:pPr>
              <w:pStyle w:val="12385"/>
              <w:pBdr/>
              <w:spacing/>
              <w:ind/>
              <w:rPr/>
            </w:pPr>
            <w:r>
              <w:t xml:space="preserve">Расход топлива за сутки, т (тыс. м</w:t>
            </w:r>
            <w:r>
              <w:rPr>
                <w:vertAlign w:val="superscript"/>
              </w:rPr>
              <w:t xml:space="preserve">3</w:t>
            </w:r>
            <w:r>
              <w:t xml:space="preserve">, тыс. кВт*ч)/сут)</w:t>
            </w:r>
            <w:r/>
          </w:p>
        </w:tc>
        <w:tc>
          <w:tcPr>
            <w:shd w:val="clear" w:color="000000" w:fill="d9d9d9"/>
            <w:tcBorders>
              <w:top w:val="single" w:color="000000" w:sz="4" w:space="0"/>
              <w:bottom w:val="single" w:color="000000" w:sz="4" w:space="0"/>
              <w:right w:val="single" w:color="000000" w:sz="4" w:space="0"/>
            </w:tcBorders>
            <w:tcW w:w="1456" w:type="dxa"/>
            <w:vAlign w:val="center"/>
          </w:tcPr>
          <w:p>
            <w:pPr>
              <w:pStyle w:val="12385"/>
              <w:pBdr/>
              <w:spacing/>
              <w:ind/>
              <w:rPr/>
            </w:pPr>
            <w:r>
              <w:t xml:space="preserve">Аварийный запас топлива, т (тыс. м</w:t>
            </w:r>
            <w:r>
              <w:rPr>
                <w:vertAlign w:val="superscript"/>
              </w:rPr>
              <w:t xml:space="preserve">3</w:t>
            </w:r>
            <w:r>
              <w:t xml:space="preserve">, тыс. кВт*ч)</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2025 год</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0,00314</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0,00265</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0,06357</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0,01040</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0,00877</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0,21041</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0,00579</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0,00488</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0,11710</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2026 год</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0,00314</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0,00265</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0,06357</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0,01040</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0,00877</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0,21041</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0,00579</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0,00488</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0,11710</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2027-2028 год</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0,00314</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0,00265</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0,06357</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0,01040</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0,00877</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0,21041</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0,00579</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0,00488</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0,11710</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9355" w:type="dxa"/>
            <w:vAlign w:val="center"/>
          </w:tcPr>
          <w:p>
            <w:pPr>
              <w:pStyle w:val="12385"/>
              <w:pBdr/>
              <w:spacing/>
              <w:ind/>
              <w:rPr/>
            </w:pPr>
            <w:r>
              <w:t xml:space="preserve">2029-2038 годы</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0,00314</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0,00265</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0,06357</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0,01040</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0,00877</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0,21041</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r>
        <w:trPr>
          <w:trHeight w:val="20"/>
        </w:trPr>
        <w:tc>
          <w:tcPr>
            <w:shd w:val="clear" w:color="000000" w:fill="ffffff"/>
            <w:tcBorders>
              <w:left w:val="single" w:color="000000" w:sz="4" w:space="0"/>
              <w:bottom w:val="single" w:color="000000" w:sz="4" w:space="0"/>
              <w:right w:val="single" w:color="000000" w:sz="4" w:space="0"/>
            </w:tcBorders>
            <w:tcW w:w="2748"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137" w:type="dxa"/>
            <w:vAlign w:val="center"/>
          </w:tcPr>
          <w:p>
            <w:pPr>
              <w:pStyle w:val="12385"/>
              <w:pBdr/>
              <w:spacing/>
              <w:ind/>
              <w:rPr/>
            </w:pPr>
            <w:r>
              <w:t xml:space="preserve">0,00579</w:t>
            </w:r>
            <w:r/>
          </w:p>
        </w:tc>
        <w:tc>
          <w:tcPr>
            <w:shd w:val="clear" w:color="000000" w:fill="ffffff"/>
            <w:tcBorders>
              <w:bottom w:val="single" w:color="000000" w:sz="4" w:space="0"/>
              <w:right w:val="single" w:color="000000" w:sz="4" w:space="0"/>
            </w:tcBorders>
            <w:tcW w:w="1457" w:type="dxa"/>
            <w:vAlign w:val="center"/>
          </w:tcPr>
          <w:p>
            <w:pPr>
              <w:pStyle w:val="12385"/>
              <w:pBdr/>
              <w:spacing/>
              <w:ind/>
              <w:rPr/>
            </w:pPr>
            <w:r>
              <w:t xml:space="preserve">0,00488</w:t>
            </w:r>
            <w:r/>
          </w:p>
        </w:tc>
        <w:tc>
          <w:tcPr>
            <w:shd w:val="clear" w:color="000000" w:fill="ffffff"/>
            <w:tcBorders>
              <w:bottom w:val="single" w:color="000000" w:sz="4" w:space="0"/>
              <w:right w:val="single" w:color="000000" w:sz="4" w:space="0"/>
            </w:tcBorders>
            <w:tcW w:w="1557" w:type="dxa"/>
            <w:vAlign w:val="center"/>
          </w:tcPr>
          <w:p>
            <w:pPr>
              <w:pStyle w:val="12385"/>
              <w:pBdr/>
              <w:spacing/>
              <w:ind/>
              <w:rPr/>
            </w:pPr>
            <w:r>
              <w:t xml:space="preserve">0,11710</w:t>
            </w:r>
            <w:r/>
          </w:p>
        </w:tc>
        <w:tc>
          <w:tcPr>
            <w:shd w:val="clear" w:color="000000" w:fill="ffffff"/>
            <w:tcBorders>
              <w:bottom w:val="single" w:color="000000" w:sz="4" w:space="0"/>
              <w:right w:val="single" w:color="000000" w:sz="4" w:space="0"/>
            </w:tcBorders>
            <w:tcW w:w="1456" w:type="dxa"/>
            <w:vAlign w:val="center"/>
          </w:tcPr>
          <w:p>
            <w:pPr>
              <w:pStyle w:val="12385"/>
              <w:pBdr/>
              <w:spacing/>
              <w:ind/>
              <w:rPr/>
            </w:pPr>
            <w:r>
              <w:t xml:space="preserve">-</w:t>
            </w:r>
            <w:r/>
          </w:p>
        </w:tc>
      </w:tr>
    </w:tbl>
    <w:p>
      <w:pPr>
        <w:pStyle w:val="12960"/>
        <w:pBdr/>
        <w:spacing/>
        <w:ind/>
        <w:rPr/>
      </w:pPr>
      <w:r/>
      <w:r/>
    </w:p>
    <w:p>
      <w:pPr>
        <w:pStyle w:val="12960"/>
        <w:pBdr/>
        <w:spacing/>
        <w:ind/>
        <w:rPr/>
      </w:pPr>
      <w:r/>
      <w:bookmarkStart w:id="999" w:name="_Hlk212949362"/>
      <w:r/>
      <w:bookmarkEnd w:id="999"/>
      <w:r>
        <w:t xml:space="preserve"> </w:t>
      </w:r>
      <w:r>
        <w:t xml:space="preserve">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r/>
    </w:p>
    <w:p>
      <w:pPr>
        <w:pStyle w:val="12960"/>
        <w:pBdr/>
        <w:spacing/>
        <w:ind/>
        <w:rPr/>
      </w:pPr>
      <w:r>
        <w:t xml:space="preserve">Количество суток, на которые рассчитывается ННЗТ, определяется в зависимости от вида топлива и способа его доставки в соответствии с таблицей.</w:t>
      </w:r>
      <w:r/>
    </w:p>
    <w:p>
      <w:pPr>
        <w:pStyle w:val="12960"/>
        <w:pBdr/>
        <w:spacing/>
        <w:ind/>
        <w:rPr/>
      </w:pPr>
      <w:r>
        <w:rPr>
          <w:b/>
          <w:bCs w:val="0"/>
        </w:rPr>
        <w:t xml:space="preserve">Таблица 10.2.2 – Количество суток для расчета запаса</w:t>
      </w:r>
      <w:r/>
    </w:p>
    <w:tbl>
      <w:tblPr>
        <w:tblInd w:w="0" w:type="dxa"/>
        <w:tblW w:w="5000" w:type="pct"/>
        <w:tblCellMar>
          <w:left w:w="10" w:type="dxa"/>
          <w:top w:w="0" w:type="dxa"/>
          <w:right w:w="10" w:type="dxa"/>
          <w:bottom w:w="0" w:type="dxa"/>
        </w:tblCellMar>
        <w:tblBorders/>
        <w:tblLayout w:type="fixed"/>
        <w:tblLook w:val="04A0" w:firstRow="1" w:lastRow="0" w:firstColumn="1" w:lastColumn="0" w:noHBand="0" w:noVBand="1"/>
      </w:tblPr>
      <w:tblGrid>
        <w:gridCol w:w="2469"/>
        <w:gridCol w:w="3853"/>
        <w:gridCol w:w="3033"/>
      </w:tblGrid>
      <w:tr>
        <w:trPr>
          <w:trHeight w:val="20"/>
          <w:tblHeader/>
        </w:trPr>
        <w:tc>
          <w:tcPr>
            <w:shd w:val="clear" w:color="auto" w:fill="d9d9d9" w:themeFill="background1" w:themeFillShade="D9"/>
            <w:tcBorders>
              <w:top w:val="single" w:color="000000" w:sz="4" w:space="0"/>
              <w:left w:val="single" w:color="000000" w:sz="4" w:space="0"/>
            </w:tcBorders>
            <w:tcW w:w="2469" w:type="dxa"/>
            <w:vAlign w:val="center"/>
          </w:tcPr>
          <w:p>
            <w:pPr>
              <w:pStyle w:val="12385"/>
              <w:pBdr/>
              <w:spacing/>
              <w:ind/>
              <w:rPr>
                <w:rFonts w:cs="Times New Roman"/>
                <w:lang w:bidi="ru-RU"/>
              </w:rPr>
            </w:pPr>
            <w:r>
              <w:rPr>
                <w:rFonts w:cs="Times New Roman"/>
                <w:lang w:bidi="ru-RU"/>
              </w:rPr>
              <w:t xml:space="preserve">Вид топлива</w:t>
            </w:r>
            <w:r>
              <w:rPr>
                <w:rFonts w:cs="Times New Roman"/>
                <w:lang w:bidi="ru-RU"/>
              </w:rPr>
            </w:r>
          </w:p>
        </w:tc>
        <w:tc>
          <w:tcPr>
            <w:shd w:val="clear" w:color="auto" w:fill="d9d9d9" w:themeFill="background1" w:themeFillShade="D9"/>
            <w:tcBorders>
              <w:top w:val="single" w:color="000000" w:sz="4" w:space="0"/>
              <w:left w:val="single" w:color="000000" w:sz="4" w:space="0"/>
            </w:tcBorders>
            <w:tcW w:w="3853" w:type="dxa"/>
            <w:vAlign w:val="center"/>
          </w:tcPr>
          <w:p>
            <w:pPr>
              <w:pStyle w:val="12385"/>
              <w:pBdr/>
              <w:spacing/>
              <w:ind/>
              <w:rPr>
                <w:rFonts w:cs="Times New Roman"/>
                <w:lang w:bidi="ru-RU"/>
              </w:rPr>
            </w:pPr>
            <w:r>
              <w:rPr>
                <w:rFonts w:cs="Times New Roman"/>
                <w:lang w:bidi="ru-RU"/>
              </w:rPr>
              <w:t xml:space="preserve">Способ доставки топлива</w:t>
            </w:r>
            <w:r>
              <w:rPr>
                <w:rFonts w:cs="Times New Roman"/>
                <w:lang w:bidi="ru-RU"/>
              </w:rPr>
            </w:r>
          </w:p>
        </w:tc>
        <w:tc>
          <w:tcPr>
            <w:shd w:val="clear" w:color="auto" w:fill="d9d9d9" w:themeFill="background1" w:themeFillShade="D9"/>
            <w:tcBorders>
              <w:top w:val="single" w:color="000000" w:sz="4" w:space="0"/>
              <w:left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Объем запаса топлива, сут.</w:t>
            </w:r>
            <w:r>
              <w:rPr>
                <w:rFonts w:cs="Times New Roman"/>
                <w:lang w:bidi="ru-RU"/>
              </w:rPr>
            </w:r>
          </w:p>
        </w:tc>
      </w:tr>
      <w:tr>
        <w:trPr>
          <w:trHeight w:val="20"/>
        </w:trPr>
        <w:tc>
          <w:tcPr>
            <w:shd w:val="clear" w:color="auto" w:fill="ffffff"/>
            <w:tcBorders>
              <w:top w:val="single" w:color="000000" w:sz="4" w:space="0"/>
              <w:left w:val="single" w:color="000000" w:sz="4" w:space="0"/>
            </w:tcBorders>
            <w:tcW w:w="2469" w:type="dxa"/>
            <w:vAlign w:val="center"/>
          </w:tcPr>
          <w:p>
            <w:pPr>
              <w:pStyle w:val="12385"/>
              <w:pBdr/>
              <w:spacing/>
              <w:ind/>
              <w:rPr>
                <w:rFonts w:cs="Times New Roman"/>
                <w:lang w:bidi="ru-RU"/>
              </w:rPr>
            </w:pPr>
            <w:r>
              <w:rPr>
                <w:rFonts w:cs="Times New Roman"/>
                <w:color w:val="3a1522"/>
                <w:lang w:bidi="ru-RU"/>
              </w:rPr>
              <w:t xml:space="preserve">1</w:t>
            </w:r>
            <w:r>
              <w:rPr>
                <w:rFonts w:cs="Times New Roman"/>
                <w:lang w:bidi="ru-RU"/>
              </w:rPr>
            </w:r>
          </w:p>
        </w:tc>
        <w:tc>
          <w:tcPr>
            <w:shd w:val="clear" w:color="auto" w:fill="ffffff"/>
            <w:tcBorders>
              <w:top w:val="single" w:color="000000" w:sz="4" w:space="0"/>
              <w:left w:val="single" w:color="000000" w:sz="4" w:space="0"/>
            </w:tcBorders>
            <w:tcW w:w="3853" w:type="dxa"/>
            <w:vAlign w:val="center"/>
          </w:tcPr>
          <w:p>
            <w:pPr>
              <w:pStyle w:val="12385"/>
              <w:pBdr/>
              <w:spacing/>
              <w:ind/>
              <w:rPr>
                <w:rFonts w:cs="Times New Roman"/>
                <w:lang w:bidi="ru-RU"/>
              </w:rPr>
            </w:pPr>
            <w:r>
              <w:rPr>
                <w:rFonts w:cs="Times New Roman"/>
                <w:lang w:bidi="ru-RU"/>
              </w:rPr>
              <w:t xml:space="preserve">2</w:t>
            </w:r>
            <w:r>
              <w:rPr>
                <w:rFonts w:cs="Times New Roman"/>
                <w:lang w:bidi="ru-RU"/>
              </w:rPr>
            </w:r>
          </w:p>
        </w:tc>
        <w:tc>
          <w:tcPr>
            <w:shd w:val="clear" w:color="auto" w:fill="ffffff"/>
            <w:tcBorders>
              <w:top w:val="single" w:color="000000" w:sz="4" w:space="0"/>
              <w:left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3</w:t>
            </w:r>
            <w:r>
              <w:rPr>
                <w:rFonts w:cs="Times New Roman"/>
                <w:lang w:bidi="ru-RU"/>
              </w:rPr>
            </w:r>
          </w:p>
        </w:tc>
      </w:tr>
      <w:tr>
        <w:trPr>
          <w:trHeight w:val="20"/>
        </w:trPr>
        <w:tc>
          <w:tcPr>
            <w:shd w:val="clear" w:color="auto" w:fill="ffffff"/>
            <w:tcBorders>
              <w:top w:val="single" w:color="000000" w:sz="4" w:space="0"/>
              <w:left w:val="single" w:color="000000" w:sz="4" w:space="0"/>
            </w:tcBorders>
            <w:tcW w:w="2469" w:type="dxa"/>
            <w:vAlign w:val="center"/>
          </w:tcPr>
          <w:p>
            <w:pPr>
              <w:pStyle w:val="12385"/>
              <w:pBdr/>
              <w:spacing/>
              <w:ind/>
              <w:rPr>
                <w:rFonts w:cs="Times New Roman"/>
                <w:lang w:bidi="ru-RU"/>
              </w:rPr>
            </w:pPr>
            <w:r>
              <w:rPr>
                <w:rFonts w:cs="Times New Roman"/>
                <w:lang w:bidi="ru-RU"/>
              </w:rPr>
              <w:t xml:space="preserve">твердое</w:t>
            </w:r>
            <w:r>
              <w:rPr>
                <w:rFonts w:cs="Times New Roman"/>
                <w:lang w:bidi="ru-RU"/>
              </w:rPr>
            </w:r>
          </w:p>
        </w:tc>
        <w:tc>
          <w:tcPr>
            <w:shd w:val="clear" w:color="auto" w:fill="ffffff"/>
            <w:tcBorders>
              <w:top w:val="single" w:color="000000" w:sz="4" w:space="0"/>
              <w:left w:val="single" w:color="000000" w:sz="4" w:space="0"/>
            </w:tcBorders>
            <w:tcW w:w="3853" w:type="dxa"/>
            <w:vAlign w:val="center"/>
          </w:tcPr>
          <w:p>
            <w:pPr>
              <w:pStyle w:val="12385"/>
              <w:pBdr/>
              <w:spacing/>
              <w:ind/>
              <w:rPr>
                <w:rFonts w:cs="Times New Roman"/>
                <w:lang w:bidi="ru-RU"/>
              </w:rPr>
            </w:pPr>
            <w:r>
              <w:rPr>
                <w:rFonts w:cs="Times New Roman"/>
                <w:lang w:bidi="ru-RU"/>
              </w:rPr>
              <w:t xml:space="preserve">железнодорожный транспорт </w:t>
            </w:r>
            <w:r>
              <w:rPr>
                <w:rFonts w:cs="Times New Roman"/>
                <w:lang w:bidi="ru-RU"/>
              </w:rPr>
            </w:r>
          </w:p>
          <w:p>
            <w:pPr>
              <w:pStyle w:val="12385"/>
              <w:pBdr/>
              <w:spacing/>
              <w:ind/>
              <w:rPr>
                <w:rFonts w:cs="Times New Roman"/>
                <w:lang w:bidi="ru-RU"/>
              </w:rPr>
            </w:pPr>
            <w:r>
              <w:rPr>
                <w:rFonts w:cs="Times New Roman"/>
                <w:lang w:bidi="ru-RU"/>
              </w:rPr>
              <w:t xml:space="preserve">автотранспорт</w:t>
            </w:r>
            <w:r>
              <w:rPr>
                <w:rFonts w:cs="Times New Roman"/>
                <w:lang w:bidi="ru-RU"/>
              </w:rPr>
            </w:r>
          </w:p>
        </w:tc>
        <w:tc>
          <w:tcPr>
            <w:shd w:val="clear" w:color="auto" w:fill="ffffff"/>
            <w:tcBorders>
              <w:top w:val="single" w:color="000000" w:sz="4" w:space="0"/>
              <w:left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14 </w:t>
            </w:r>
            <w:r>
              <w:rPr>
                <w:rFonts w:cs="Times New Roman"/>
                <w:lang w:bidi="ru-RU"/>
              </w:rPr>
            </w:r>
          </w:p>
          <w:p>
            <w:pPr>
              <w:pStyle w:val="12385"/>
              <w:pBdr/>
              <w:spacing/>
              <w:ind/>
              <w:rPr>
                <w:rFonts w:cs="Times New Roman"/>
                <w:lang w:bidi="ru-RU"/>
              </w:rPr>
            </w:pPr>
            <w:r>
              <w:rPr>
                <w:rFonts w:cs="Times New Roman"/>
                <w:lang w:bidi="ru-RU"/>
              </w:rPr>
              <w:t xml:space="preserve">7</w:t>
            </w:r>
            <w:r>
              <w:rPr>
                <w:rFonts w:cs="Times New Roman"/>
                <w:lang w:bidi="ru-RU"/>
              </w:rPr>
            </w:r>
          </w:p>
        </w:tc>
      </w:tr>
      <w:tr>
        <w:trPr>
          <w:trHeight w:val="20"/>
        </w:trPr>
        <w:tc>
          <w:tcPr>
            <w:shd w:val="clear" w:color="auto" w:fill="ffffff"/>
            <w:tcBorders>
              <w:top w:val="single" w:color="000000" w:sz="4" w:space="0"/>
              <w:left w:val="single" w:color="000000" w:sz="4" w:space="0"/>
              <w:bottom w:val="single" w:color="000000" w:sz="4" w:space="0"/>
            </w:tcBorders>
            <w:tcW w:w="2469" w:type="dxa"/>
            <w:vAlign w:val="center"/>
          </w:tcPr>
          <w:p>
            <w:pPr>
              <w:pStyle w:val="12385"/>
              <w:pBdr/>
              <w:spacing/>
              <w:ind/>
              <w:rPr>
                <w:rFonts w:cs="Times New Roman"/>
                <w:lang w:bidi="ru-RU"/>
              </w:rPr>
            </w:pPr>
            <w:r>
              <w:rPr>
                <w:rFonts w:cs="Times New Roman"/>
                <w:lang w:bidi="ru-RU"/>
              </w:rPr>
              <w:t xml:space="preserve">жидкое</w:t>
            </w:r>
            <w:r>
              <w:rPr>
                <w:rFonts w:cs="Times New Roman"/>
                <w:lang w:bidi="ru-RU"/>
              </w:rPr>
            </w:r>
          </w:p>
        </w:tc>
        <w:tc>
          <w:tcPr>
            <w:shd w:val="clear" w:color="auto" w:fill="ffffff"/>
            <w:tcBorders>
              <w:top w:val="single" w:color="000000" w:sz="4" w:space="0"/>
              <w:left w:val="single" w:color="000000" w:sz="4" w:space="0"/>
              <w:bottom w:val="single" w:color="000000" w:sz="4" w:space="0"/>
            </w:tcBorders>
            <w:tcW w:w="3853" w:type="dxa"/>
            <w:vAlign w:val="center"/>
          </w:tcPr>
          <w:p>
            <w:pPr>
              <w:pStyle w:val="12385"/>
              <w:pBdr/>
              <w:spacing/>
              <w:ind/>
              <w:rPr>
                <w:rFonts w:cs="Times New Roman"/>
                <w:lang w:bidi="ru-RU"/>
              </w:rPr>
            </w:pPr>
            <w:r>
              <w:rPr>
                <w:rFonts w:cs="Times New Roman"/>
                <w:lang w:bidi="ru-RU"/>
              </w:rPr>
              <w:t xml:space="preserve">железнодорожный транспорт </w:t>
            </w:r>
            <w:r>
              <w:rPr>
                <w:rFonts w:cs="Times New Roman"/>
                <w:lang w:bidi="ru-RU"/>
              </w:rPr>
            </w:r>
          </w:p>
          <w:p>
            <w:pPr>
              <w:pStyle w:val="12385"/>
              <w:pBdr/>
              <w:spacing/>
              <w:ind/>
              <w:rPr>
                <w:rFonts w:cs="Times New Roman"/>
                <w:lang w:bidi="ru-RU"/>
              </w:rPr>
            </w:pPr>
            <w:r>
              <w:rPr>
                <w:rFonts w:cs="Times New Roman"/>
                <w:lang w:bidi="ru-RU"/>
              </w:rPr>
              <w:t xml:space="preserve">автотранспорт</w:t>
            </w:r>
            <w:r>
              <w:rPr>
                <w:rFonts w:cs="Times New Roman"/>
                <w:lang w:bidi="ru-RU"/>
              </w:rPr>
            </w:r>
          </w:p>
        </w:tc>
        <w:tc>
          <w:tcPr>
            <w:shd w:val="clear" w:color="auto" w:fill="ffffff"/>
            <w:tcBorders>
              <w:top w:val="single" w:color="000000" w:sz="4" w:space="0"/>
              <w:left w:val="single" w:color="000000" w:sz="4" w:space="0"/>
              <w:bottom w:val="single" w:color="000000" w:sz="4" w:space="0"/>
              <w:right w:val="single" w:color="000000" w:sz="4" w:space="0"/>
            </w:tcBorders>
            <w:tcW w:w="3033" w:type="dxa"/>
            <w:vAlign w:val="center"/>
          </w:tcPr>
          <w:p>
            <w:pPr>
              <w:pStyle w:val="12385"/>
              <w:pBdr/>
              <w:spacing/>
              <w:ind/>
              <w:rPr>
                <w:rFonts w:cs="Times New Roman"/>
                <w:lang w:bidi="ru-RU"/>
              </w:rPr>
            </w:pPr>
            <w:r>
              <w:rPr>
                <w:rFonts w:cs="Times New Roman"/>
                <w:lang w:bidi="ru-RU"/>
              </w:rPr>
              <w:t xml:space="preserve">10 </w:t>
            </w:r>
            <w:r>
              <w:rPr>
                <w:rFonts w:cs="Times New Roman"/>
                <w:lang w:bidi="ru-RU"/>
              </w:rPr>
            </w:r>
          </w:p>
          <w:p>
            <w:pPr>
              <w:pStyle w:val="12385"/>
              <w:pBdr/>
              <w:spacing/>
              <w:ind/>
              <w:rPr>
                <w:rFonts w:cs="Times New Roman"/>
                <w:lang w:bidi="ru-RU"/>
              </w:rPr>
            </w:pPr>
            <w:r>
              <w:rPr>
                <w:rFonts w:cs="Times New Roman"/>
                <w:lang w:bidi="ru-RU"/>
              </w:rPr>
              <w:t xml:space="preserve">5</w:t>
            </w:r>
            <w:r>
              <w:rPr>
                <w:rFonts w:cs="Times New Roman"/>
                <w:lang w:bidi="ru-RU"/>
              </w:rPr>
            </w:r>
          </w:p>
        </w:tc>
      </w:tr>
    </w:tbl>
    <w:p>
      <w:pPr>
        <w:pStyle w:val="12960"/>
        <w:pBdr/>
        <w:spacing/>
        <w:ind/>
        <w:rPr/>
      </w:pPr>
      <w:r/>
      <w:r/>
    </w:p>
    <w:p>
      <w:pPr>
        <w:pStyle w:val="12960"/>
        <w:pBdr/>
        <w:spacing/>
        <w:ind/>
        <w:rPr/>
      </w:pPr>
      <w:r>
        <w:t xml:space="preserve">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r/>
    </w:p>
    <w:p>
      <w:pPr>
        <w:pStyle w:val="13832"/>
        <w:numPr>
          <w:ilvl w:val="0"/>
          <w:numId w:val="61"/>
        </w:numPr>
        <w:pBdr/>
        <w:spacing/>
        <w:ind w:hanging="284" w:left="1135"/>
        <w:rPr/>
      </w:pPr>
      <w:r>
        <w:t xml:space="preserve">по твердому топливу - 45 суток;</w:t>
      </w:r>
      <w:r/>
    </w:p>
    <w:p>
      <w:pPr>
        <w:pStyle w:val="13832"/>
        <w:numPr>
          <w:ilvl w:val="0"/>
          <w:numId w:val="61"/>
        </w:numPr>
        <w:pBdr/>
        <w:spacing/>
        <w:ind w:hanging="284" w:left="1135"/>
        <w:rPr/>
      </w:pPr>
      <w:r>
        <w:t xml:space="preserve">по жидкому топливу - 30 суток.</w:t>
      </w:r>
      <w:r/>
    </w:p>
    <w:p>
      <w:pPr>
        <w:pStyle w:val="12960"/>
        <w:pBdr/>
        <w:spacing/>
        <w:ind/>
        <w:rPr>
          <w:b/>
          <w:bCs w:val="0"/>
        </w:rPr>
      </w:pPr>
      <w:r/>
      <w:bookmarkStart w:id="1000" w:name="_Hlk212949362"/>
      <w:r/>
      <w:bookmarkStart w:id="1001" w:name="_Hlk214000800"/>
      <w:r/>
      <w:bookmarkEnd w:id="1000"/>
      <w:r/>
      <w:bookmarkEnd w:id="1001"/>
      <w:r>
        <w:rPr>
          <w:b/>
          <w:bCs w:val="0"/>
        </w:rPr>
        <w:t xml:space="preserve">Таблица 10.2.3 –Результаты расчёта создания нормативного неснижаемого запаса топлива (ННЗТ), нормативного эксплуатационного запаса топлива (НЭЗТ) и общего нормативного запаса топлива (ОНЗТ)</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378"/>
        <w:gridCol w:w="2476"/>
        <w:gridCol w:w="1940"/>
        <w:gridCol w:w="1560"/>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378" w:type="dxa"/>
            <w:vAlign w:val="center"/>
            <w:vMerge w:val="restart"/>
          </w:tcPr>
          <w:p>
            <w:pPr>
              <w:pStyle w:val="12385"/>
              <w:pBdr/>
              <w:spacing/>
              <w:ind/>
              <w:rPr>
                <w:rFonts w:cs="Times New Roman"/>
              </w:rPr>
            </w:pPr>
            <w:r>
              <w:rPr>
                <w:rFonts w:cs="Times New Roman"/>
              </w:rPr>
              <w:t xml:space="preserve">Организация</w:t>
            </w:r>
            <w:r>
              <w:rPr>
                <w:rFonts w:cs="Times New Roman"/>
              </w:rPr>
            </w:r>
          </w:p>
        </w:tc>
        <w:tc>
          <w:tcPr>
            <w:gridSpan w:val="3"/>
            <w:shd w:val="clear" w:color="000000" w:fill="d9d9d9"/>
            <w:tcBorders>
              <w:top w:val="single" w:color="000000" w:sz="4" w:space="0"/>
              <w:bottom w:val="single" w:color="000000" w:sz="4" w:space="0"/>
              <w:right w:val="single" w:color="000000" w:sz="4" w:space="0"/>
            </w:tcBorders>
            <w:tcW w:w="5976" w:type="dxa"/>
            <w:vAlign w:val="center"/>
          </w:tcPr>
          <w:p>
            <w:pPr>
              <w:pStyle w:val="12385"/>
              <w:pBdr/>
              <w:spacing/>
              <w:ind/>
              <w:rPr>
                <w:rFonts w:cs="Times New Roman"/>
              </w:rPr>
            </w:pPr>
            <w:r>
              <w:rPr>
                <w:rFonts w:cs="Times New Roman"/>
              </w:rPr>
              <w:t xml:space="preserve">Нормативы</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378" w:type="dxa"/>
            <w:vAlign w:val="center"/>
            <w:vMerge w:val="continue"/>
          </w:tcPr>
          <w:p>
            <w:pPr>
              <w:pStyle w:val="12385"/>
              <w:pBdr/>
              <w:spacing/>
              <w:ind/>
              <w:rPr>
                <w:rFonts w:cs="Times New Roman"/>
              </w:rPr>
            </w:pPr>
            <w:r>
              <w:rPr>
                <w:rFonts w:cs="Times New Roman"/>
              </w:rPr>
            </w:r>
            <w:r>
              <w:rPr>
                <w:rFonts w:cs="Times New Roman"/>
              </w:rPr>
            </w:r>
          </w:p>
        </w:tc>
        <w:tc>
          <w:tcPr>
            <w:gridSpan w:val="3"/>
            <w:shd w:val="clear" w:color="000000" w:fill="d9d9d9"/>
            <w:tcBorders>
              <w:top w:val="single" w:color="000000" w:sz="4" w:space="0"/>
              <w:bottom w:val="single" w:color="000000" w:sz="4" w:space="0"/>
              <w:right w:val="single" w:color="000000" w:sz="4" w:space="0"/>
            </w:tcBorders>
            <w:tcW w:w="5976" w:type="dxa"/>
            <w:vAlign w:val="center"/>
          </w:tcPr>
          <w:p>
            <w:pPr>
              <w:pStyle w:val="12385"/>
              <w:pBdr/>
              <w:spacing/>
              <w:ind/>
              <w:rPr>
                <w:rFonts w:cs="Times New Roman"/>
              </w:rPr>
            </w:pPr>
            <w:r>
              <w:rPr>
                <w:rFonts w:cs="Times New Roman"/>
              </w:rPr>
              <w:t xml:space="preserve">Запасы топлива</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378" w:type="dxa"/>
            <w:vAlign w:val="center"/>
            <w:vMerge w:val="continue"/>
          </w:tcPr>
          <w:p>
            <w:pPr>
              <w:pStyle w:val="12385"/>
              <w:pBdr/>
              <w:spacing/>
              <w:ind/>
              <w:rPr>
                <w:rFonts w:cs="Times New Roman"/>
              </w:rPr>
            </w:pPr>
            <w:r>
              <w:rPr>
                <w:rFonts w:cs="Times New Roman"/>
              </w:rPr>
            </w:r>
            <w:r>
              <w:rPr>
                <w:rFonts w:cs="Times New Roman"/>
              </w:rPr>
            </w:r>
          </w:p>
        </w:tc>
        <w:tc>
          <w:tcPr>
            <w:shd w:val="clear" w:color="000000" w:fill="d9d9d9"/>
            <w:tcBorders>
              <w:bottom w:val="single" w:color="000000" w:sz="4" w:space="0"/>
              <w:right w:val="single" w:color="000000" w:sz="4" w:space="0"/>
            </w:tcBorders>
            <w:tcW w:w="2476" w:type="dxa"/>
            <w:vAlign w:val="center"/>
          </w:tcPr>
          <w:p>
            <w:pPr>
              <w:pStyle w:val="12385"/>
              <w:pBdr/>
              <w:spacing/>
              <w:ind/>
              <w:rPr>
                <w:rFonts w:cs="Times New Roman"/>
              </w:rPr>
            </w:pPr>
            <w:r>
              <w:rPr>
                <w:rFonts w:cs="Times New Roman"/>
              </w:rPr>
              <w:t xml:space="preserve">Нормативный эксплуатационный запас топлива, тыс. тонн</w:t>
            </w:r>
            <w:r>
              <w:rPr>
                <w:rFonts w:cs="Times New Roman"/>
              </w:rPr>
            </w:r>
          </w:p>
        </w:tc>
        <w:tc>
          <w:tcPr>
            <w:shd w:val="clear" w:color="000000" w:fill="d9d9d9"/>
            <w:tcBorders>
              <w:bottom w:val="single" w:color="000000" w:sz="4" w:space="0"/>
              <w:right w:val="single" w:color="000000" w:sz="4" w:space="0"/>
            </w:tcBorders>
            <w:tcW w:w="1940" w:type="dxa"/>
            <w:vAlign w:val="center"/>
          </w:tcPr>
          <w:p>
            <w:pPr>
              <w:pStyle w:val="12385"/>
              <w:pBdr/>
              <w:spacing/>
              <w:ind/>
              <w:rPr>
                <w:rFonts w:cs="Times New Roman"/>
              </w:rPr>
            </w:pPr>
            <w:r>
              <w:rPr>
                <w:rFonts w:cs="Times New Roman"/>
              </w:rPr>
              <w:t xml:space="preserve">Неснижаемый нормативный запас топлива, тыс. тонн</w:t>
            </w:r>
            <w:r>
              <w:rPr>
                <w:rFonts w:cs="Times New Roman"/>
              </w:rPr>
            </w:r>
          </w:p>
        </w:tc>
        <w:tc>
          <w:tcPr>
            <w:shd w:val="clear" w:color="000000" w:fill="d9d9d9"/>
            <w:tcBorders>
              <w:bottom w:val="single" w:color="000000" w:sz="4" w:space="0"/>
              <w:right w:val="single" w:color="000000" w:sz="4" w:space="0"/>
            </w:tcBorders>
            <w:tcW w:w="1560" w:type="dxa"/>
            <w:vAlign w:val="center"/>
          </w:tcPr>
          <w:p>
            <w:pPr>
              <w:pStyle w:val="12385"/>
              <w:pBdr/>
              <w:spacing/>
              <w:ind/>
              <w:rPr>
                <w:rFonts w:cs="Times New Roman"/>
              </w:rPr>
            </w:pPr>
            <w:r>
              <w:rPr>
                <w:rFonts w:cs="Times New Roman"/>
              </w:rPr>
              <w:t xml:space="preserve">Основного и резервного топлива, тыс. тонн</w:t>
            </w:r>
            <w:r>
              <w:rPr>
                <w:rFonts w:cs="Times New Roman"/>
              </w:rPr>
            </w:r>
          </w:p>
        </w:tc>
      </w:tr>
      <w:tr>
        <w:trPr>
          <w:trHeight w:val="20"/>
        </w:trPr>
        <w:tc>
          <w:tcPr>
            <w:gridSpan w:val="4"/>
            <w:tcBorders>
              <w:top w:val="single" w:color="000000" w:sz="4" w:space="0"/>
              <w:left w:val="single" w:color="000000" w:sz="4" w:space="0"/>
              <w:bottom w:val="single" w:color="000000" w:sz="4" w:space="0"/>
              <w:right w:val="single" w:color="000000" w:sz="4" w:space="0"/>
            </w:tcBorders>
            <w:tcW w:w="9354" w:type="dxa"/>
            <w:vAlign w:val="center"/>
          </w:tcPr>
          <w:p>
            <w:pPr>
              <w:pStyle w:val="12385"/>
              <w:pBdr/>
              <w:spacing/>
              <w:ind/>
              <w:rPr>
                <w:rFonts w:cs="Times New Roman"/>
              </w:rPr>
            </w:pPr>
            <w:r>
              <w:rPr>
                <w:rFonts w:cs="Times New Roman"/>
              </w:rPr>
              <w:t xml:space="preserve">Природный газ</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378" w:type="dxa"/>
            <w:vAlign w:val="center"/>
          </w:tcPr>
          <w:p>
            <w:pPr>
              <w:pStyle w:val="12385"/>
              <w:pBdr/>
              <w:spacing/>
              <w:ind/>
              <w:rPr>
                <w:rFonts w:cs="Times New Roman"/>
              </w:rPr>
            </w:pPr>
            <w:r>
              <w:t xml:space="preserve">Котельная №5 д. Ясенки</w:t>
            </w:r>
            <w:r>
              <w:rPr>
                <w:rFonts w:cs="Times New Roman"/>
              </w:rPr>
            </w:r>
          </w:p>
        </w:tc>
        <w:tc>
          <w:tcPr>
            <w:tcBorders>
              <w:bottom w:val="single" w:color="000000" w:sz="4" w:space="0"/>
              <w:right w:val="single" w:color="000000" w:sz="4" w:space="0"/>
            </w:tcBorders>
            <w:tcW w:w="2476" w:type="dxa"/>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940" w:type="dxa"/>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560" w:type="dxa"/>
          </w:tcPr>
          <w:p>
            <w:pPr>
              <w:pStyle w:val="12385"/>
              <w:pBdr/>
              <w:spacing/>
              <w:ind/>
              <w:rPr>
                <w:rFonts w:cs="Times New Roman"/>
              </w:rPr>
            </w:pPr>
            <w:r>
              <w:t xml:space="preserve">-</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378" w:type="dxa"/>
            <w:vAlign w:val="center"/>
          </w:tcPr>
          <w:p>
            <w:pPr>
              <w:pStyle w:val="12385"/>
              <w:pBdr/>
              <w:spacing/>
              <w:ind/>
              <w:rPr>
                <w:rFonts w:cs="Times New Roman"/>
              </w:rPr>
            </w:pPr>
            <w:r>
              <w:t xml:space="preserve">Котельная №6 п. Первомайский </w:t>
            </w:r>
            <w:r>
              <w:rPr>
                <w:rFonts w:cs="Times New Roman"/>
              </w:rPr>
            </w:r>
          </w:p>
        </w:tc>
        <w:tc>
          <w:tcPr>
            <w:tcBorders>
              <w:bottom w:val="single" w:color="000000" w:sz="4" w:space="0"/>
              <w:right w:val="single" w:color="000000" w:sz="4" w:space="0"/>
            </w:tcBorders>
            <w:tcW w:w="2476" w:type="dxa"/>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940" w:type="dxa"/>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560" w:type="dxa"/>
          </w:tcPr>
          <w:p>
            <w:pPr>
              <w:pStyle w:val="12385"/>
              <w:pBdr/>
              <w:spacing/>
              <w:ind/>
              <w:rPr>
                <w:rFonts w:cs="Times New Roman"/>
              </w:rPr>
            </w:pPr>
            <w:r>
              <w:t xml:space="preserve">-</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378" w:type="dxa"/>
            <w:vAlign w:val="center"/>
          </w:tcPr>
          <w:p>
            <w:pPr>
              <w:pStyle w:val="12385"/>
              <w:pBdr/>
              <w:spacing/>
              <w:ind/>
              <w:rPr>
                <w:rFonts w:cs="Times New Roman"/>
              </w:rPr>
            </w:pPr>
            <w:r>
              <w:t xml:space="preserve">Котельная №7 с. Белый Колодезь</w:t>
            </w:r>
            <w:r>
              <w:rPr>
                <w:rFonts w:cs="Times New Roman"/>
              </w:rPr>
            </w:r>
          </w:p>
        </w:tc>
        <w:tc>
          <w:tcPr>
            <w:tcBorders>
              <w:bottom w:val="single" w:color="000000" w:sz="4" w:space="0"/>
              <w:right w:val="single" w:color="000000" w:sz="4" w:space="0"/>
            </w:tcBorders>
            <w:tcW w:w="2476" w:type="dxa"/>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940" w:type="dxa"/>
          </w:tcPr>
          <w:p>
            <w:pPr>
              <w:pStyle w:val="12385"/>
              <w:pBdr/>
              <w:spacing/>
              <w:ind/>
              <w:rPr>
                <w:rFonts w:cs="Times New Roman"/>
              </w:rPr>
            </w:pPr>
            <w:r>
              <w:t xml:space="preserve">-</w:t>
            </w:r>
            <w:r>
              <w:rPr>
                <w:rFonts w:cs="Times New Roman"/>
              </w:rPr>
            </w:r>
          </w:p>
        </w:tc>
        <w:tc>
          <w:tcPr>
            <w:tcBorders>
              <w:bottom w:val="single" w:color="000000" w:sz="4" w:space="0"/>
              <w:right w:val="single" w:color="000000" w:sz="4" w:space="0"/>
            </w:tcBorders>
            <w:tcW w:w="1560" w:type="dxa"/>
          </w:tcPr>
          <w:p>
            <w:pPr>
              <w:pStyle w:val="12385"/>
              <w:pBdr/>
              <w:spacing/>
              <w:ind/>
              <w:rPr>
                <w:rFonts w:cs="Times New Roman"/>
              </w:rPr>
            </w:pPr>
            <w:r>
              <w:t xml:space="preserve">-</w:t>
            </w:r>
            <w:r>
              <w:rPr>
                <w:rFonts w:cs="Times New Roman"/>
              </w:rPr>
            </w:r>
          </w:p>
        </w:tc>
      </w:tr>
    </w:tbl>
    <w:p>
      <w:pPr>
        <w:pStyle w:val="12960"/>
        <w:pBdr/>
        <w:spacing/>
        <w:ind/>
        <w:rPr>
          <w:b/>
          <w:bCs w:val="0"/>
        </w:rPr>
      </w:pPr>
      <w:r>
        <w:rPr>
          <w:b/>
          <w:bCs w:val="0"/>
        </w:rPr>
      </w:r>
      <w:r>
        <w:br w:type="page" w:clear="all"/>
      </w:r>
      <w:r>
        <w:rPr>
          <w:b/>
          <w:bCs w:val="0"/>
        </w:rPr>
      </w:r>
    </w:p>
    <w:p>
      <w:pPr>
        <w:pStyle w:val="10534"/>
        <w:numPr>
          <w:ilvl w:val="0"/>
          <w:numId w:val="163"/>
        </w:numPr>
        <w:pBdr/>
        <w:spacing/>
        <w:ind/>
        <w:rPr>
          <w:rFonts w:ascii="Times New Roman" w:hAnsi="Times New Roman" w:eastAsia="Times New Roman" w:cs="Times New Roman"/>
          <w:b/>
          <w:smallCaps/>
          <w:spacing w:val="0"/>
          <w:sz w:val="28"/>
          <w:szCs w:val="36"/>
          <w:lang w:eastAsia="en-US" w:bidi="en-US"/>
        </w:rPr>
      </w:pPr>
      <w:r/>
      <w:bookmarkStart w:id="1002" w:name="_Hlk214000800"/>
      <w:r/>
      <w:bookmarkStart w:id="1003" w:name="_Toc9154918"/>
      <w:r/>
      <w:bookmarkStart w:id="1004" w:name="_Toc84971064"/>
      <w:r/>
      <w:bookmarkStart w:id="1005" w:name="_Toc166767283"/>
      <w:r/>
      <w:bookmarkStart w:id="1006" w:name="_Toc198483623"/>
      <w:r/>
      <w:bookmarkEnd w:id="998"/>
      <w:r/>
      <w:bookmarkEnd w:id="1002"/>
      <w:r>
        <w:rPr>
          <w:rFonts w:eastAsia="Times New Roman" w:cs="Times New Roman"/>
          <w:b/>
          <w:smallCaps/>
          <w:spacing w:val="0"/>
          <w:sz w:val="28"/>
          <w:szCs w:val="36"/>
          <w:lang w:eastAsia="en-US" w:bidi="en-US"/>
        </w:rPr>
        <w:t xml:space="preserve">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003"/>
      <w:r/>
      <w:bookmarkEnd w:id="1004"/>
      <w:r/>
      <w:bookmarkEnd w:id="1005"/>
      <w:r/>
      <w:bookmarkEnd w:id="1006"/>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Срыва поставок основного и резервного топлива в 2025 г. – не зафиксировано. Условиями Договоров поставки, заключаемыми между теплогенерирующими компаниями и поставщик</w:t>
      </w:r>
      <w:r>
        <w:t xml:space="preserve">ом топлива,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r/>
    </w:p>
    <w:p>
      <w:pPr>
        <w:pStyle w:val="12960"/>
        <w:pBdr/>
        <w:spacing/>
        <w:ind/>
        <w:rPr/>
      </w:pPr>
      <w:r>
        <w:t xml:space="preserve">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 Возобновляемые источники энергии и местные виды топлива не используются.</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0533"/>
        <w:pBdr/>
        <w:spacing/>
        <w:ind/>
        <w:rPr/>
      </w:pPr>
      <w:r/>
      <w:r>
        <w:br w:type="page" w:clear="all"/>
      </w:r>
      <w:r/>
    </w:p>
    <w:p>
      <w:pPr>
        <w:pStyle w:val="10534"/>
        <w:widowControl w:val="true"/>
        <w:numPr>
          <w:ilvl w:val="0"/>
          <w:numId w:val="164"/>
        </w:numPr>
        <w:pBdr/>
        <w:bidi w:val="false"/>
        <w:spacing w:after="240" w:before="120" w:line="276" w:lineRule="auto"/>
        <w:ind w:right="0" w:hanging="340" w:left="397"/>
        <w:contextualSpacing w:val="true"/>
        <w:jc w:val="center"/>
        <w:rPr>
          <w:spacing w:val="0"/>
        </w:rPr>
      </w:pPr>
      <w:r/>
      <w:bookmarkStart w:id="1007" w:name="_Toc198483624"/>
      <w:r/>
      <w:bookmarkStart w:id="1008" w:name="_Toc166767284"/>
      <w:r/>
      <w:bookmarkStart w:id="1009" w:name="_Toc84971065"/>
      <w:r/>
      <w:bookmarkStart w:id="1010" w:name="_Toc9154919"/>
      <w:r>
        <w:rPr>
          <w:rFonts w:eastAsia="Times New Roman" w:cs="Times New Roman"/>
          <w:b/>
          <w:smallCaps/>
          <w:spacing w:val="0"/>
          <w:sz w:val="28"/>
          <w:szCs w:val="36"/>
          <w:lang w:eastAsia="en-US" w:bidi="en-US"/>
        </w:rPr>
        <w:t xml:space="preserve">Виды топлива (в случае, если топливом является угoль, - вид ископаемого yгл</w:t>
      </w:r>
      <w:r>
        <w:rPr>
          <w:rFonts w:eastAsia="Times New Roman" w:cs="Times New Roman"/>
          <w:b/>
          <w:smallCaps/>
          <w:spacing w:val="0"/>
          <w:sz w:val="28"/>
          <w:szCs w:val="36"/>
          <w:lang w:eastAsia="en-US" w:bidi="en-US"/>
        </w:rPr>
        <w:t xml:space="preserve">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w:t>
      </w:r>
      <w:r>
        <w:rPr>
          <w:spacing w:val="0"/>
        </w:rPr>
        <w:t xml:space="preserve">ргии по каждой системе теплоснабжения</w:t>
      </w:r>
      <w:bookmarkEnd w:id="1007"/>
      <w:r/>
      <w:bookmarkEnd w:id="1008"/>
      <w:r/>
      <w:bookmarkEnd w:id="1009"/>
      <w:r/>
      <w:bookmarkEnd w:id="1010"/>
      <w:r/>
      <w:r>
        <w:rPr>
          <w:spacing w:val="0"/>
        </w:rPr>
      </w:r>
    </w:p>
    <w:p>
      <w:pPr>
        <w:pStyle w:val="12960"/>
        <w:pBdr/>
        <w:spacing/>
        <w:ind/>
        <w:rPr/>
      </w:pPr>
      <w:r/>
      <w:r/>
      <w:r/>
      <w:r>
        <w:t xml:space="preserve">На территории муниципального образования Астаповское функционируют 3 котельных. На котельных основным топливом является природный газ со средней теплотворной способностью 8312 Ккал/кг.</w:t>
      </w:r>
      <w:r/>
    </w:p>
    <w:p>
      <w:pPr>
        <w:pStyle w:val="12960"/>
        <w:pBdr/>
        <w:spacing/>
        <w:ind/>
        <w:rPr>
          <w:b/>
          <w:bCs w:val="0"/>
        </w:rPr>
      </w:pPr>
      <w:r/>
      <w:bookmarkStart w:id="1014" w:name="_Hlk216403302"/>
      <w:r/>
      <w:bookmarkStart w:id="1015" w:name="_Hlk212141655"/>
      <w:r/>
      <w:bookmarkStart w:id="1016" w:name="_Hlk205237030"/>
      <w:r>
        <w:rPr>
          <w:b/>
          <w:bCs w:val="0"/>
        </w:rPr>
        <w:t xml:space="preserve">Таблица 10.4.2 – Характеристика топлив, используемых на источниках теплоснабжения</w:t>
      </w:r>
      <w:bookmarkEnd w:id="1014"/>
      <w:r/>
      <w:bookmarkEnd w:id="1015"/>
      <w:r/>
      <w:bookmarkEnd w:id="1016"/>
      <w:r/>
      <w:r>
        <w:rPr>
          <w:b/>
          <w:bCs w:val="0"/>
        </w:rPr>
      </w:r>
    </w:p>
    <w:tbl>
      <w:tblPr>
        <w:tblInd w:w="0" w:type="dxa"/>
        <w:tblW w:w="5000" w:type="pct"/>
        <w:tblCellMar>
          <w:left w:w="40" w:type="dxa"/>
          <w:top w:w="0" w:type="dxa"/>
          <w:right w:w="40" w:type="dxa"/>
          <w:bottom w:w="0" w:type="dxa"/>
        </w:tblCellMar>
        <w:tblBorders/>
        <w:tblLayout w:type="fixed"/>
        <w:tblLook w:val="0000" w:firstRow="0" w:lastRow="0" w:firstColumn="0" w:lastColumn="0" w:noHBand="0" w:noVBand="0"/>
      </w:tblPr>
      <w:tblGrid>
        <w:gridCol w:w="3182"/>
        <w:gridCol w:w="2058"/>
        <w:gridCol w:w="2058"/>
        <w:gridCol w:w="2056"/>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Показатели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Основное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color w:val="000000"/>
                <w:szCs w:val="20"/>
              </w:rPr>
              <w:t xml:space="preserve">Резервное топливо</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rPr>
            </w:pPr>
            <w:r>
              <w:rPr>
                <w:rFonts w:cs="Times New Roman"/>
                <w:color w:val="000000"/>
                <w:szCs w:val="20"/>
              </w:rPr>
              <w:t xml:space="preserve">Аварийное топливо</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Вид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szCs w:val="20"/>
              </w:rPr>
              <w:t xml:space="preserve">природный газ</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color w:val="000000"/>
                <w:szCs w:val="20"/>
              </w:rPr>
            </w:pPr>
            <w:r>
              <w:rPr>
                <w:rFonts w:cs="Times New Roman"/>
                <w:color w:val="000000"/>
                <w:szCs w:val="20"/>
              </w:rPr>
              <w:t xml:space="preserve">нет</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color w:val="000000"/>
                <w:szCs w:val="20"/>
              </w:rPr>
            </w:pPr>
            <w:r>
              <w:rPr>
                <w:rFonts w:cs="Times New Roman"/>
                <w:color w:val="000000"/>
                <w:szCs w:val="20"/>
              </w:rPr>
              <w:t xml:space="preserve">нет </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Марка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Поставщик топлива</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Способ доставки на котельную</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Откуда осуществляется поставка (место)</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r>
      <w:tr>
        <w:trPr>
          <w:trHeight w:val="20"/>
        </w:trPr>
        <w:tc>
          <w:tcPr>
            <w:tcBorders>
              <w:top w:val="single" w:color="000000" w:sz="4" w:space="0"/>
              <w:left w:val="single" w:color="000000" w:sz="4" w:space="0"/>
              <w:bottom w:val="single" w:color="000000" w:sz="4" w:space="0"/>
              <w:right w:val="single" w:color="000000" w:sz="4" w:space="0"/>
            </w:tcBorders>
            <w:tcW w:w="3182" w:type="dxa"/>
            <w:vAlign w:val="center"/>
          </w:tcPr>
          <w:p>
            <w:pPr>
              <w:pStyle w:val="12385"/>
              <w:pBdr/>
              <w:spacing/>
              <w:ind/>
              <w:rPr>
                <w:rFonts w:cs="Times New Roman"/>
              </w:rPr>
            </w:pPr>
            <w:r>
              <w:rPr>
                <w:rFonts w:cs="Times New Roman"/>
              </w:rPr>
              <w:t xml:space="preserve">Периодичность поставки</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058"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c>
          <w:tcPr>
            <w:tcBorders>
              <w:top w:val="single" w:color="000000" w:sz="4" w:space="0"/>
              <w:left w:val="single" w:color="000000" w:sz="4" w:space="0"/>
              <w:bottom w:val="single" w:color="000000" w:sz="4" w:space="0"/>
              <w:right w:val="single" w:color="000000" w:sz="4" w:space="0"/>
            </w:tcBorders>
            <w:tcW w:w="2056" w:type="dxa"/>
            <w:vAlign w:val="center"/>
          </w:tcPr>
          <w:p>
            <w:pPr>
              <w:pStyle w:val="12385"/>
              <w:pBdr/>
              <w:spacing/>
              <w:ind/>
              <w:rPr>
                <w:rFonts w:cs="Times New Roman"/>
                <w:color w:val="000000"/>
                <w:szCs w:val="20"/>
              </w:rPr>
            </w:pPr>
            <w:r>
              <w:rPr>
                <w:rFonts w:cs="Times New Roman"/>
              </w:rPr>
              <w:t xml:space="preserve">н/д</w:t>
            </w:r>
            <w:r>
              <w:rPr>
                <w:rFonts w:cs="Times New Roman"/>
                <w:color w:val="000000"/>
                <w:szCs w:val="20"/>
              </w:rPr>
            </w:r>
          </w:p>
        </w:tc>
      </w:tr>
    </w:tbl>
    <w:p>
      <w:pPr>
        <w:pStyle w:val="10533"/>
        <w:pBdr/>
        <w:spacing/>
        <w:ind/>
        <w:rPr/>
        <w:sectPr>
          <w:headerReference w:type="default" r:id="rId162"/>
          <w:headerReference w:type="first" r:id="rId163"/>
          <w:footerReference w:type="default" r:id="rId430"/>
          <w:footerReference w:type="first" r:id="rId431"/>
          <w:footnotePr/>
          <w:endnotePr/>
          <w:type w:val="nextPage"/>
          <w:pgSz w:h="16838" w:orient="portrait" w:w="11906"/>
          <w:pgMar w:top="1134" w:right="850" w:bottom="1134" w:left="1701" w:header="708" w:footer="708" w:gutter="0"/>
          <w:cols w:num="1" w:sep="0" w:space="1701" w:equalWidth="1"/>
        </w:sectPr>
      </w:pPr>
      <w:r/>
      <w:r/>
    </w:p>
    <w:p>
      <w:pPr>
        <w:pStyle w:val="10534"/>
        <w:numPr>
          <w:ilvl w:val="0"/>
          <w:numId w:val="165"/>
        </w:numPr>
        <w:pBdr/>
        <w:spacing/>
        <w:ind w:hanging="357" w:left="1066"/>
        <w:rPr>
          <w:spacing w:val="0"/>
        </w:rPr>
      </w:pPr>
      <w:r/>
      <w:bookmarkStart w:id="1017" w:name="_Toc84971066"/>
      <w:r/>
      <w:bookmarkStart w:id="1018" w:name="_Toc166767285"/>
      <w:r/>
      <w:bookmarkStart w:id="1019" w:name="_Toc198483625"/>
      <w:r/>
      <w:bookmarkStart w:id="1020" w:name="_Toc9154920"/>
      <w:r>
        <w:rPr>
          <w:spacing w:val="0"/>
        </w:rPr>
        <w:t xml:space="preserve">Преобладающий в поселении, муниципальном образовании вид топлива, определяемый по совокупности всех систем теплоснабжения, находящихся в соответствующем поселении, муниципальном образовании</w:t>
      </w:r>
      <w:bookmarkEnd w:id="1017"/>
      <w:r/>
      <w:bookmarkEnd w:id="1018"/>
      <w:r/>
      <w:bookmarkEnd w:id="1019"/>
      <w:r/>
      <w:bookmarkEnd w:id="1020"/>
      <w:r/>
      <w:r>
        <w:rPr>
          <w:spacing w:val="0"/>
        </w:rPr>
      </w:r>
    </w:p>
    <w:p>
      <w:pPr>
        <w:pStyle w:val="12960"/>
        <w:pBdr/>
        <w:spacing/>
        <w:ind/>
        <w:rPr/>
      </w:pPr>
      <w:r>
        <w:t xml:space="preserve">Преобладающим видом топлива на котельных муниципального образования Астаповское является природный газ. Доля установленной мощности котельных, работающих на природном газе, составляет 100%.</w:t>
      </w:r>
      <w:r/>
    </w:p>
    <w:p>
      <w:pPr>
        <w:pStyle w:val="10534"/>
        <w:numPr>
          <w:ilvl w:val="0"/>
          <w:numId w:val="166"/>
        </w:numPr>
        <w:pBdr/>
        <w:spacing/>
        <w:ind w:hanging="357" w:left="1066"/>
        <w:rPr>
          <w:spacing w:val="0"/>
        </w:rPr>
      </w:pPr>
      <w:r/>
      <w:bookmarkStart w:id="1021" w:name="_Toc198483626"/>
      <w:r/>
      <w:bookmarkStart w:id="1022" w:name="_Hlk198491078"/>
      <w:r/>
      <w:bookmarkStart w:id="1023" w:name="_Toc84971067"/>
      <w:r/>
      <w:bookmarkStart w:id="1024" w:name="_Toc9154921"/>
      <w:r/>
      <w:bookmarkStart w:id="1025" w:name="_Toc166767286"/>
      <w:r/>
      <w:bookmarkEnd w:id="1022"/>
      <w:r>
        <w:rPr>
          <w:spacing w:val="0"/>
        </w:rPr>
        <w:t xml:space="preserve">Приоритетное направление развития топливного баланса поселения, муниципального образования</w:t>
      </w:r>
      <w:bookmarkEnd w:id="1021"/>
      <w:r/>
      <w:bookmarkEnd w:id="1023"/>
      <w:r/>
      <w:bookmarkEnd w:id="1024"/>
      <w:r/>
      <w:bookmarkEnd w:id="1025"/>
      <w:r/>
      <w:r>
        <w:rPr>
          <w:spacing w:val="0"/>
        </w:rPr>
      </w:r>
    </w:p>
    <w:p>
      <w:pPr>
        <w:pStyle w:val="12960"/>
        <w:pBdr/>
        <w:spacing/>
        <w:ind/>
        <w:rPr/>
      </w:pPr>
      <w:r/>
      <w:r/>
      <w:r/>
      <w:bookmarkStart w:id="1028" w:name="_Hlk214001092"/>
      <w:r/>
      <w:bookmarkStart w:id="1029" w:name="_Hlk215457853"/>
      <w:r/>
      <w:bookmarkStart w:id="1030" w:name="_Hlk212949442"/>
      <w:r/>
      <w:bookmarkEnd w:id="1028"/>
      <w:r/>
      <w:bookmarkEnd w:id="1029"/>
      <w:r>
        <w:t xml:space="preserve">Преобладающим видом топлива на котельных муниципального образования Астаповское является природный газ. Доля установленной мощности котельных, работающих на природном газе, составляет 100%, </w:t>
      </w:r>
      <w:bookmarkEnd w:id="1030"/>
      <w:r>
        <w:t xml:space="preserve">на конец периода планирования использование топлива на котельных не изменится.</w:t>
      </w:r>
      <w:r/>
    </w:p>
    <w:p>
      <w:pPr>
        <w:pStyle w:val="12960"/>
        <w:pBdr/>
        <w:spacing/>
        <w:ind/>
        <w:rPr/>
      </w:pPr>
      <w:r/>
      <w:r/>
    </w:p>
    <w:p>
      <w:pPr>
        <w:pStyle w:val="10534"/>
        <w:numPr>
          <w:ilvl w:val="0"/>
          <w:numId w:val="0"/>
        </w:numPr>
        <w:pBdr/>
        <w:spacing/>
        <w:ind w:firstLine="0" w:left="0"/>
        <w:rPr>
          <w:spacing w:val="0"/>
        </w:rPr>
        <w:sectPr>
          <w:headerReference w:type="default" r:id="rId164"/>
          <w:headerReference w:type="first" r:id="rId165"/>
          <w:footerReference w:type="default" r:id="rId432"/>
          <w:footerReference w:type="first" r:id="rId433"/>
          <w:footnotePr/>
          <w:endnotePr/>
          <w:type w:val="nextPage"/>
          <w:pgSz w:h="16838" w:orient="portrait" w:w="11906"/>
          <w:pgMar w:top="1134" w:right="850" w:bottom="1134" w:left="1701" w:header="567" w:footer="454" w:gutter="0"/>
          <w:cols w:num="1" w:sep="0" w:space="1701" w:equalWidth="1"/>
        </w:sectPr>
      </w:pPr>
      <w:r/>
      <w:bookmarkStart w:id="1031" w:name="_Hlk198491078"/>
      <w:r/>
      <w:bookmarkStart w:id="1032" w:name="_Toc84971068"/>
      <w:r/>
      <w:bookmarkStart w:id="1033" w:name="_Toc9154922"/>
      <w:r/>
      <w:bookmarkStart w:id="1034" w:name="_Hlk214001092"/>
      <w:r/>
      <w:bookmarkStart w:id="1035" w:name="_Hlk215457853"/>
      <w:r/>
      <w:bookmarkStart w:id="1036" w:name="_Toc198483627"/>
      <w:r/>
      <w:bookmarkStart w:id="1037" w:name="_Toc166767287"/>
      <w:r/>
      <w:bookmarkEnd w:id="1031"/>
      <w:r/>
      <w:bookmarkEnd w:id="1034"/>
      <w:r/>
      <w:bookmarkEnd w:id="1035"/>
      <w:r>
        <w:rPr>
          <w:spacing w:val="0"/>
        </w:rPr>
        <w:t xml:space="preserve">ГЛАВА 11. ОЦЕНКА НАДЕЖНОСТИ ТЕПЛОСНАБЖЕНИЯ</w:t>
      </w:r>
      <w:bookmarkEnd w:id="1032"/>
      <w:r/>
      <w:bookmarkEnd w:id="1033"/>
      <w:r/>
      <w:bookmarkEnd w:id="1036"/>
      <w:r/>
      <w:bookmarkEnd w:id="1037"/>
      <w:r/>
      <w:r>
        <w:rPr>
          <w:spacing w:val="0"/>
        </w:rPr>
      </w:r>
    </w:p>
    <w:p>
      <w:pPr>
        <w:pStyle w:val="10534"/>
        <w:numPr>
          <w:ilvl w:val="0"/>
          <w:numId w:val="167"/>
        </w:numPr>
        <w:pBdr/>
        <w:spacing/>
        <w:ind/>
        <w:rPr>
          <w:rFonts w:ascii="Times New Roman" w:hAnsi="Times New Roman" w:eastAsia="Times New Roman" w:cs="Times New Roman"/>
          <w:b/>
          <w:smallCaps/>
          <w:spacing w:val="0"/>
          <w:sz w:val="28"/>
          <w:szCs w:val="36"/>
          <w:lang w:eastAsia="en-US" w:bidi="en-US"/>
        </w:rPr>
      </w:pPr>
      <w:r/>
      <w:bookmarkStart w:id="1038" w:name="_Toc9154923"/>
      <w:r/>
      <w:bookmarkStart w:id="1039" w:name="_Toc198483628"/>
      <w:r/>
      <w:bookmarkStart w:id="1040" w:name="_Toc84971069"/>
      <w:r/>
      <w:bookmarkStart w:id="1041" w:name="_Toc166767288"/>
      <w:r>
        <w:rPr>
          <w:rFonts w:eastAsia="Times New Roman" w:cs="Times New Roman"/>
          <w:b/>
          <w:smallCaps/>
          <w:spacing w:val="0"/>
          <w:sz w:val="28"/>
          <w:szCs w:val="36"/>
          <w:lang w:eastAsia="en-US" w:bidi="en-US"/>
        </w:rPr>
        <w:t xml:space="preserve">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038"/>
      <w:r/>
      <w:bookmarkEnd w:id="1039"/>
      <w:r/>
      <w:bookmarkEnd w:id="1040"/>
      <w:r/>
      <w:bookmarkEnd w:id="1041"/>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Применительно к системам теплоснабжения надёжность можно рассматривать как свойство системы: </w:t>
      </w:r>
      <w:r/>
    </w:p>
    <w:p>
      <w:pPr>
        <w:pStyle w:val="12960"/>
        <w:pBdr/>
        <w:spacing/>
        <w:ind/>
        <w:rPr/>
      </w:pPr>
      <w:r>
        <w:t xml:space="preserve">1. Бесперебойно снабжать потребителей в необходимом количестве тепловой энергией требуемого качества. </w:t>
      </w:r>
      <w:r/>
    </w:p>
    <w:p>
      <w:pPr>
        <w:pStyle w:val="12960"/>
        <w:pBdr/>
        <w:spacing/>
        <w:ind/>
        <w:rPr/>
      </w:pPr>
      <w:r>
        <w:t xml:space="preserve">2. Не допускать ситуаций, опасных для людей и окружающей среды. </w:t>
      </w:r>
      <w:r/>
    </w:p>
    <w:p>
      <w:pPr>
        <w:pStyle w:val="12960"/>
        <w:pBdr/>
        <w:spacing/>
        <w:ind/>
        <w:rPr/>
      </w:pPr>
      <w: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w:t>
      </w:r>
      <w:r>
        <w:t xml:space="preserve">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r/>
    </w:p>
    <w:p>
      <w:pPr>
        <w:pStyle w:val="12960"/>
        <w:pBdr/>
        <w:spacing/>
        <w:ind/>
        <w:rPr/>
      </w:pPr>
      <w:r>
        <w:rPr>
          <w:b/>
        </w:rPr>
        <w:t xml:space="preserve">Резервирование</w:t>
      </w:r>
      <w:r>
        <w:t xml:space="preserve"> – один из основных методов повышения надёжност</w:t>
      </w:r>
      <w:r>
        <w:t xml:space="preserve">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w:t>
      </w:r>
      <w:r>
        <w:t xml:space="preserve">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r/>
    </w:p>
    <w:p>
      <w:pPr>
        <w:pStyle w:val="12960"/>
        <w:pBdr/>
        <w:spacing/>
        <w:ind/>
        <w:rPr/>
      </w:pPr>
      <w:r>
        <w:t xml:space="preserve">Надёжность системы теплоснабжения можно оценить исходя из показателей износа тепломеханического оборудования. </w:t>
      </w:r>
      <w:r/>
    </w:p>
    <w:p>
      <w:pPr>
        <w:pStyle w:val="12960"/>
        <w:pBdr/>
        <w:spacing/>
        <w:ind/>
        <w:rPr/>
      </w:pPr>
      <w:r>
        <w:t xml:space="preserve">Показатели (критерии) надежности.</w:t>
      </w:r>
      <w:r/>
    </w:p>
    <w:p>
      <w:pPr>
        <w:pStyle w:val="12960"/>
        <w:pBdr/>
        <w:spacing/>
        <w:ind/>
        <w:rPr/>
      </w:pPr>
      <w: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r/>
    </w:p>
    <w:p>
      <w:pPr>
        <w:pStyle w:val="12960"/>
        <w:pBdr/>
        <w:spacing/>
        <w:ind/>
        <w:rPr/>
      </w:pPr>
      <w:r>
        <w:rPr>
          <w:b/>
        </w:rPr>
        <w:t xml:space="preserve">Вероятность безотказной работы системы [Р] </w:t>
      </w:r>
      <w: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r/>
    </w:p>
    <w:p>
      <w:pPr>
        <w:pStyle w:val="12960"/>
        <w:pBdr/>
        <w:spacing/>
        <w:ind/>
        <w:rPr/>
      </w:pPr>
      <w:r>
        <w:rPr>
          <w:b/>
        </w:rPr>
        <w:t xml:space="preserve">Коэффициент готовности системы [Кг] </w:t>
      </w:r>
      <w: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r/>
    </w:p>
    <w:p>
      <w:pPr>
        <w:pStyle w:val="12960"/>
        <w:pBdr/>
        <w:spacing/>
        <w:ind/>
        <w:rPr/>
      </w:pPr>
      <w:r>
        <w:rPr>
          <w:b/>
        </w:rPr>
        <w:t xml:space="preserve">Живучесть системы [Ж] </w:t>
      </w:r>
      <w: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r/>
    </w:p>
    <w:p>
      <w:pPr>
        <w:pStyle w:val="12960"/>
        <w:pBdr/>
        <w:spacing/>
        <w:ind/>
        <w:rPr/>
      </w:pPr>
      <w:r>
        <w:t xml:space="preserve">Вероятность безотказной работы [P].</w:t>
      </w:r>
      <w:r/>
    </w:p>
    <w:p>
      <w:pPr>
        <w:pStyle w:val="12960"/>
        <w:pBdr/>
        <w:spacing/>
        <w:ind/>
        <w:rPr/>
      </w:pPr>
      <w:r>
        <w:t xml:space="preserve">Вероятность безотказной работы [Р] для каждого </w:t>
      </w:r>
      <w:r>
        <w:rPr>
          <w:i/>
        </w:rPr>
        <w:t xml:space="preserve">j</w:t>
      </w:r>
      <w:r>
        <w:t xml:space="preserve">-го участка трубопровода в течение одного года вычисляется с помощью плотности потока отказов </w:t>
      </w:r>
      <w:r>
        <w:rPr>
          <w:i/>
        </w:rPr>
        <w:t xml:space="preserve">ωjР </w:t>
      </w:r>
      <w:r/>
    </w:p>
    <w:p>
      <w:pPr>
        <w:pStyle w:val="12960"/>
        <w:pBdr/>
        <w:spacing/>
        <w:ind/>
        <w:jc w:val="center"/>
        <w:rPr/>
      </w:pPr>
      <w:r>
        <w:t xml:space="preserve">Р =е</w:t>
      </w:r>
      <w:r>
        <w:rPr>
          <w:vertAlign w:val="superscript"/>
        </w:rPr>
        <w:t xml:space="preserve">(-ωjР)</w:t>
      </w:r>
      <w:r>
        <w:t xml:space="preserve">;</w:t>
      </w:r>
      <w:r/>
    </w:p>
    <w:p>
      <w:pPr>
        <w:pStyle w:val="12960"/>
        <w:pBdr/>
        <w:spacing/>
        <w:ind/>
        <w:rPr/>
      </w:pPr>
      <w:r>
        <w:t xml:space="preserve">Вычисленные на предварительном этапе плотности потока отказов </w:t>
      </w:r>
      <w:r>
        <w:rPr>
          <w:i/>
        </w:rPr>
        <w:t xml:space="preserve">ωjЕ </w:t>
      </w:r>
      <w:r>
        <w:t xml:space="preserve">и </w:t>
      </w:r>
      <w:r>
        <w:rPr>
          <w:i/>
        </w:rPr>
        <w:t xml:space="preserve">ωjР</w:t>
      </w:r>
      <w: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r/>
    </w:p>
    <w:p>
      <w:pPr>
        <w:pStyle w:val="12960"/>
        <w:pBdr/>
        <w:spacing/>
        <w:ind/>
        <w:rPr/>
      </w:pPr>
      <w:r>
        <w:t xml:space="preserve">Вероятность безотказной работы [Р] определяется по формуле: </w:t>
      </w:r>
      <w:r/>
    </w:p>
    <w:p>
      <w:pPr>
        <w:pStyle w:val="12960"/>
        <w:pBdr/>
        <w:spacing/>
        <w:ind/>
        <w:jc w:val="center"/>
        <w:rPr/>
      </w:pPr>
      <w:r>
        <w:t xml:space="preserve">Р = е</w:t>
      </w:r>
      <w:r>
        <w:rPr>
          <w:vertAlign w:val="superscript"/>
        </w:rPr>
        <w:t xml:space="preserve">-ω</w:t>
      </w:r>
      <w:r>
        <w:t xml:space="preserve">;</w:t>
      </w:r>
      <w:r/>
    </w:p>
    <w:p>
      <w:pPr>
        <w:pStyle w:val="12960"/>
        <w:pBdr/>
        <w:spacing/>
        <w:ind/>
        <w:rPr/>
      </w:pPr>
      <w: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r/>
    </w:p>
    <w:p>
      <w:pPr>
        <w:pStyle w:val="12960"/>
        <w:pBdr/>
        <w:spacing/>
        <w:ind/>
        <w:jc w:val="center"/>
        <w:rPr/>
      </w:pPr>
      <w:r>
        <w:t xml:space="preserve">ω = а·m·К</w:t>
      </w:r>
      <w:r>
        <w:rPr>
          <w:vertAlign w:val="subscript"/>
        </w:rPr>
        <w:t xml:space="preserve">с</w:t>
      </w:r>
      <w:r>
        <w:t xml:space="preserve">·d</w:t>
      </w:r>
      <w:r>
        <w:rPr>
          <w:vertAlign w:val="superscript"/>
        </w:rPr>
        <w:t xml:space="preserve">0,208</w:t>
      </w:r>
      <w:r>
        <w:t xml:space="preserve">;</w:t>
      </w:r>
      <w:r/>
    </w:p>
    <w:p>
      <w:pPr>
        <w:pStyle w:val="12960"/>
        <w:pBdr/>
        <w:spacing/>
        <w:ind/>
        <w:rPr/>
      </w:pPr>
      <w:r>
        <w:t xml:space="preserve">где:</w:t>
      </w:r>
      <w:r/>
    </w:p>
    <w:p>
      <w:pPr>
        <w:pStyle w:val="12960"/>
        <w:pBdr/>
        <w:spacing/>
        <w:ind/>
        <w:rPr/>
      </w:pPr>
      <w:r>
        <w:t xml:space="preserve">а – эмпирический коэффициент. </w:t>
      </w:r>
      <w:r/>
    </w:p>
    <w:p>
      <w:pPr>
        <w:pStyle w:val="12960"/>
        <w:pBdr/>
        <w:spacing/>
        <w:ind/>
        <w:rPr/>
      </w:pPr>
      <w:r>
        <w:t xml:space="preserve">При нормативном уровне безотказности, а = 0,00003; </w:t>
      </w:r>
      <w:r/>
    </w:p>
    <w:p>
      <w:pPr>
        <w:pStyle w:val="12960"/>
        <w:pBdr/>
        <w:spacing/>
        <w:ind/>
        <w:rPr/>
      </w:pPr>
      <w: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r/>
    </w:p>
    <w:p>
      <w:pPr>
        <w:pStyle w:val="12960"/>
        <w:pBdr/>
        <w:spacing/>
        <w:ind/>
        <w:rPr/>
      </w:pPr>
      <w:r>
        <w:t xml:space="preserve">Кс – коэффициент, уч</w:t>
      </w:r>
      <w:r>
        <w:t xml:space="preserve">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r/>
    </w:p>
    <w:p>
      <w:pPr>
        <w:pStyle w:val="12960"/>
        <w:pBdr/>
        <w:spacing/>
        <w:ind/>
        <w:jc w:val="center"/>
        <w:rPr/>
      </w:pPr>
      <w:r>
        <w:t xml:space="preserve">К</w:t>
      </w:r>
      <w:r>
        <w:rPr>
          <w:vertAlign w:val="subscript"/>
        </w:rPr>
        <w:t xml:space="preserve">с </w:t>
      </w:r>
      <w:r>
        <w:t xml:space="preserve">= 3·И</w:t>
      </w:r>
      <w:r>
        <w:rPr>
          <w:vertAlign w:val="superscript"/>
        </w:rPr>
        <w:t xml:space="preserve">2,6</w:t>
      </w:r>
      <w:r/>
    </w:p>
    <w:p>
      <w:pPr>
        <w:pStyle w:val="12960"/>
        <w:pBdr/>
        <w:spacing/>
        <w:ind/>
        <w:jc w:val="center"/>
        <w:rPr/>
      </w:pPr>
      <w:r>
        <w:t xml:space="preserve">И = n/no</w:t>
      </w:r>
      <w:r/>
    </w:p>
    <w:p>
      <w:pPr>
        <w:pStyle w:val="12960"/>
        <w:pBdr/>
        <w:spacing/>
        <w:ind/>
        <w:rPr/>
      </w:pPr>
      <w:r>
        <w:t xml:space="preserve">где:</w:t>
      </w:r>
      <w:r/>
    </w:p>
    <w:p>
      <w:pPr>
        <w:pStyle w:val="12960"/>
        <w:pBdr/>
        <w:spacing/>
        <w:ind/>
        <w:rPr/>
      </w:pPr>
      <w:r>
        <w:t xml:space="preserve">И – индекс утраты ресурса; </w:t>
      </w:r>
      <w:r/>
    </w:p>
    <w:p>
      <w:pPr>
        <w:pStyle w:val="12960"/>
        <w:pBdr/>
        <w:spacing/>
        <w:ind/>
        <w:rPr/>
      </w:pPr>
      <w:r>
        <w:t xml:space="preserve">№ – </w:t>
      </w:r>
      <w:r>
        <w:t xml:space="preserve">срок службы теплопровода с момента ввода в эксплуатацию (в годах); </w:t>
      </w:r>
      <w:r/>
    </w:p>
    <w:p>
      <w:pPr>
        <w:pStyle w:val="12960"/>
        <w:pBdr/>
        <w:spacing/>
        <w:ind/>
        <w:rPr/>
      </w:pPr>
      <w:r>
        <w:t xml:space="preserve">no – расчетный срок службы теплопровода (в годах). </w:t>
      </w:r>
      <w:r/>
    </w:p>
    <w:p>
      <w:pPr>
        <w:pStyle w:val="12960"/>
        <w:pBdr/>
        <w:spacing/>
        <w:ind/>
        <w:rPr/>
      </w:pPr>
      <w:r>
        <w:t xml:space="preserve">Нормативные (минимально допустимые) показатели вероятности безотказной работы согласно СП 74.13330.2023 принимаются для: </w:t>
      </w:r>
      <w:r/>
    </w:p>
    <w:p>
      <w:pPr>
        <w:pStyle w:val="12960"/>
        <w:pBdr/>
        <w:spacing/>
        <w:ind/>
        <w:rPr/>
      </w:pPr>
      <w:r>
        <w:t xml:space="preserve">- источника тепловой энергии – Рит = 0,97; </w:t>
      </w:r>
      <w:r/>
    </w:p>
    <w:p>
      <w:pPr>
        <w:pStyle w:val="12960"/>
        <w:pBdr/>
        <w:spacing/>
        <w:ind/>
        <w:rPr/>
      </w:pPr>
      <w:r>
        <w:t xml:space="preserve">- тепловых сетей – Ртс = 0,90; </w:t>
      </w:r>
      <w:r/>
    </w:p>
    <w:p>
      <w:pPr>
        <w:pStyle w:val="12960"/>
        <w:pBdr/>
        <w:spacing/>
        <w:ind/>
        <w:rPr/>
      </w:pPr>
      <w:r>
        <w:t xml:space="preserve">- потребителя теплоты – Рпт = 0,99; </w:t>
      </w:r>
      <w:r/>
    </w:p>
    <w:p>
      <w:pPr>
        <w:pStyle w:val="12960"/>
        <w:pBdr/>
        <w:spacing/>
        <w:ind/>
        <w:jc w:val="center"/>
        <w:rPr/>
      </w:pPr>
      <w:r>
        <w:t xml:space="preserve">СЦТ – Рсцт = 0,9*0,97*0,99 = 0,86.</w:t>
      </w:r>
      <w:r/>
    </w:p>
    <w:p>
      <w:pPr>
        <w:pStyle w:val="12960"/>
        <w:pBdr/>
        <w:spacing/>
        <w:ind/>
        <w:rPr/>
      </w:pPr>
      <w: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r/>
    </w:p>
    <w:p>
      <w:pPr>
        <w:pStyle w:val="12960"/>
        <w:pBdr/>
        <w:spacing/>
        <w:ind/>
        <w:rPr/>
      </w:pPr>
      <w:r>
        <w:t xml:space="preserve">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r/>
    </w:p>
    <w:p>
      <w:pPr>
        <w:pStyle w:val="12960"/>
        <w:pBdr/>
        <w:spacing/>
        <w:ind/>
        <w:rPr/>
      </w:pPr>
      <w:r>
        <w:t xml:space="preserve">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r/>
    </w:p>
    <w:p>
      <w:pPr>
        <w:pStyle w:val="13832"/>
        <w:numPr>
          <w:ilvl w:val="0"/>
          <w:numId w:val="61"/>
        </w:numPr>
        <w:pBdr/>
        <w:spacing/>
        <w:ind w:hanging="284" w:left="1135"/>
        <w:rPr>
          <w:lang w:eastAsia="ru-RU"/>
        </w:rPr>
      </w:pPr>
      <w:r>
        <w:rPr>
          <w:lang w:eastAsia="ru-RU"/>
        </w:rPr>
        <w:t xml:space="preserve">источника теплоты Рит = 0,97;</w:t>
      </w:r>
      <w:r>
        <w:rPr>
          <w:lang w:eastAsia="ru-RU"/>
        </w:rPr>
      </w:r>
    </w:p>
    <w:p>
      <w:pPr>
        <w:pStyle w:val="13832"/>
        <w:numPr>
          <w:ilvl w:val="0"/>
          <w:numId w:val="61"/>
        </w:numPr>
        <w:pBdr/>
        <w:spacing/>
        <w:ind w:hanging="284" w:left="1135"/>
        <w:rPr>
          <w:lang w:eastAsia="ru-RU"/>
        </w:rPr>
      </w:pPr>
      <w:r>
        <w:rPr>
          <w:lang w:eastAsia="ru-RU"/>
        </w:rPr>
        <w:t xml:space="preserve">тепловых сетей Ртс = 0,9;</w:t>
      </w:r>
      <w:r>
        <w:rPr>
          <w:lang w:eastAsia="ru-RU"/>
        </w:rPr>
      </w:r>
    </w:p>
    <w:p>
      <w:pPr>
        <w:pStyle w:val="13832"/>
        <w:numPr>
          <w:ilvl w:val="0"/>
          <w:numId w:val="61"/>
        </w:numPr>
        <w:pBdr/>
        <w:spacing/>
        <w:ind w:hanging="284" w:left="1135"/>
        <w:rPr>
          <w:lang w:eastAsia="ru-RU"/>
        </w:rPr>
      </w:pPr>
      <w:r>
        <w:rPr>
          <w:lang w:eastAsia="ru-RU"/>
        </w:rPr>
        <w:t xml:space="preserve">потребителя теплоты Рпт = 0,99;</w:t>
      </w:r>
      <w:r>
        <w:rPr>
          <w:lang w:eastAsia="ru-RU"/>
        </w:rPr>
      </w:r>
    </w:p>
    <w:p>
      <w:pPr>
        <w:pStyle w:val="13832"/>
        <w:numPr>
          <w:ilvl w:val="0"/>
          <w:numId w:val="61"/>
        </w:numPr>
        <w:pBdr/>
        <w:spacing/>
        <w:ind w:hanging="284" w:left="1135"/>
        <w:rPr>
          <w:lang w:eastAsia="ru-RU"/>
        </w:rPr>
      </w:pPr>
      <w:r>
        <w:rPr>
          <w:lang w:eastAsia="ru-RU"/>
        </w:rPr>
        <w:t xml:space="preserve">СЦТ в целом Рсцт = 0,9</w:t>
      </w:r>
      <w:r/>
      <m:oMath>
        <m:r>
          <w:rPr>
            <w:rFonts w:ascii="Cambria Math" w:hAnsi="Cambria Math"/>
          </w:rPr>
          <m:rPr/>
          <m:t>∙</m:t>
        </m:r>
      </m:oMath>
      <w:r>
        <w:rPr>
          <w:lang w:eastAsia="ru-RU"/>
        </w:rPr>
        <w:t xml:space="preserve">0,97</w:t>
      </w:r>
      <w:r/>
      <m:oMath>
        <m:r>
          <w:rPr>
            <w:rFonts w:ascii="Cambria Math" w:hAnsi="Cambria Math"/>
          </w:rPr>
          <m:rPr/>
          <m:t>∙</m:t>
        </m:r>
      </m:oMath>
      <w:r>
        <w:rPr>
          <w:lang w:eastAsia="ru-RU"/>
        </w:rPr>
        <w:t xml:space="preserve">0,99 = 0,86.</w:t>
      </w:r>
      <w:r>
        <w:rPr>
          <w:lang w:eastAsia="ru-RU"/>
        </w:rPr>
      </w:r>
    </w:p>
    <w:p>
      <w:pPr>
        <w:pStyle w:val="12960"/>
        <w:pBdr/>
        <w:spacing/>
        <w:ind/>
        <w:rPr/>
      </w:pPr>
      <w:r>
        <w:t xml:space="preserve">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r/>
    </w:p>
    <w:p>
      <w:pPr>
        <w:pStyle w:val="12960"/>
        <w:pBdr/>
        <w:spacing/>
        <w:ind/>
        <w:rPr/>
      </w:pPr>
      <w:r>
        <w:t xml:space="preserve">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r/>
    </w:p>
    <w:p>
      <w:pPr>
        <w:pStyle w:val="12960"/>
        <w:pBdr/>
        <w:spacing/>
        <w:ind/>
        <w:rPr/>
      </w:pPr>
      <w:r>
        <w:t xml:space="preserve">2. На первом этапе расчета устанавливается перечень участков теплопроводов, составляющих этот путь.</w:t>
      </w:r>
      <w:r/>
    </w:p>
    <w:p>
      <w:pPr>
        <w:pStyle w:val="12960"/>
        <w:pBdr/>
        <w:spacing/>
        <w:ind/>
        <w:rPr/>
      </w:pPr>
      <w:r>
        <w:t xml:space="preserve">3. Для каждого участка тепловой сети устанавливаются: год его ввода в эксплуатацию, диаметр и протяженность.</w:t>
      </w:r>
      <w:r/>
    </w:p>
    <w:p>
      <w:pPr>
        <w:pStyle w:val="12960"/>
        <w:pBdr/>
        <w:spacing/>
        <w:ind/>
        <w:rPr/>
      </w:pPr>
      <w: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r/>
    </w:p>
    <w:p>
      <w:pPr>
        <w:pStyle w:val="13832"/>
        <w:keepNext w:val="false"/>
        <w:widowControl w:val="true"/>
        <w:numPr>
          <w:ilvl w:val="0"/>
          <w:numId w:val="61"/>
        </w:numPr>
        <w:pBdr/>
        <w:bidi w:val="false"/>
        <w:spacing w:after="0" w:before="0" w:line="360" w:lineRule="auto"/>
        <w:ind w:right="0" w:firstLine="567" w:left="0"/>
        <w:jc w:val="both"/>
        <w:rPr>
          <w:lang w:eastAsia="ru-RU"/>
        </w:rPr>
      </w:pPr>
      <w:r/>
      <m:oMath>
        <m:sSub>
          <m:sSubPr>
            <m:ctrlPr/>
          </m:sSubPr>
          <m:e>
            <m:r>
              <w:rPr>
                <w:rFonts w:ascii="Cambria Math" w:hAnsi="Cambria Math"/>
              </w:rPr>
              <m:rPr/>
              <m:t>λ</m:t>
            </m:r>
          </m:e>
          <m:sub>
            <m:r>
              <w:rPr>
                <w:rFonts w:ascii="Cambria Math" w:hAnsi="Cambria Math"/>
              </w:rPr>
              <m:rPr/>
              <m:t>0</m:t>
            </m:r>
          </m:sub>
        </m:sSub>
      </m:oMath>
      <w:r>
        <w:rPr>
          <w:lang w:eastAsia="ru-RU"/>
        </w:rPr>
        <w:t xml:space="preserve">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r>
        <w:rPr>
          <w:lang w:eastAsia="ru-RU"/>
        </w:rPr>
      </w:r>
    </w:p>
    <w:p>
      <w:pPr>
        <w:pStyle w:val="13832"/>
        <w:keepNext w:val="false"/>
        <w:widowControl w:val="true"/>
        <w:numPr>
          <w:ilvl w:val="0"/>
          <w:numId w:val="61"/>
        </w:numPr>
        <w:pBdr/>
        <w:bidi w:val="false"/>
        <w:spacing w:after="0" w:before="0" w:line="360" w:lineRule="auto"/>
        <w:ind w:right="0" w:hanging="283" w:left="0"/>
        <w:jc w:val="both"/>
        <w:rPr>
          <w:lang w:eastAsia="ru-RU"/>
        </w:rPr>
      </w:pPr>
      <w:r>
        <w:rPr>
          <w:lang w:eastAsia="ru-RU"/>
        </w:rPr>
        <w:t xml:space="preserve">средневзвешенная частота (интенсивность) отказов для участков тепловой сети с продолжительностью эксплуатации от 1 до 3 лет;</w:t>
      </w:r>
      <w:r>
        <w:rPr>
          <w:lang w:eastAsia="ru-RU"/>
        </w:rPr>
      </w:r>
    </w:p>
    <w:p>
      <w:pPr>
        <w:pStyle w:val="13832"/>
        <w:keepNext w:val="false"/>
        <w:widowControl w:val="true"/>
        <w:numPr>
          <w:ilvl w:val="0"/>
          <w:numId w:val="61"/>
        </w:numPr>
        <w:pBdr/>
        <w:bidi w:val="false"/>
        <w:spacing w:after="0" w:before="0" w:line="360" w:lineRule="auto"/>
        <w:ind w:right="0" w:firstLine="567" w:left="0"/>
        <w:jc w:val="both"/>
        <w:rPr>
          <w:lang w:eastAsia="ru-RU"/>
        </w:rPr>
      </w:pPr>
      <w:r>
        <w:rPr>
          <w:lang w:eastAsia="ru-RU"/>
        </w:rPr>
        <w:t xml:space="preserve">средневзвешенная частота (интенсивность) отказов для участков тепловой сети с продолжительностью эксплуатации от 17 и более лет;</w:t>
      </w:r>
      <w:r>
        <w:rPr>
          <w:lang w:eastAsia="ru-RU"/>
        </w:rPr>
      </w:r>
    </w:p>
    <w:p>
      <w:pPr>
        <w:pStyle w:val="13832"/>
        <w:keepNext w:val="false"/>
        <w:widowControl w:val="true"/>
        <w:numPr>
          <w:ilvl w:val="0"/>
          <w:numId w:val="61"/>
        </w:numPr>
        <w:pBdr/>
        <w:bidi w:val="false"/>
        <w:spacing w:after="0" w:before="0" w:line="360" w:lineRule="auto"/>
        <w:ind w:right="0" w:firstLine="510" w:left="0"/>
        <w:jc w:val="both"/>
        <w:rPr>
          <w:lang w:eastAsia="ru-RU"/>
        </w:rPr>
      </w:pPr>
      <w:r>
        <w:rPr>
          <w:lang w:eastAsia="ru-RU"/>
        </w:rPr>
        <w:t xml:space="preserve">средневзвешенная продолжительность ремонта (восстановления) участков тепловой сети;</w:t>
      </w:r>
      <w:r>
        <w:rPr>
          <w:lang w:eastAsia="ru-RU"/>
        </w:rPr>
      </w:r>
    </w:p>
    <w:p>
      <w:pPr>
        <w:pStyle w:val="13832"/>
        <w:keepNext w:val="false"/>
        <w:widowControl w:val="true"/>
        <w:numPr>
          <w:ilvl w:val="0"/>
          <w:numId w:val="61"/>
        </w:numPr>
        <w:pBdr/>
        <w:bidi w:val="false"/>
        <w:spacing w:after="0" w:before="0" w:line="360" w:lineRule="auto"/>
        <w:ind w:right="0" w:firstLine="567" w:left="0"/>
        <w:jc w:val="both"/>
        <w:rPr>
          <w:lang w:eastAsia="ru-RU"/>
        </w:rPr>
      </w:pPr>
      <w:r>
        <w:rPr>
          <w:lang w:eastAsia="ru-RU"/>
        </w:rPr>
        <w:t xml:space="preserve">средневзвешенная продолжительность ремонта (восстановления) участков тепловой сети в зависимости от диаметра участка.</w:t>
      </w:r>
      <w:r>
        <w:rPr>
          <w:lang w:eastAsia="ru-RU"/>
        </w:rPr>
      </w:r>
    </w:p>
    <w:p>
      <w:pPr>
        <w:pStyle w:val="12960"/>
        <w:pBdr/>
        <w:spacing/>
        <w:ind/>
        <w:rPr/>
      </w:pPr>
      <w:r>
        <w:t xml:space="preserve">Частота (интенсивность) отказов каждого участка тепловой сети измеряется с помощью показателя </w:t>
      </w:r>
      <w:r/>
      <m:oMath>
        <m:sSub>
          <m:sSubPr>
            <m:ctrlPr/>
          </m:sSubPr>
          <m:e>
            <m:r>
              <w:rPr>
                <w:rFonts w:ascii="Cambria Math" w:hAnsi="Cambria Math"/>
              </w:rPr>
              <m:rPr/>
              <m:t>λ</m:t>
            </m:r>
          </m:e>
          <m:sub>
            <m:r>
              <w:rPr>
                <w:rFonts w:ascii="Cambria Math" w:hAnsi="Cambria Math"/>
              </w:rPr>
              <m:rPr/>
              <m:t>i</m:t>
            </m:r>
          </m:sub>
        </m:sSub>
      </m:oMath>
      <w:r>
        <w:t xml:space="preserve">, который имеет размерность [1/км/год] или [1/км/час].</w:t>
      </w:r>
      <w:r/>
    </w:p>
    <w:p>
      <w:pPr>
        <w:pStyle w:val="12960"/>
        <w:pBdr/>
        <w:spacing/>
        <w:ind/>
        <w:rPr/>
      </w:pPr>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w:t>
      </w:r>
      <w:r>
        <w:t xml:space="preserve">,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r/>
    </w:p>
    <w:p>
      <w:pPr>
        <w:pStyle w:val="10533"/>
        <w:pBdr/>
        <w:spacing/>
        <w:ind/>
        <w:jc w:val="center"/>
        <w:rPr/>
      </w:pPr>
      <w:r/>
      <m:oMathPara>
        <m:oMathParaPr>
          <m:jc m:val="center"/>
        </m:oMathParaPr>
        <m:oMath>
          <m:sSub>
            <m:sSubPr>
              <m:ctrlPr/>
            </m:sSubPr>
            <m:e>
              <m:r>
                <w:rPr>
                  <w:rFonts w:ascii="Cambria Math" w:hAnsi="Cambria Math"/>
                </w:rPr>
                <m:rPr/>
                <m:t>P</m:t>
              </m:r>
            </m:e>
            <m:sub>
              <m:r>
                <w:rPr>
                  <w:rFonts w:ascii="Cambria Math" w:hAnsi="Cambria Math"/>
                </w:rPr>
                <m:rPr/>
                <m:t>c</m:t>
              </m:r>
            </m:sub>
          </m:sSub>
          <m:r>
            <w:rPr>
              <w:rFonts w:ascii="Cambria Math" w:hAnsi="Cambria Math"/>
            </w:rPr>
            <m:rPr/>
            <m:t>=</m:t>
          </m:r>
          <m:nary>
            <m:naryPr>
              <m:chr m:val="∏"/>
              <m:grow m:val="off"/>
              <m:ctrlPr/>
            </m:naryPr>
            <m:sub>
              <m:r>
                <w:rPr>
                  <w:rFonts w:ascii="Cambria Math" w:hAnsi="Cambria Math"/>
                </w:rPr>
                <m:rPr/>
                <m:t>i</m:t>
              </m:r>
              <m:r>
                <w:rPr>
                  <w:rFonts w:ascii="Cambria Math" w:hAnsi="Cambria Math"/>
                </w:rPr>
                <m:rPr/>
                <m:t>=</m:t>
              </m:r>
              <m:r>
                <w:rPr>
                  <w:rFonts w:ascii="Cambria Math" w:hAnsi="Cambria Math"/>
                </w:rPr>
                <m:rPr/>
                <m:t>1</m:t>
              </m:r>
            </m:sub>
            <m:sup>
              <m:r>
                <w:rPr>
                  <w:rFonts w:ascii="Cambria Math" w:hAnsi="Cambria Math"/>
                </w:rPr>
                <m:rPr/>
                <m:t>i</m:t>
              </m:r>
              <m:r>
                <w:rPr>
                  <w:rFonts w:ascii="Cambria Math" w:hAnsi="Cambria Math"/>
                </w:rPr>
                <m:rPr/>
                <m:t>=</m:t>
              </m:r>
              <m:r>
                <w:rPr>
                  <w:rFonts w:ascii="Cambria Math" w:hAnsi="Cambria Math"/>
                </w:rPr>
                <m:rPr/>
                <m:t>N</m:t>
              </m:r>
            </m:sup>
            <m:e>
              <m:sSub>
                <m:sSubPr>
                  <m:ctrlPr/>
                </m:sSubPr>
                <m:e>
                  <m:r>
                    <w:rPr>
                      <w:rFonts w:ascii="Cambria Math" w:hAnsi="Cambria Math"/>
                    </w:rPr>
                    <m:rPr/>
                    <m:t>P</m:t>
                  </m:r>
                </m:e>
                <m:sub>
                  <m:r>
                    <w:rPr>
                      <w:rFonts w:ascii="Cambria Math" w:hAnsi="Cambria Math"/>
                    </w:rPr>
                    <m:rPr/>
                    <m:t>i</m:t>
                  </m:r>
                </m:sub>
              </m:sSub>
              <m:r>
                <w:rPr>
                  <w:rFonts w:ascii="Cambria Math" w:hAnsi="Cambria Math"/>
                </w:rPr>
                <m:rPr/>
                <m:t>=</m:t>
              </m:r>
              <m:sSup>
                <m:sSupPr>
                  <m:ctrlPr/>
                </m:sSupPr>
                <m:e>
                  <m:r>
                    <w:rPr>
                      <w:rFonts w:ascii="Cambria Math" w:hAnsi="Cambria Math"/>
                    </w:rPr>
                    <m:rPr/>
                    <m:t>e</m:t>
                  </m:r>
                </m:e>
                <m:sup>
                  <m:r>
                    <w:rPr>
                      <w:rFonts w:ascii="Cambria Math" w:hAnsi="Cambria Math"/>
                    </w:rPr>
                    <m:rPr/>
                    <m:t>−</m:t>
                  </m:r>
                  <m:sSub>
                    <m:sSubPr>
                      <m:ctrlPr/>
                    </m:sSubPr>
                    <m:e>
                      <m:r>
                        <w:rPr>
                          <w:rFonts w:ascii="Cambria Math" w:hAnsi="Cambria Math"/>
                        </w:rPr>
                        <m:rPr/>
                        <m:t>λ</m:t>
                      </m:r>
                    </m:e>
                    <m:sub>
                      <m:r>
                        <w:rPr>
                          <w:rFonts w:ascii="Cambria Math" w:hAnsi="Cambria Math"/>
                        </w:rPr>
                        <m:rPr/>
                        <m:t>1</m:t>
                      </m:r>
                    </m:sub>
                  </m:sSub>
                  <m:sSub>
                    <m:sSubPr>
                      <m:ctrlPr/>
                    </m:sSubPr>
                    <m:e>
                      <m:r>
                        <w:rPr>
                          <w:rFonts w:ascii="Cambria Math" w:hAnsi="Cambria Math"/>
                        </w:rPr>
                        <m:rPr/>
                        <m:t>L</m:t>
                      </m:r>
                    </m:e>
                    <m:sub>
                      <m:r>
                        <w:rPr>
                          <w:rFonts w:ascii="Cambria Math" w:hAnsi="Cambria Math"/>
                        </w:rPr>
                        <m:rPr/>
                        <m:t>1</m:t>
                      </m:r>
                    </m:sub>
                  </m:sSub>
                  <m:r>
                    <w:rPr>
                      <w:rFonts w:ascii="Cambria Math" w:hAnsi="Cambria Math"/>
                    </w:rPr>
                    <m:rPr/>
                    <m:t>t</m:t>
                  </m:r>
                </m:sup>
              </m:sSup>
              <m:r>
                <w:rPr>
                  <w:rFonts w:ascii="Cambria Math" w:hAnsi="Cambria Math"/>
                </w:rPr>
                <m:rPr/>
                <m:t>×</m:t>
              </m:r>
              <m:sSup>
                <m:sSupPr>
                  <m:ctrlPr/>
                </m:sSupPr>
                <m:e>
                  <m:r>
                    <w:rPr>
                      <w:rFonts w:ascii="Cambria Math" w:hAnsi="Cambria Math"/>
                    </w:rPr>
                    <m:rPr/>
                    <m:t>e</m:t>
                  </m:r>
                </m:e>
                <m:sup>
                  <m:r>
                    <w:rPr>
                      <w:rFonts w:ascii="Cambria Math" w:hAnsi="Cambria Math"/>
                    </w:rPr>
                    <m:rPr/>
                    <m:t>−</m:t>
                  </m:r>
                  <m:sSub>
                    <m:sSubPr>
                      <m:ctrlPr/>
                    </m:sSubPr>
                    <m:e>
                      <m:r>
                        <w:rPr>
                          <w:rFonts w:ascii="Cambria Math" w:hAnsi="Cambria Math"/>
                        </w:rPr>
                        <m:rPr/>
                        <m:t>λ</m:t>
                      </m:r>
                    </m:e>
                    <m:sub>
                      <m:r>
                        <w:rPr>
                          <w:rFonts w:ascii="Cambria Math" w:hAnsi="Cambria Math"/>
                        </w:rPr>
                        <m:rPr/>
                        <m:t>2</m:t>
                      </m:r>
                    </m:sub>
                  </m:sSub>
                  <m:sSub>
                    <m:sSubPr>
                      <m:ctrlPr/>
                    </m:sSubPr>
                    <m:e>
                      <m:r>
                        <w:rPr>
                          <w:rFonts w:ascii="Cambria Math" w:hAnsi="Cambria Math"/>
                        </w:rPr>
                        <m:rPr/>
                        <m:t>L</m:t>
                      </m:r>
                    </m:e>
                    <m:sub>
                      <m:r>
                        <w:rPr>
                          <w:rFonts w:ascii="Cambria Math" w:hAnsi="Cambria Math"/>
                        </w:rPr>
                        <m:rPr/>
                        <m:t>2</m:t>
                      </m:r>
                    </m:sub>
                  </m:sSub>
                  <m:r>
                    <w:rPr>
                      <w:rFonts w:ascii="Cambria Math" w:hAnsi="Cambria Math"/>
                    </w:rPr>
                    <m:rPr/>
                    <m:t>t</m:t>
                  </m:r>
                </m:sup>
              </m:sSup>
              <m:r>
                <w:rPr>
                  <w:rFonts w:ascii="Cambria Math" w:hAnsi="Cambria Math"/>
                </w:rPr>
                <m:rPr/>
                <m:t>×</m:t>
              </m:r>
              <m:r>
                <w:rPr>
                  <w:rFonts w:ascii="Cambria Math" w:hAnsi="Cambria Math"/>
                </w:rPr>
                <m:rPr/>
                <m:t>⋯</m:t>
              </m:r>
              <m:r>
                <w:rPr>
                  <w:rFonts w:ascii="Cambria Math" w:hAnsi="Cambria Math"/>
                </w:rPr>
                <m:rPr/>
                <m:t>×</m:t>
              </m:r>
              <m:sSup>
                <m:sSupPr>
                  <m:ctrlPr/>
                </m:sSupPr>
                <m:e>
                  <m:r>
                    <w:rPr>
                      <w:rFonts w:ascii="Cambria Math" w:hAnsi="Cambria Math"/>
                    </w:rPr>
                    <m:rPr/>
                    <m:t>e</m:t>
                  </m:r>
                </m:e>
                <m:sup>
                  <m:r>
                    <w:rPr>
                      <w:rFonts w:ascii="Cambria Math" w:hAnsi="Cambria Math"/>
                    </w:rPr>
                    <m:rPr/>
                    <m:t>−</m:t>
                  </m:r>
                  <m:sSub>
                    <m:sSubPr>
                      <m:ctrlPr/>
                    </m:sSubPr>
                    <m:e>
                      <m:r>
                        <w:rPr>
                          <w:rFonts w:ascii="Cambria Math" w:hAnsi="Cambria Math"/>
                        </w:rPr>
                        <m:rPr/>
                        <m:t>λ</m:t>
                      </m:r>
                    </m:e>
                    <m:sub>
                      <m:r>
                        <w:rPr>
                          <w:rFonts w:ascii="Cambria Math" w:hAnsi="Cambria Math"/>
                        </w:rPr>
                        <m:rPr/>
                        <m:t>n</m:t>
                      </m:r>
                    </m:sub>
                  </m:sSub>
                  <m:sSub>
                    <m:sSubPr>
                      <m:ctrlPr/>
                    </m:sSubPr>
                    <m:e>
                      <m:r>
                        <w:rPr>
                          <w:rFonts w:ascii="Cambria Math" w:hAnsi="Cambria Math"/>
                        </w:rPr>
                        <m:rPr/>
                        <m:t>L</m:t>
                      </m:r>
                    </m:e>
                    <m:sub>
                      <m:r>
                        <w:rPr>
                          <w:rFonts w:ascii="Cambria Math" w:hAnsi="Cambria Math"/>
                        </w:rPr>
                        <m:rPr/>
                        <m:t>n</m:t>
                      </m:r>
                    </m:sub>
                  </m:sSub>
                  <m:r>
                    <w:rPr>
                      <w:rFonts w:ascii="Cambria Math" w:hAnsi="Cambria Math"/>
                    </w:rPr>
                    <m:rPr/>
                    <m:t>t</m:t>
                  </m:r>
                </m:sup>
              </m:sSup>
              <m:r>
                <w:rPr>
                  <w:rFonts w:ascii="Cambria Math" w:hAnsi="Cambria Math"/>
                </w:rPr>
                <m:rPr/>
                <m:t>=</m:t>
              </m:r>
              <m:sSup>
                <m:sSupPr>
                  <m:ctrlPr/>
                </m:sSupPr>
                <m:e>
                  <m:r>
                    <w:rPr>
                      <w:rFonts w:ascii="Cambria Math" w:hAnsi="Cambria Math"/>
                    </w:rPr>
                    <m:rPr/>
                    <m:t>e</m:t>
                  </m:r>
                </m:e>
                <m:sup>
                  <m:r>
                    <w:rPr>
                      <w:rFonts w:ascii="Cambria Math" w:hAnsi="Cambria Math"/>
                    </w:rPr>
                    <m:rPr/>
                    <m:t>−</m:t>
                  </m:r>
                  <m:r>
                    <w:rPr>
                      <w:rFonts w:ascii="Cambria Math" w:hAnsi="Cambria Math"/>
                    </w:rPr>
                    <m:rPr/>
                    <m:t>t</m:t>
                  </m:r>
                  <m:r>
                    <w:rPr>
                      <w:rFonts w:ascii="Cambria Math" w:hAnsi="Cambria Math"/>
                    </w:rPr>
                    <m:rPr/>
                    <m:t>×</m:t>
                  </m:r>
                  <m:nary>
                    <m:naryPr>
                      <m:chr m:val="∑"/>
                      <m:grow m:val="off"/>
                      <m:ctrlPr/>
                    </m:naryPr>
                    <m:sub>
                      <m:r>
                        <w:rPr>
                          <w:rFonts w:ascii="Cambria Math" w:hAnsi="Cambria Math"/>
                        </w:rPr>
                        <m:rPr/>
                        <m:t>i</m:t>
                      </m:r>
                      <m:r>
                        <w:rPr>
                          <w:rFonts w:ascii="Cambria Math" w:hAnsi="Cambria Math"/>
                        </w:rPr>
                        <m:rPr/>
                        <m:t>=</m:t>
                      </m:r>
                      <m:r>
                        <w:rPr>
                          <w:rFonts w:ascii="Cambria Math" w:hAnsi="Cambria Math"/>
                        </w:rPr>
                        <m:rPr/>
                        <m:t>1</m:t>
                      </m:r>
                    </m:sub>
                    <m:sup>
                      <m:r>
                        <w:rPr>
                          <w:rFonts w:ascii="Cambria Math" w:hAnsi="Cambria Math"/>
                        </w:rPr>
                        <m:rPr/>
                        <m:t>i</m:t>
                      </m:r>
                      <m:r>
                        <w:rPr>
                          <w:rFonts w:ascii="Cambria Math" w:hAnsi="Cambria Math"/>
                        </w:rPr>
                        <m:rPr/>
                        <m:t>=</m:t>
                      </m:r>
                      <m:r>
                        <w:rPr>
                          <w:rFonts w:ascii="Cambria Math" w:hAnsi="Cambria Math"/>
                        </w:rPr>
                        <m:rPr/>
                        <m:t>N</m:t>
                      </m:r>
                    </m:sup>
                    <m:e>
                      <m:sSub>
                        <m:sSubPr>
                          <m:ctrlPr/>
                        </m:sSubPr>
                        <m:e>
                          <m:r>
                            <w:rPr>
                              <w:rFonts w:ascii="Cambria Math" w:hAnsi="Cambria Math"/>
                            </w:rPr>
                            <m:rPr/>
                            <m:t>λ</m:t>
                          </m:r>
                        </m:e>
                        <m:sub>
                          <m:r>
                            <w:rPr>
                              <w:rFonts w:ascii="Cambria Math" w:hAnsi="Cambria Math"/>
                            </w:rPr>
                            <m:rPr/>
                            <m:t>i</m:t>
                          </m:r>
                        </m:sub>
                      </m:sSub>
                      <m:sSub>
                        <m:sSubPr>
                          <m:ctrlPr/>
                        </m:sSubPr>
                        <m:e>
                          <m:r>
                            <w:rPr>
                              <w:rFonts w:ascii="Cambria Math" w:hAnsi="Cambria Math"/>
                            </w:rPr>
                            <m:rPr/>
                            <m:t>L</m:t>
                          </m:r>
                        </m:e>
                        <m:sub>
                          <m:r>
                            <w:rPr>
                              <w:rFonts w:ascii="Cambria Math" w:hAnsi="Cambria Math"/>
                            </w:rPr>
                            <m:rPr/>
                            <m:t>i</m:t>
                          </m:r>
                        </m:sub>
                      </m:sSub>
                    </m:e>
                  </m:nary>
                </m:sup>
              </m:sSup>
              <m:r>
                <w:rPr>
                  <w:rFonts w:ascii="Cambria Math" w:hAnsi="Cambria Math"/>
                </w:rPr>
                <m:rPr/>
                <m:t>=</m:t>
              </m:r>
              <m:sSup>
                <m:sSupPr>
                  <m:ctrlPr/>
                </m:sSupPr>
                <m:e>
                  <m:r>
                    <w:rPr>
                      <w:rFonts w:ascii="Cambria Math" w:hAnsi="Cambria Math"/>
                    </w:rPr>
                    <m:rPr/>
                    <m:t>e</m:t>
                  </m:r>
                </m:e>
                <m:sup>
                  <m:sSub>
                    <m:sSubPr>
                      <m:ctrlPr/>
                    </m:sSubPr>
                    <m:e>
                      <m:r>
                        <w:rPr>
                          <w:rFonts w:ascii="Cambria Math" w:hAnsi="Cambria Math"/>
                        </w:rPr>
                        <m:rPr/>
                        <m:t>λ</m:t>
                      </m:r>
                    </m:e>
                    <m:sub>
                      <m:r>
                        <w:rPr>
                          <w:rFonts w:ascii="Cambria Math" w:hAnsi="Cambria Math"/>
                        </w:rPr>
                        <m:rPr/>
                        <m:t>c</m:t>
                      </m:r>
                    </m:sub>
                  </m:sSub>
                  <m:r>
                    <w:rPr>
                      <w:rFonts w:ascii="Cambria Math" w:hAnsi="Cambria Math"/>
                    </w:rPr>
                    <m:rPr/>
                    <m:t>t</m:t>
                  </m:r>
                </m:sup>
              </m:sSup>
            </m:e>
          </m:nary>
        </m:oMath>
      </m:oMathPara>
      <w:r/>
      <w:r/>
    </w:p>
    <w:p>
      <w:pPr>
        <w:pStyle w:val="12960"/>
        <w:pBdr/>
        <w:spacing/>
        <w:ind/>
        <w:rPr/>
      </w:pPr>
      <w:r>
        <w:t xml:space="preserve">Интенсивность отказов всего последовательного соединения равна сумме интенсивностей отказов на каждом участке,</w:t>
      </w:r>
      <w:r/>
    </w:p>
    <w:p>
      <w:pPr>
        <w:pStyle w:val="10533"/>
        <w:pBdr/>
        <w:spacing/>
        <w:ind/>
        <w:jc w:val="center"/>
        <w:rPr/>
      </w:pPr>
      <w:r/>
      <m:oMath>
        <m:sSub>
          <m:sSubPr>
            <m:ctrlPr/>
          </m:sSubPr>
          <m:e>
            <m:r>
              <w:rPr>
                <w:rFonts w:ascii="Cambria Math" w:hAnsi="Cambria Math"/>
              </w:rPr>
              <m:rPr/>
              <m:t>λ</m:t>
            </m:r>
          </m:e>
          <m:sub>
            <m:r>
              <w:rPr>
                <w:rFonts w:ascii="Cambria Math" w:hAnsi="Cambria Math"/>
              </w:rPr>
              <m:rPr/>
              <m:t>c</m:t>
            </m:r>
          </m:sub>
        </m:sSub>
        <m:r>
          <w:rPr>
            <w:rFonts w:ascii="Cambria Math" w:hAnsi="Cambria Math"/>
          </w:rPr>
          <m:rPr/>
          <m:t>=</m:t>
        </m:r>
        <m:sSub>
          <m:sSubPr>
            <m:ctrlPr/>
          </m:sSubPr>
          <m:e>
            <m:r>
              <w:rPr>
                <w:rFonts w:ascii="Cambria Math" w:hAnsi="Cambria Math"/>
              </w:rPr>
              <m:rPr/>
              <m:t>L</m:t>
            </m:r>
          </m:e>
          <m:sub>
            <m:r>
              <w:rPr>
                <w:rFonts w:ascii="Cambria Math" w:hAnsi="Cambria Math"/>
              </w:rPr>
              <m:rPr/>
              <m:t>1</m:t>
            </m:r>
          </m:sub>
        </m:sSub>
        <m:sSub>
          <m:sSubPr>
            <m:ctrlPr/>
          </m:sSubPr>
          <m:e>
            <m:r>
              <w:rPr>
                <w:rFonts w:ascii="Cambria Math" w:hAnsi="Cambria Math"/>
              </w:rPr>
              <m:rPr/>
              <m:t>λ</m:t>
            </m:r>
          </m:e>
          <m:sub>
            <m:r>
              <w:rPr>
                <w:rFonts w:ascii="Cambria Math" w:hAnsi="Cambria Math"/>
              </w:rPr>
              <m:rPr/>
              <m:t>1</m:t>
            </m:r>
          </m:sub>
        </m:sSub>
        <m:r>
          <w:rPr>
            <w:rFonts w:ascii="Cambria Math" w:hAnsi="Cambria Math"/>
          </w:rPr>
          <m:rPr/>
          <m:t>+</m:t>
        </m:r>
        <m:sSub>
          <m:sSubPr>
            <m:ctrlPr/>
          </m:sSubPr>
          <m:e>
            <m:r>
              <w:rPr>
                <w:rFonts w:ascii="Cambria Math" w:hAnsi="Cambria Math"/>
              </w:rPr>
              <m:rPr/>
              <m:t>L</m:t>
            </m:r>
          </m:e>
          <m:sub>
            <m:r>
              <w:rPr>
                <w:rFonts w:ascii="Cambria Math" w:hAnsi="Cambria Math"/>
              </w:rPr>
              <m:rPr/>
              <m:t>2</m:t>
            </m:r>
          </m:sub>
        </m:sSub>
        <m:sSub>
          <m:sSubPr>
            <m:ctrlPr/>
          </m:sSubPr>
          <m:e>
            <m:r>
              <w:rPr>
                <w:rFonts w:ascii="Cambria Math" w:hAnsi="Cambria Math"/>
              </w:rPr>
              <m:rPr/>
              <m:t>λ</m:t>
            </m:r>
          </m:e>
          <m:sub>
            <m:r>
              <w:rPr>
                <w:rFonts w:ascii="Cambria Math" w:hAnsi="Cambria Math"/>
              </w:rPr>
              <m:rPr/>
              <m:t>2</m:t>
            </m:r>
          </m:sub>
        </m:sSub>
        <m:r>
          <w:rPr>
            <w:rFonts w:ascii="Cambria Math" w:hAnsi="Cambria Math"/>
          </w:rPr>
          <m:rPr/>
          <m:t>+</m:t>
        </m:r>
        <m:r>
          <w:rPr>
            <w:rFonts w:ascii="Cambria Math" w:hAnsi="Cambria Math"/>
          </w:rPr>
          <m:rPr/>
          <m:t>⋯</m:t>
        </m:r>
        <m:r>
          <w:rPr>
            <w:rFonts w:ascii="Cambria Math" w:hAnsi="Cambria Math"/>
          </w:rPr>
          <m:rPr/>
          <m:t>+</m:t>
        </m:r>
        <m:sSub>
          <m:sSubPr>
            <m:ctrlPr/>
          </m:sSubPr>
          <m:e>
            <m:r>
              <w:rPr>
                <w:rFonts w:ascii="Cambria Math" w:hAnsi="Cambria Math"/>
              </w:rPr>
              <m:rPr/>
              <m:t>L</m:t>
            </m:r>
          </m:e>
          <m:sub>
            <m:r>
              <w:rPr>
                <w:rFonts w:ascii="Cambria Math" w:hAnsi="Cambria Math"/>
              </w:rPr>
              <m:rPr/>
              <m:t>n</m:t>
            </m:r>
          </m:sub>
        </m:sSub>
        <m:sSub>
          <m:sSubPr>
            <m:ctrlPr/>
          </m:sSubPr>
          <m:e>
            <m:r>
              <w:rPr>
                <w:rFonts w:ascii="Cambria Math" w:hAnsi="Cambria Math"/>
              </w:rPr>
              <m:rPr/>
              <m:t>λ</m:t>
            </m:r>
          </m:e>
          <m:sub>
            <m:r>
              <w:rPr>
                <w:rFonts w:ascii="Cambria Math" w:hAnsi="Cambria Math"/>
              </w:rPr>
              <m:rPr/>
              <m:t>n</m:t>
            </m:r>
          </m:sub>
        </m:sSub>
      </m:oMath>
      <w:r>
        <w:t xml:space="preserve"> </w:t>
      </w:r>
      <w:r>
        <w:t xml:space="preserve">[1/час],</w:t>
      </w:r>
      <w:r/>
    </w:p>
    <w:p>
      <w:pPr>
        <w:pStyle w:val="12960"/>
        <w:pBdr/>
        <w:spacing/>
        <w:ind/>
        <w:rPr/>
      </w:pPr>
      <w:r>
        <w:t xml:space="preserve">где </w:t>
      </w:r>
      <w:r/>
      <m:oMath>
        <m:sSub>
          <m:sSubPr>
            <m:ctrlPr/>
          </m:sSubPr>
          <m:e>
            <m:r>
              <w:rPr>
                <w:rFonts w:ascii="Cambria Math" w:hAnsi="Cambria Math"/>
              </w:rPr>
              <m:rPr/>
              <m:t>L</m:t>
            </m:r>
          </m:e>
          <m:sub>
            <m:r>
              <w:rPr>
                <w:rFonts w:ascii="Cambria Math" w:hAnsi="Cambria Math"/>
              </w:rPr>
              <m:rPr/>
              <m:t>i</m:t>
            </m:r>
          </m:sub>
        </m:sSub>
      </m:oMath>
      <w:r>
        <w:t xml:space="preserve">– протяженность каждого участка, [км]. </w:t>
      </w:r>
      <w:r/>
    </w:p>
    <w:p>
      <w:pPr>
        <w:pStyle w:val="12960"/>
        <w:pBdr/>
        <w:spacing/>
        <w:ind/>
        <w:rPr/>
      </w:pPr>
      <w: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r/>
    </w:p>
    <w:p>
      <w:pPr>
        <w:pStyle w:val="10533"/>
        <w:keepNext w:val="true"/>
        <w:pBdr/>
        <w:spacing/>
        <w:ind/>
        <w:jc w:val="center"/>
        <w:rPr>
          <w:i/>
        </w:rPr>
      </w:pPr>
      <w:r/>
      <m:oMathPara>
        <m:oMathParaPr>
          <m:jc m:val="center"/>
        </m:oMathParaPr>
        <m:oMath>
          <m:r>
            <w:rPr>
              <w:rFonts w:ascii="Cambria Math" w:hAnsi="Cambria Math"/>
            </w:rPr>
            <m:rPr/>
            <m:t>λ</m:t>
          </m:r>
          <m:d>
            <m:dPr>
              <m:begChr m:val="("/>
              <m:endChr m:val=")"/>
              <m:ctrlPr/>
            </m:dPr>
            <m:e>
              <m:r>
                <w:rPr>
                  <w:rFonts w:ascii="Cambria Math" w:hAnsi="Cambria Math"/>
                </w:rPr>
                <m:rPr/>
                <m:t>t</m:t>
              </m:r>
            </m:e>
          </m:d>
          <m:r>
            <w:rPr>
              <w:rFonts w:ascii="Cambria Math" w:hAnsi="Cambria Math"/>
            </w:rPr>
            <m:rPr/>
            <m:t>=</m:t>
          </m:r>
          <m:sSub>
            <m:sSubPr>
              <m:ctrlPr/>
            </m:sSubPr>
            <m:e>
              <m:r>
                <w:rPr>
                  <w:rFonts w:ascii="Cambria Math" w:hAnsi="Cambria Math"/>
                </w:rPr>
                <m:rPr/>
                <m:t>λ</m:t>
              </m:r>
            </m:e>
            <m:sub>
              <m:r>
                <w:rPr>
                  <w:rFonts w:ascii="Cambria Math" w:hAnsi="Cambria Math"/>
                </w:rPr>
                <m:rPr/>
                <m:t>0</m:t>
              </m:r>
            </m:sub>
          </m:sSub>
          <m:sSup>
            <m:sSupPr>
              <m:ctrlPr/>
            </m:sSupPr>
            <m:e>
              <m:r>
                <w:rPr>
                  <w:rFonts w:ascii="Cambria Math" w:hAnsi="Cambria Math"/>
                </w:rPr>
                <m:rPr/>
                <m:t>(</m:t>
              </m:r>
              <m:r>
                <w:rPr>
                  <w:rFonts w:ascii="Cambria Math" w:hAnsi="Cambria Math"/>
                </w:rPr>
                <m:rPr/>
                <m:t>0,1</m:t>
              </m:r>
              <m:r>
                <w:rPr>
                  <w:rFonts w:ascii="Cambria Math" w:hAnsi="Cambria Math"/>
                </w:rPr>
                <m:rPr/>
                <m:t>τ</m:t>
              </m:r>
              <m:r>
                <w:rPr>
                  <w:rFonts w:ascii="Cambria Math" w:hAnsi="Cambria Math"/>
                </w:rPr>
                <m:rPr/>
                <m:t>)</m:t>
              </m:r>
            </m:e>
            <m:sup>
              <m:r>
                <w:rPr>
                  <w:rFonts w:ascii="Cambria Math" w:hAnsi="Cambria Math"/>
                </w:rPr>
                <m:rPr/>
                <m:t>α</m:t>
              </m:r>
              <m:r>
                <w:rPr>
                  <w:rFonts w:ascii="Cambria Math" w:hAnsi="Cambria Math"/>
                </w:rPr>
                <m:rPr/>
                <m:t>−</m:t>
              </m:r>
              <m:r>
                <w:rPr>
                  <w:rFonts w:ascii="Cambria Math" w:hAnsi="Cambria Math"/>
                </w:rPr>
                <m:rPr/>
                <m:t>1</m:t>
              </m:r>
            </m:sup>
          </m:sSup>
          <m:r>
            <w:rPr>
              <w:rFonts w:ascii="Cambria Math" w:hAnsi="Cambria Math"/>
            </w:rPr>
            <m:rPr/>
            <m:t>,</m:t>
          </m:r>
        </m:oMath>
      </m:oMathPara>
      <w:r/>
      <w:r>
        <w:rPr>
          <w:i/>
        </w:rPr>
      </w:r>
    </w:p>
    <w:p>
      <w:pPr>
        <w:pStyle w:val="12960"/>
        <w:pBdr/>
        <w:spacing/>
        <w:ind/>
        <w:rPr/>
      </w:pPr>
      <w:r>
        <w:t xml:space="preserve">где </w:t>
      </w:r>
      <w:r/>
      <m:oMath>
        <m:r>
          <w:rPr>
            <w:rFonts w:ascii="Cambria Math" w:hAnsi="Cambria Math"/>
          </w:rPr>
          <m:rPr/>
          <m:t>τ</m:t>
        </m:r>
      </m:oMath>
      <w:r>
        <w:t xml:space="preserve">– срок эксплуатации участка [лет]. </w:t>
      </w:r>
      <w:r/>
    </w:p>
    <w:p>
      <w:pPr>
        <w:pStyle w:val="12960"/>
        <w:pBdr/>
        <w:spacing/>
        <w:ind/>
        <w:rPr/>
      </w:pPr>
      <w:r>
        <w:t xml:space="preserve">Характер изменения интенсивности отказов зависит от параметра </w:t>
      </w:r>
      <w:r/>
      <m:oMath>
        <m:r>
          <w:rPr>
            <w:rFonts w:ascii="Cambria Math" w:hAnsi="Cambria Math"/>
          </w:rPr>
          <m:rPr/>
          <m:t>α</m:t>
        </m:r>
      </m:oMath>
      <w:r>
        <w:t xml:space="preserve">: при </w:t>
      </w:r>
      <w:r/>
      <m:oMath>
        <m:r>
          <w:rPr>
            <w:rFonts w:ascii="Cambria Math" w:hAnsi="Cambria Math"/>
          </w:rPr>
          <m:rPr/>
          <m:t>α</m:t>
        </m:r>
        <m:r>
          <w:rPr>
            <w:rFonts w:ascii="Cambria Math" w:hAnsi="Cambria Math"/>
          </w:rPr>
          <m:rPr/>
          <m:t>&lt;</m:t>
        </m:r>
        <m:r>
          <w:rPr>
            <w:rFonts w:ascii="Cambria Math" w:hAnsi="Cambria Math"/>
          </w:rPr>
          <m:rPr/>
          <m:t>1</m:t>
        </m:r>
        <m:r>
          <w:rPr>
            <w:rFonts w:ascii="Cambria Math" w:hAnsi="Cambria Math"/>
          </w:rPr>
          <m:rPr/>
          <m:t>,</m:t>
        </m:r>
      </m:oMath>
      <w:r>
        <w:t xml:space="preserve">она монотонно убывает, при </w:t>
      </w:r>
      <w:r/>
      <m:oMath>
        <m:r>
          <w:rPr>
            <w:rFonts w:ascii="Cambria Math" w:hAnsi="Cambria Math"/>
          </w:rPr>
          <m:rPr/>
          <m:t>α</m:t>
        </m:r>
        <m:r>
          <w:rPr>
            <w:rFonts w:ascii="Cambria Math" w:hAnsi="Cambria Math"/>
          </w:rPr>
          <m:rPr/>
          <m:t>&gt;</m:t>
        </m:r>
        <m:r>
          <w:rPr>
            <w:rFonts w:ascii="Cambria Math" w:hAnsi="Cambria Math"/>
          </w:rPr>
          <m:rPr/>
          <m:t>1</m:t>
        </m:r>
      </m:oMath>
      <w:r>
        <w:t xml:space="preserve">– возрастает; при </w:t>
      </w:r>
      <w:r/>
      <m:oMath>
        <m:r>
          <w:rPr>
            <w:rFonts w:ascii="Cambria Math" w:hAnsi="Cambria Math"/>
          </w:rPr>
          <m:rPr/>
          <m:t>α</m:t>
        </m:r>
        <m:r>
          <w:rPr>
            <w:rFonts w:ascii="Cambria Math" w:hAnsi="Cambria Math"/>
          </w:rPr>
          <m:rPr/>
          <m:t>=</m:t>
        </m:r>
        <m:r>
          <w:rPr>
            <w:rFonts w:ascii="Cambria Math" w:hAnsi="Cambria Math"/>
          </w:rPr>
          <m:rPr/>
          <m:t>1</m:t>
        </m:r>
      </m:oMath>
      <w:r>
        <w:t xml:space="preserve">функция принимает вид </w:t>
      </w:r>
      <w:r/>
      <m:oMath>
        <m:r>
          <w:rPr>
            <w:rFonts w:ascii="Cambria Math" w:hAnsi="Cambria Math"/>
          </w:rPr>
          <m:rPr/>
          <m:t>λ</m:t>
        </m:r>
        <m:d>
          <m:dPr>
            <m:begChr m:val="("/>
            <m:endChr m:val=")"/>
            <m:ctrlPr/>
          </m:dPr>
          <m:e>
            <m:r>
              <w:rPr>
                <w:rFonts w:ascii="Cambria Math" w:hAnsi="Cambria Math"/>
              </w:rPr>
              <m:rPr/>
              <m:t>t</m:t>
            </m:r>
          </m:e>
        </m:d>
        <m:r>
          <w:rPr>
            <w:rFonts w:ascii="Cambria Math" w:hAnsi="Cambria Math"/>
          </w:rPr>
          <m:rPr/>
          <m:t>=</m:t>
        </m:r>
        <m:sSub>
          <m:sSubPr>
            <m:ctrlPr/>
          </m:sSubPr>
          <m:e>
            <m:r>
              <w:rPr>
                <w:rFonts w:ascii="Cambria Math" w:hAnsi="Cambria Math"/>
              </w:rPr>
              <m:rPr/>
              <m:t>λ</m:t>
            </m:r>
          </m:e>
          <m:sub>
            <m:r>
              <w:rPr>
                <w:rFonts w:ascii="Cambria Math" w:hAnsi="Cambria Math"/>
              </w:rPr>
              <m:rPr/>
              <m:t>0</m:t>
            </m:r>
          </m:sub>
        </m:sSub>
        <m:r>
          <w:rPr>
            <w:rFonts w:ascii="Cambria Math" w:hAnsi="Cambria Math"/>
          </w:rPr>
          <m:rPr/>
          <m:t>=</m:t>
        </m:r>
        <m:r>
          <w:rPr>
            <w:rFonts w:ascii="Cambria Math" w:hAnsi="Cambria Math"/>
          </w:rPr>
          <m:rPr/>
          <m:t>Const</m:t>
        </m:r>
      </m:oMath>
      <w:r>
        <w:t xml:space="preserve">. А </w:t>
      </w:r>
      <w:r/>
      <m:oMath>
        <m:sSub>
          <m:sSubPr>
            <m:ctrlPr/>
          </m:sSubPr>
          <m:e>
            <m:r>
              <w:rPr>
                <w:rFonts w:ascii="Cambria Math" w:hAnsi="Cambria Math"/>
              </w:rPr>
              <m:rPr/>
              <m:t>λ</m:t>
            </m:r>
          </m:e>
          <m:sub>
            <m:r>
              <w:rPr>
                <w:rFonts w:ascii="Cambria Math" w:hAnsi="Cambria Math"/>
              </w:rPr>
              <m:rPr/>
              <m:t>0</m:t>
            </m:r>
          </m:sub>
        </m:sSub>
      </m:oMath>
      <w:r>
        <w:t xml:space="preserve">– это средневзвешенная частота (интенсивность) устойчивых отказов в конкретной системе теплоснабжения.</w:t>
      </w:r>
      <w:r/>
    </w:p>
    <w:p>
      <w:pPr>
        <w:pStyle w:val="12960"/>
        <w:pBdr/>
        <w:spacing/>
        <w:ind/>
        <w:rPr/>
      </w:pPr>
      <w:r>
        <w:t xml:space="preserve">Для распределения Вейбулла рекомендуется использовать следующие эмпирические коэффициенты:</w:t>
      </w:r>
      <w:r/>
    </w:p>
    <w:p>
      <w:pPr>
        <w:pStyle w:val="10533"/>
        <w:pBdr/>
        <w:spacing/>
        <w:ind/>
        <w:jc w:val="center"/>
        <w:rPr/>
      </w:pPr>
      <w:r/>
      <m:oMathPara>
        <m:oMathParaPr>
          <m:jc m:val="center"/>
        </m:oMathParaPr>
        <m:oMath>
          <m:r>
            <w:rPr>
              <w:rFonts w:ascii="Cambria Math" w:hAnsi="Cambria Math"/>
            </w:rPr>
            <m:rPr/>
            <m:t>α</m:t>
          </m:r>
          <m:r>
            <w:rPr>
              <w:rFonts w:ascii="Cambria Math" w:hAnsi="Cambria Math"/>
            </w:rPr>
            <m:rPr/>
            <m:t>=</m:t>
          </m:r>
          <m:d>
            <m:dPr>
              <m:begChr m:val="{"/>
              <m:endChr m:val=""/>
              <m:ctrlPr/>
            </m:dPr>
            <m:e>
              <m:eqArr>
                <m:eqArrPr>
                  <m:baseJc m:val="center"/>
                  <m:maxDist m:val="off"/>
                  <m:objDist m:val="off"/>
                  <m:rSp/>
                  <m:rSpRule/>
                  <m:ctrlPr/>
                </m:eqArrPr>
                <m:e>
                  <m:r>
                    <w:rPr>
                      <w:rFonts w:ascii="Cambria Math" w:hAnsi="Cambria Math"/>
                    </w:rPr>
                    <m:rPr/>
                    <m:t>0,8</m:t>
                  </m:r>
                  <m:r>
                    <w:rPr>
                      <w:rFonts w:ascii="Cambria Math" w:hAnsi="Cambria Math"/>
                    </w:rPr>
                    <m:rPr/>
                    <m:t>при</m:t>
                  </m:r>
                  <m:r>
                    <w:rPr>
                      <w:rFonts w:ascii="Cambria Math" w:hAnsi="Cambria Math"/>
                    </w:rPr>
                    <m:rPr/>
                    <m:t>0</m:t>
                  </m:r>
                  <m:r>
                    <w:rPr>
                      <w:rFonts w:ascii="Cambria Math" w:hAnsi="Cambria Math"/>
                    </w:rPr>
                    <m:rPr/>
                    <m:t>&lt;</m:t>
                  </m:r>
                  <m:r>
                    <w:rPr>
                      <w:rFonts w:ascii="Cambria Math" w:hAnsi="Cambria Math"/>
                    </w:rPr>
                    <m:rPr/>
                    <m:t>τ</m:t>
                  </m:r>
                  <m:r>
                    <w:rPr>
                      <w:rFonts w:ascii="Cambria Math" w:hAnsi="Cambria Math"/>
                    </w:rPr>
                    <m:rPr/>
                    <m:t>≤</m:t>
                  </m:r>
                  <m:r>
                    <w:rPr>
                      <w:rFonts w:ascii="Cambria Math" w:hAnsi="Cambria Math"/>
                    </w:rPr>
                    <m:rPr/>
                    <m:t>3</m:t>
                  </m:r>
                </m:e>
                <m:e>
                  <m:r>
                    <w:rPr>
                      <w:rFonts w:ascii="Cambria Math" w:hAnsi="Cambria Math"/>
                    </w:rPr>
                    <m:rPr/>
                    <m:t>1</m:t>
                  </m:r>
                  <m:r>
                    <w:rPr>
                      <w:rFonts w:ascii="Cambria Math" w:hAnsi="Cambria Math"/>
                    </w:rPr>
                    <m:rPr/>
                    <m:t>при</m:t>
                  </m:r>
                  <m:r>
                    <w:rPr>
                      <w:rFonts w:ascii="Cambria Math" w:hAnsi="Cambria Math"/>
                    </w:rPr>
                    <m:rPr/>
                    <m:t>3</m:t>
                  </m:r>
                  <m:r>
                    <w:rPr>
                      <w:rFonts w:ascii="Cambria Math" w:hAnsi="Cambria Math"/>
                    </w:rPr>
                    <m:rPr/>
                    <m:t>&lt;</m:t>
                  </m:r>
                  <m:r>
                    <w:rPr>
                      <w:rFonts w:ascii="Cambria Math" w:hAnsi="Cambria Math"/>
                    </w:rPr>
                    <m:rPr/>
                    <m:t>τ</m:t>
                  </m:r>
                  <m:r>
                    <w:rPr>
                      <w:rFonts w:ascii="Cambria Math" w:hAnsi="Cambria Math"/>
                    </w:rPr>
                    <m:rPr/>
                    <m:t>≤</m:t>
                  </m:r>
                  <m:r>
                    <w:rPr>
                      <w:rFonts w:ascii="Cambria Math" w:hAnsi="Cambria Math"/>
                    </w:rPr>
                    <m:rPr/>
                    <m:t>17</m:t>
                  </m:r>
                </m:e>
                <m:e>
                  <m:r>
                    <w:rPr>
                      <w:rFonts w:ascii="Cambria Math" w:hAnsi="Cambria Math"/>
                    </w:rPr>
                    <m:rPr/>
                    <m:t>0,5</m:t>
                  </m:r>
                  <m:r>
                    <w:rPr>
                      <w:rFonts w:ascii="Cambria Math" w:hAnsi="Cambria Math"/>
                    </w:rPr>
                    <m:rPr/>
                    <m:t>×</m:t>
                  </m:r>
                  <m:sSup>
                    <m:sSupPr>
                      <m:ctrlPr/>
                    </m:sSupPr>
                    <m:e>
                      <m:r>
                        <w:rPr>
                          <w:rFonts w:ascii="Cambria Math" w:hAnsi="Cambria Math"/>
                        </w:rPr>
                        <m:rPr/>
                        <m:t>e</m:t>
                      </m:r>
                    </m:e>
                    <m:sup>
                      <m:d>
                        <m:dPr>
                          <m:begChr m:val="("/>
                          <m:endChr m:val=")"/>
                          <m:ctrlPr/>
                        </m:dPr>
                        <m:e>
                          <m:f>
                            <m:fPr>
                              <m:type m:val="lin"/>
                              <m:ctrlPr/>
                            </m:fPr>
                            <m:num>
                              <m:r>
                                <w:rPr>
                                  <w:rFonts w:ascii="Cambria Math" w:hAnsi="Cambria Math"/>
                                </w:rPr>
                                <m:rPr/>
                                <m:t>τ</m:t>
                              </m:r>
                            </m:num>
                            <m:den>
                              <m:r>
                                <w:rPr>
                                  <w:rFonts w:ascii="Cambria Math" w:hAnsi="Cambria Math"/>
                                </w:rPr>
                                <m:rPr/>
                                <m:t>20</m:t>
                              </m:r>
                            </m:den>
                          </m:f>
                        </m:e>
                      </m:d>
                    </m:sup>
                  </m:sSup>
                  <m:r>
                    <w:rPr>
                      <w:rFonts w:ascii="Cambria Math" w:hAnsi="Cambria Math"/>
                    </w:rPr>
                    <m:rPr/>
                    <m:t>при</m:t>
                  </m:r>
                  <m:r>
                    <w:rPr>
                      <w:rFonts w:ascii="Cambria Math" w:hAnsi="Cambria Math"/>
                    </w:rPr>
                    <m:rPr/>
                    <m:t>τ</m:t>
                  </m:r>
                  <m:r>
                    <w:rPr>
                      <w:rFonts w:ascii="Cambria Math" w:hAnsi="Cambria Math"/>
                    </w:rPr>
                    <m:rPr/>
                    <m:t>&gt;</m:t>
                  </m:r>
                  <m:r>
                    <w:rPr>
                      <w:rFonts w:ascii="Cambria Math" w:hAnsi="Cambria Math"/>
                    </w:rPr>
                    <m:rPr/>
                    <m:t>17</m:t>
                  </m:r>
                </m:e>
              </m:eqArr>
            </m:e>
          </m:d>
        </m:oMath>
      </m:oMathPara>
      <w:r/>
      <w:r/>
    </w:p>
    <w:p>
      <w:pPr>
        <w:pStyle w:val="12960"/>
        <w:pBdr/>
        <w:spacing/>
        <w:ind/>
        <w:rPr/>
      </w:pPr>
      <w:r>
        <w:t xml:space="preserve">На рисунке приведен вид зависимости интенсивности отказов от срока эксплуатации участка тепловой сети. </w:t>
      </w:r>
      <w:r/>
    </w:p>
    <w:p>
      <w:pPr>
        <w:pStyle w:val="10533"/>
        <w:pBdr/>
        <w:spacing/>
        <w:ind/>
        <w:jc w:val="center"/>
        <w:rPr/>
      </w:pPr>
      <w:r>
        <mc:AlternateContent>
          <mc:Choice Requires="wpg">
            <w:drawing>
              <wp:inline xmlns:wp="http://schemas.openxmlformats.org/drawingml/2006/wordprocessingDrawing" distT="0" distB="0" distL="0" distR="0">
                <wp:extent cx="5394960" cy="3017520"/>
                <wp:effectExtent l="0" t="0" r="0" b="0"/>
                <wp:docPr id="55" name="Изображение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16" descr=""/>
                        <pic:cNvPicPr>
                          <a:picLocks noChangeAspect="1"/>
                        </pic:cNvPicPr>
                        <pic:nvPr/>
                      </pic:nvPicPr>
                      <pic:blipFill rotWithShape="1">
                        <a:blip r:embed="rId622"/>
                        <a:stretch/>
                      </pic:blipFill>
                      <pic:spPr bwMode="auto">
                        <a:xfrm>
                          <a:off x="0" y="0"/>
                          <a:ext cx="5394960" cy="301751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8" o:spid="_x0000_s58" type="#_x0000_t75" style="width:424.80pt;height:237.60pt;mso-wrap-distance-left:0.00pt;mso-wrap-distance-top:0.00pt;mso-wrap-distance-right:0.00pt;mso-wrap-distance-bottom:0.00pt;z-index:1;" stroked="false">
                <v:imagedata r:id="rId622" o:title=""/>
                <o:lock v:ext="edit" rotation="t"/>
              </v:shape>
            </w:pict>
          </mc:Fallback>
        </mc:AlternateContent>
      </w:r>
      <w:r/>
    </w:p>
    <w:p>
      <w:pPr>
        <w:pStyle w:val="10533"/>
        <w:pBdr/>
        <w:spacing/>
        <w:ind/>
        <w:jc w:val="center"/>
        <w:rPr/>
      </w:pPr>
      <w:r>
        <w:t xml:space="preserve">Рисунок 11.1.1 – Зависимость интенсивности отказов от срока эксплуатации участка ТС</w:t>
        <w:br/>
      </w:r>
      <w:r/>
    </w:p>
    <w:p>
      <w:pPr>
        <w:pStyle w:val="12960"/>
        <w:pBdr/>
        <w:spacing/>
        <w:ind/>
        <w:rPr/>
      </w:pPr>
      <w:r>
        <w:t xml:space="preserve">При ее использовании следует помнить о некоторых допущениях, которые были сделаны при отборе данных:</w:t>
      </w:r>
      <w:r/>
    </w:p>
    <w:p>
      <w:pPr>
        <w:pStyle w:val="13832"/>
        <w:numPr>
          <w:ilvl w:val="0"/>
          <w:numId w:val="61"/>
        </w:numPr>
        <w:pBdr/>
        <w:spacing/>
        <w:ind w:hanging="284" w:left="1135"/>
        <w:rPr/>
      </w:pPr>
      <w:r>
        <w:t xml:space="preserve">она применима только тогда, когда в тепловых сетях существует четкое разделение на эксплуатационный и ремонтный периоды;</w:t>
      </w:r>
      <w:r/>
    </w:p>
    <w:p>
      <w:pPr>
        <w:pStyle w:val="13832"/>
        <w:numPr>
          <w:ilvl w:val="0"/>
          <w:numId w:val="61"/>
        </w:numPr>
        <w:pBdr/>
        <w:spacing/>
        <w:ind w:hanging="284" w:left="1135"/>
        <w:rPr/>
      </w:pPr>
      <w:r>
        <w:t xml:space="preserve">в ремонтный период выполняются гидравлические испытания тепловой сети после каждого отказа.</w:t>
      </w:r>
      <w:r/>
    </w:p>
    <w:p>
      <w:pPr>
        <w:pStyle w:val="12960"/>
        <w:pBdr/>
        <w:spacing/>
        <w:ind/>
        <w:rPr/>
      </w:pPr>
      <w:r>
        <w:t xml:space="preserve">5. По данным региональных справочников по климату о среднесуточных температурах наружного воздуха за последние десять лет с</w:t>
      </w:r>
      <w:r>
        <w:t xml:space="preserve">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w:t>
      </w:r>
      <w:r>
        <w:rPr>
          <w:color w:val="000000"/>
        </w:rPr>
        <w:t xml:space="preserve">131.13330.2025</w:t>
      </w:r>
      <w:r>
        <w:t xml:space="preserve"> или Справочника «Наладка и эксплуатация водяных тепловых сетей».</w:t>
      </w:r>
      <w:r/>
    </w:p>
    <w:p>
      <w:pPr>
        <w:pStyle w:val="12960"/>
        <w:pBdr/>
        <w:spacing/>
        <w:ind/>
        <w:rPr/>
      </w:pPr>
      <w:r>
        <w:t xml:space="preserve">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w:t>
      </w:r>
      <w:r>
        <w:t xml:space="preserve">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Например, для расчета времени снижения температуры в жилом здании используют формулу:</w:t>
      </w:r>
      <w:r/>
    </w:p>
    <w:p>
      <w:pPr>
        <w:pStyle w:val="12960"/>
        <w:pBdr/>
        <w:spacing/>
        <w:ind/>
        <w:jc w:val="center"/>
        <w:rPr/>
      </w:pPr>
      <w:r/>
      <m:oMathPara>
        <m:oMathParaPr>
          <m:jc m:val="center"/>
        </m:oMathParaPr>
        <m:oMath>
          <m:sSub>
            <m:sSubPr>
              <m:ctrlPr/>
            </m:sSubPr>
            <m:e>
              <m:r>
                <w:rPr>
                  <w:rFonts w:ascii="Cambria Math" w:hAnsi="Cambria Math"/>
                </w:rPr>
                <m:rPr/>
                <m:t>t</m:t>
              </m:r>
            </m:e>
            <m:sub>
              <m:r>
                <w:rPr>
                  <w:rFonts w:ascii="Cambria Math" w:hAnsi="Cambria Math"/>
                </w:rPr>
                <m:rPr/>
                <m:t>в</m:t>
              </m:r>
            </m:sub>
          </m:sSub>
          <m:r>
            <w:rPr>
              <w:rFonts w:ascii="Cambria Math" w:hAnsi="Cambria Math"/>
            </w:rPr>
            <m:rPr/>
            <m:t>=</m:t>
          </m:r>
          <m:sSub>
            <m:sSubPr>
              <m:ctrlPr/>
            </m:sSubPr>
            <m:e>
              <m:r>
                <w:rPr>
                  <w:rFonts w:ascii="Cambria Math" w:hAnsi="Cambria Math"/>
                </w:rPr>
                <m:rPr/>
                <m:t>t</m:t>
              </m:r>
            </m:e>
            <m:sub>
              <m:r>
                <w:rPr>
                  <w:rFonts w:ascii="Cambria Math" w:hAnsi="Cambria Math"/>
                </w:rPr>
                <m:rPr/>
                <m:t>н</m:t>
              </m:r>
            </m:sub>
          </m:sSub>
          <m:r>
            <w:rPr>
              <w:rFonts w:ascii="Cambria Math" w:hAnsi="Cambria Math"/>
            </w:rPr>
            <m:rPr/>
            <m:t>+</m:t>
          </m:r>
          <m:f>
            <m:fPr>
              <m:ctrlPr/>
            </m:fPr>
            <m:num>
              <m:sSub>
                <m:sSubPr>
                  <m:ctrlPr/>
                </m:sSubPr>
                <m:e>
                  <m:r>
                    <w:rPr>
                      <w:rFonts w:ascii="Cambria Math" w:hAnsi="Cambria Math"/>
                    </w:rPr>
                    <m:rPr/>
                    <m:t>Q</m:t>
                  </m:r>
                </m:e>
                <m:sub>
                  <m:r>
                    <w:rPr>
                      <w:rFonts w:ascii="Cambria Math" w:hAnsi="Cambria Math"/>
                    </w:rPr>
                    <m:rPr/>
                    <m:t>0</m:t>
                  </m:r>
                </m:sub>
              </m:sSub>
            </m:num>
            <m:den>
              <m:sSub>
                <m:sSubPr>
                  <m:ctrlPr/>
                </m:sSubPr>
                <m:e>
                  <m:r>
                    <w:rPr>
                      <w:rFonts w:ascii="Cambria Math" w:hAnsi="Cambria Math"/>
                    </w:rPr>
                    <m:rPr/>
                    <m:t>q</m:t>
                  </m:r>
                </m:e>
                <m:sub>
                  <m:r>
                    <w:rPr>
                      <w:rFonts w:ascii="Cambria Math" w:hAnsi="Cambria Math"/>
                    </w:rPr>
                    <m:rPr/>
                    <m:t>0</m:t>
                  </m:r>
                </m:sub>
              </m:sSub>
              <m:r>
                <w:rPr>
                  <w:rFonts w:ascii="Cambria Math" w:hAnsi="Cambria Math"/>
                </w:rPr>
                <m:rPr/>
                <m:t>V</m:t>
              </m:r>
            </m:den>
          </m:f>
          <m:r>
            <w:rPr>
              <w:rFonts w:ascii="Cambria Math" w:hAnsi="Cambria Math"/>
            </w:rPr>
            <m:rPr/>
            <m:t>+</m:t>
          </m:r>
          <m:f>
            <m:fPr>
              <m:ctrlPr/>
            </m:fPr>
            <m:num>
              <m:sSubSup>
                <m:sSubSupPr>
                  <m:alnScr m:val="off"/>
                  <m:ctrlPr/>
                </m:sSubSupPr>
                <m:e>
                  <m:r>
                    <w:rPr>
                      <w:rFonts w:ascii="Cambria Math" w:hAnsi="Cambria Math"/>
                    </w:rPr>
                    <m:rPr/>
                    <m:t>t</m:t>
                  </m:r>
                </m:e>
                <m:sub>
                  <m:r>
                    <w:rPr>
                      <w:rFonts w:ascii="Cambria Math" w:hAnsi="Cambria Math"/>
                    </w:rPr>
                    <m:rPr/>
                    <m:t>в</m:t>
                  </m:r>
                </m:sub>
                <m:sup>
                  <m:r>
                    <w:rPr>
                      <w:rFonts w:ascii="Cambria Math" w:hAnsi="Cambria Math"/>
                    </w:rPr>
                    <m:rPr/>
                    <m:t>'</m:t>
                  </m:r>
                </m:sup>
              </m:sSubSup>
              <m:r>
                <w:rPr>
                  <w:rFonts w:ascii="Cambria Math" w:hAnsi="Cambria Math"/>
                </w:rPr>
                <m:rPr/>
                <m:t>−</m:t>
              </m:r>
              <m:sSubSup>
                <m:sSubSupPr>
                  <m:alnScr m:val="off"/>
                  <m:ctrlPr/>
                </m:sSubSupPr>
                <m:e>
                  <m:r>
                    <w:rPr>
                      <w:rFonts w:ascii="Cambria Math" w:hAnsi="Cambria Math"/>
                    </w:rPr>
                    <m:rPr/>
                    <m:t>t</m:t>
                  </m:r>
                </m:e>
                <m:sub>
                  <m:r>
                    <w:rPr>
                      <w:rFonts w:ascii="Cambria Math" w:hAnsi="Cambria Math"/>
                    </w:rPr>
                    <m:rPr/>
                    <m:t>н</m:t>
                  </m:r>
                </m:sub>
                <m:sup>
                  <m:r>
                    <w:rPr>
                      <w:rFonts w:ascii="Cambria Math" w:hAnsi="Cambria Math"/>
                    </w:rPr>
                    <m:rPr/>
                    <m:t>'</m:t>
                  </m:r>
                </m:sup>
              </m:sSubSup>
              <m:r>
                <w:rPr>
                  <w:rFonts w:ascii="Cambria Math" w:hAnsi="Cambria Math"/>
                </w:rPr>
                <m:rPr/>
                <m:t>−</m:t>
              </m:r>
              <m:f>
                <m:fPr>
                  <m:ctrlPr/>
                </m:fPr>
                <m:num>
                  <m:sSub>
                    <m:sSubPr>
                      <m:ctrlPr/>
                    </m:sSubPr>
                    <m:e>
                      <m:r>
                        <w:rPr>
                          <w:rFonts w:ascii="Cambria Math" w:hAnsi="Cambria Math"/>
                        </w:rPr>
                        <m:rPr/>
                        <m:t>Q</m:t>
                      </m:r>
                    </m:e>
                    <m:sub>
                      <m:r>
                        <w:rPr>
                          <w:rFonts w:ascii="Cambria Math" w:hAnsi="Cambria Math"/>
                        </w:rPr>
                        <m:rPr/>
                        <m:t>0</m:t>
                      </m:r>
                    </m:sub>
                  </m:sSub>
                </m:num>
                <m:den>
                  <m:sSub>
                    <m:sSubPr>
                      <m:ctrlPr/>
                    </m:sSubPr>
                    <m:e>
                      <m:r>
                        <w:rPr>
                          <w:rFonts w:ascii="Cambria Math" w:hAnsi="Cambria Math"/>
                        </w:rPr>
                        <m:rPr/>
                        <m:t>q</m:t>
                      </m:r>
                    </m:e>
                    <m:sub>
                      <m:r>
                        <w:rPr>
                          <w:rFonts w:ascii="Cambria Math" w:hAnsi="Cambria Math"/>
                        </w:rPr>
                        <m:rPr/>
                        <m:t>0</m:t>
                      </m:r>
                    </m:sub>
                  </m:sSub>
                  <m:r>
                    <w:rPr>
                      <w:rFonts w:ascii="Cambria Math" w:hAnsi="Cambria Math"/>
                    </w:rPr>
                    <m:rPr/>
                    <m:t>V</m:t>
                  </m:r>
                </m:den>
              </m:f>
            </m:num>
            <m:den>
              <m:r>
                <w:rPr>
                  <w:rFonts w:ascii="Cambria Math" w:hAnsi="Cambria Math"/>
                </w:rPr>
                <m:rPr/>
                <m:t>exp</m:t>
              </m:r>
              <m:d>
                <m:dPr>
                  <m:begChr m:val="("/>
                  <m:endChr m:val=")"/>
                  <m:ctrlPr/>
                </m:dPr>
                <m:e>
                  <m:f>
                    <m:fPr>
                      <m:type m:val="lin"/>
                      <m:ctrlPr/>
                    </m:fPr>
                    <m:num>
                      <m:r>
                        <w:rPr>
                          <w:rFonts w:ascii="Cambria Math" w:hAnsi="Cambria Math"/>
                        </w:rPr>
                        <m:rPr/>
                        <m:t>z</m:t>
                      </m:r>
                    </m:num>
                    <m:den>
                      <m:r>
                        <w:rPr>
                          <w:rFonts w:ascii="Cambria Math" w:hAnsi="Cambria Math"/>
                        </w:rPr>
                        <m:rPr/>
                        <m:t>β</m:t>
                      </m:r>
                    </m:den>
                  </m:f>
                </m:e>
              </m:d>
            </m:den>
          </m:f>
          <m:r>
            <w:rPr>
              <w:rFonts w:ascii="Cambria Math" w:hAnsi="Cambria Math"/>
            </w:rPr>
            <m:rPr/>
            <m:t>,</m:t>
          </m:r>
        </m:oMath>
      </m:oMathPara>
      <w:r/>
      <w:r/>
    </w:p>
    <w:p>
      <w:pPr>
        <w:pStyle w:val="12960"/>
        <w:pBdr/>
        <w:spacing/>
        <w:ind/>
        <w:rPr/>
      </w:pPr>
      <w:r>
        <w:t xml:space="preserve">где </w:t>
      </w:r>
      <w:r/>
      <m:oMath>
        <m:sSub>
          <m:sSubPr>
            <m:ctrlPr/>
          </m:sSubPr>
          <m:e>
            <m:r>
              <w:rPr>
                <w:rFonts w:ascii="Cambria Math" w:hAnsi="Cambria Math"/>
              </w:rPr>
              <m:rPr/>
              <m:t>t</m:t>
            </m:r>
          </m:e>
          <m:sub>
            <m:r>
              <w:rPr>
                <w:rFonts w:ascii="Cambria Math" w:hAnsi="Cambria Math"/>
              </w:rPr>
              <m:rPr/>
              <m:t>в</m:t>
            </m:r>
          </m:sub>
        </m:sSub>
      </m:oMath>
      <w:r>
        <w:t xml:space="preserve">– внутренняя температура, которая устанавливается в помещении через время </w:t>
      </w:r>
      <w:r/>
      <m:oMath>
        <m:r>
          <w:rPr>
            <w:rFonts w:ascii="Cambria Math" w:hAnsi="Cambria Math"/>
          </w:rPr>
          <m:rPr/>
          <m:t>z</m:t>
        </m:r>
      </m:oMath>
      <w:r>
        <w:t xml:space="preserve"> в часах, после наступления исходного события, °С;</w:t>
      </w:r>
      <w:r/>
    </w:p>
    <w:p>
      <w:pPr>
        <w:pStyle w:val="12960"/>
        <w:pBdr/>
        <w:spacing/>
        <w:ind/>
        <w:rPr/>
      </w:pPr>
      <w:r/>
      <m:oMath>
        <m:r>
          <w:rPr>
            <w:rFonts w:ascii="Cambria Math" w:hAnsi="Cambria Math"/>
          </w:rPr>
          <m:rPr/>
          <m:t>z</m:t>
        </m:r>
      </m:oMath>
      <w:r>
        <w:t xml:space="preserve"> – </w:t>
      </w:r>
      <w:r>
        <w:t xml:space="preserve">время, отсчитываемое после начала исходного события, ч;</w:t>
      </w:r>
      <w:r/>
    </w:p>
    <w:p>
      <w:pPr>
        <w:pStyle w:val="12960"/>
        <w:pBdr/>
        <w:spacing/>
        <w:ind/>
        <w:rPr/>
      </w:pPr>
      <w:r/>
      <m:oMath>
        <m:sSubSup>
          <m:sSubSupPr>
            <m:alnScr m:val="off"/>
            <m:ctrlPr/>
          </m:sSubSupPr>
          <m:e>
            <m:r>
              <w:rPr>
                <w:rFonts w:ascii="Cambria Math" w:hAnsi="Cambria Math"/>
              </w:rPr>
              <m:rPr/>
              <m:t>t</m:t>
            </m:r>
          </m:e>
          <m:sub>
            <m:r>
              <w:rPr>
                <w:rFonts w:ascii="Cambria Math" w:hAnsi="Cambria Math"/>
              </w:rPr>
              <m:rPr/>
              <m:t>в</m:t>
            </m:r>
          </m:sub>
          <m:sup>
            <m:r>
              <w:rPr>
                <w:rFonts w:ascii="Cambria Math" w:hAnsi="Cambria Math"/>
              </w:rPr>
              <m:rPr/>
              <m:t>'</m:t>
            </m:r>
          </m:sup>
        </m:sSubSup>
      </m:oMath>
      <w:r>
        <w:t xml:space="preserve"> </w:t>
      </w:r>
      <w:r>
        <w:t xml:space="preserve">- температура в отапливаемом помещении, которая была в момент начала исходного события, °С;</w:t>
      </w:r>
      <w:r/>
    </w:p>
    <w:p>
      <w:pPr>
        <w:pStyle w:val="12960"/>
        <w:pBdr/>
        <w:spacing/>
        <w:ind/>
        <w:rPr/>
      </w:pPr>
      <w:r/>
      <m:oMath>
        <m:sSub>
          <m:sSubPr>
            <m:ctrlPr/>
          </m:sSubPr>
          <m:e>
            <m:r>
              <w:rPr>
                <w:rFonts w:ascii="Cambria Math" w:hAnsi="Cambria Math"/>
              </w:rPr>
              <m:rPr/>
              <m:t>t</m:t>
            </m:r>
          </m:e>
          <m:sub>
            <m:r>
              <w:rPr>
                <w:rFonts w:ascii="Cambria Math" w:hAnsi="Cambria Math"/>
              </w:rPr>
              <m:rPr/>
              <m:t>н</m:t>
            </m:r>
          </m:sub>
        </m:sSub>
      </m:oMath>
      <w:r>
        <w:t xml:space="preserve">– </w:t>
      </w:r>
      <w:r>
        <w:t xml:space="preserve">температура наружного воздуха, усредненная на периоде времени </w:t>
      </w:r>
      <w:r/>
      <m:oMath>
        <m:r>
          <w:rPr>
            <w:rFonts w:ascii="Cambria Math" w:hAnsi="Cambria Math"/>
          </w:rPr>
          <m:rPr/>
          <m:t>z</m:t>
        </m:r>
      </m:oMath>
      <w:r>
        <w:t xml:space="preserve">,°С;</w:t>
      </w:r>
      <w:r/>
    </w:p>
    <w:p>
      <w:pPr>
        <w:pStyle w:val="12960"/>
        <w:pBdr/>
        <w:spacing/>
        <w:ind/>
        <w:rPr/>
      </w:pPr>
      <w:r/>
      <m:oMath>
        <m:sSub>
          <m:sSubPr>
            <m:ctrlPr/>
          </m:sSubPr>
          <m:e>
            <m:r>
              <w:rPr>
                <w:rFonts w:ascii="Cambria Math" w:hAnsi="Cambria Math"/>
              </w:rPr>
              <m:rPr/>
              <m:t>Q</m:t>
            </m:r>
          </m:e>
          <m:sub>
            <m:r>
              <w:rPr>
                <w:rFonts w:ascii="Cambria Math" w:hAnsi="Cambria Math"/>
              </w:rPr>
              <m:rPr/>
              <m:t>0</m:t>
            </m:r>
          </m:sub>
        </m:sSub>
      </m:oMath>
      <w:r>
        <w:t xml:space="preserve">– </w:t>
      </w:r>
      <w:r>
        <w:t xml:space="preserve">подача теплоты в помещение, Дж/ч;</w:t>
      </w:r>
      <w:r/>
    </w:p>
    <w:p>
      <w:pPr>
        <w:pStyle w:val="12960"/>
        <w:pBdr/>
        <w:spacing/>
        <w:ind/>
        <w:rPr/>
      </w:pPr>
      <w:r/>
      <m:oMath>
        <m:sSub>
          <m:sSubPr>
            <m:ctrlPr/>
          </m:sSubPr>
          <m:e>
            <m:r>
              <w:rPr>
                <w:rFonts w:ascii="Cambria Math" w:hAnsi="Cambria Math"/>
              </w:rPr>
              <m:rPr/>
              <m:t>q</m:t>
            </m:r>
          </m:e>
          <m:sub>
            <m:r>
              <w:rPr>
                <w:rFonts w:ascii="Cambria Math" w:hAnsi="Cambria Math"/>
              </w:rPr>
              <m:rPr/>
              <m:t>0</m:t>
            </m:r>
          </m:sub>
        </m:sSub>
        <m:r>
          <w:rPr>
            <w:rFonts w:ascii="Cambria Math" w:hAnsi="Cambria Math"/>
          </w:rPr>
          <m:rPr/>
          <m:t>V</m:t>
        </m:r>
      </m:oMath>
      <w:r>
        <w:t xml:space="preserve">– </w:t>
      </w:r>
      <w:r>
        <w:t xml:space="preserve">удельные расчетные тепловые потери здания, Дж/(ч×°С);</w:t>
      </w:r>
      <w:r/>
    </w:p>
    <w:p>
      <w:pPr>
        <w:pStyle w:val="12960"/>
        <w:pBdr/>
        <w:spacing/>
        <w:ind/>
        <w:rPr/>
      </w:pPr>
      <w:r/>
      <m:oMath>
        <m:r>
          <w:rPr>
            <w:rFonts w:ascii="Cambria Math" w:hAnsi="Cambria Math"/>
          </w:rPr>
          <m:rPr/>
          <m:t>β</m:t>
        </m:r>
      </m:oMath>
      <w:r>
        <w:t xml:space="preserve">– </w:t>
      </w:r>
      <w:r>
        <w:t xml:space="preserve">коэффициент аккумуляции помещения (здания), ч.</w:t>
      </w:r>
      <w:r/>
    </w:p>
    <w:p>
      <w:pPr>
        <w:pStyle w:val="12960"/>
        <w:pBdr/>
        <w:spacing/>
        <w:ind/>
        <w:rPr/>
      </w:pPr>
      <w: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w:r/>
      <m:oMath>
        <m:d>
          <m:dPr>
            <m:begChr m:val="("/>
            <m:endChr m:val=")"/>
            <m:ctrlPr/>
          </m:dPr>
          <m:e>
            <m:f>
              <m:fPr>
                <m:ctrlPr/>
              </m:fPr>
              <m:num>
                <m:sSub>
                  <m:sSubPr>
                    <m:ctrlPr/>
                  </m:sSubPr>
                  <m:e>
                    <m:r>
                      <w:rPr>
                        <w:rFonts w:ascii="Cambria Math" w:hAnsi="Cambria Math"/>
                      </w:rPr>
                      <m:rPr/>
                      <m:t>Q</m:t>
                    </m:r>
                  </m:e>
                  <m:sub>
                    <m:r>
                      <w:rPr>
                        <w:rFonts w:ascii="Cambria Math" w:hAnsi="Cambria Math"/>
                      </w:rPr>
                      <m:rPr/>
                      <m:t>0</m:t>
                    </m:r>
                  </m:sub>
                </m:sSub>
              </m:num>
              <m:den>
                <m:sSub>
                  <m:sSubPr>
                    <m:ctrlPr/>
                  </m:sSubPr>
                  <m:e>
                    <m:r>
                      <w:rPr>
                        <w:rFonts w:ascii="Cambria Math" w:hAnsi="Cambria Math"/>
                      </w:rPr>
                      <m:rPr/>
                      <m:t>q</m:t>
                    </m:r>
                  </m:e>
                  <m:sub>
                    <m:r>
                      <w:rPr>
                        <w:rFonts w:ascii="Cambria Math" w:hAnsi="Cambria Math"/>
                      </w:rPr>
                      <m:rPr/>
                      <m:t>0</m:t>
                    </m:r>
                  </m:sub>
                </m:sSub>
                <m:r>
                  <w:rPr>
                    <w:rFonts w:ascii="Cambria Math" w:hAnsi="Cambria Math"/>
                  </w:rPr>
                  <m:rPr/>
                  <m:t>V</m:t>
                </m:r>
              </m:den>
            </m:f>
            <m:r>
              <w:rPr>
                <w:rFonts w:ascii="Cambria Math" w:hAnsi="Cambria Math"/>
              </w:rPr>
              <m:rPr/>
              <m:t>=</m:t>
            </m:r>
            <m:r>
              <w:rPr>
                <w:rFonts w:ascii="Cambria Math" w:hAnsi="Cambria Math"/>
              </w:rPr>
              <m:rPr/>
              <m:t>0</m:t>
            </m:r>
          </m:e>
        </m:d>
      </m:oMath>
      <w:r>
        <w:t xml:space="preserve">имеет следующий вид:</w:t>
      </w:r>
      <w:r/>
    </w:p>
    <w:p>
      <w:pPr>
        <w:pStyle w:val="12960"/>
        <w:pBdr/>
        <w:spacing/>
        <w:ind/>
        <w:jc w:val="center"/>
        <w:rPr/>
      </w:pPr>
      <w:r/>
      <m:oMathPara>
        <m:oMathParaPr>
          <m:jc m:val="center"/>
        </m:oMathParaPr>
        <m:oMath>
          <m:r>
            <w:rPr>
              <w:rFonts w:ascii="Cambria Math" w:hAnsi="Cambria Math"/>
            </w:rPr>
            <m:rPr/>
            <m:t>z</m:t>
          </m:r>
          <m:r>
            <w:rPr>
              <w:rFonts w:ascii="Cambria Math" w:hAnsi="Cambria Math"/>
            </w:rPr>
            <m:rPr/>
            <m:t>=</m:t>
          </m:r>
          <m:r>
            <w:rPr>
              <w:rFonts w:ascii="Cambria Math" w:hAnsi="Cambria Math"/>
            </w:rPr>
            <m:rPr/>
            <m:t>β</m:t>
          </m:r>
          <m:r>
            <w:rPr>
              <w:rFonts w:ascii="Cambria Math" w:hAnsi="Cambria Math"/>
            </w:rPr>
            <m:rPr/>
            <m:t>×</m:t>
          </m:r>
          <m:r>
            <w:rPr>
              <w:rFonts w:ascii="Cambria Math" w:hAnsi="Cambria Math"/>
            </w:rPr>
            <m:rPr/>
            <m:t>ln</m:t>
          </m:r>
          <m:f>
            <m:fPr>
              <m:ctrlPr/>
            </m:fPr>
            <m:num>
              <m:d>
                <m:dPr>
                  <m:begChr m:val="("/>
                  <m:endChr m:val=")"/>
                  <m:ctrlPr/>
                </m:dPr>
                <m:e>
                  <m:sSub>
                    <m:sSubPr>
                      <m:ctrlPr/>
                    </m:sSubPr>
                    <m:e>
                      <m:r>
                        <w:rPr>
                          <w:rFonts w:ascii="Cambria Math" w:hAnsi="Cambria Math"/>
                        </w:rPr>
                        <m:rPr/>
                        <m:t>t</m:t>
                      </m:r>
                    </m:e>
                    <m:sub>
                      <m:r>
                        <w:rPr>
                          <w:rFonts w:ascii="Cambria Math" w:hAnsi="Cambria Math"/>
                        </w:rPr>
                        <m:rPr/>
                        <m:t>в</m:t>
                      </m:r>
                    </m:sub>
                  </m:sSub>
                  <m:r>
                    <w:rPr>
                      <w:rFonts w:ascii="Cambria Math" w:hAnsi="Cambria Math"/>
                    </w:rPr>
                    <m:rPr/>
                    <m:t>−</m:t>
                  </m:r>
                  <m:sSub>
                    <m:sSubPr>
                      <m:ctrlPr/>
                    </m:sSubPr>
                    <m:e>
                      <m:r>
                        <w:rPr>
                          <w:rFonts w:ascii="Cambria Math" w:hAnsi="Cambria Math"/>
                        </w:rPr>
                        <m:rPr/>
                        <m:t>t</m:t>
                      </m:r>
                    </m:e>
                    <m:sub>
                      <m:r>
                        <w:rPr>
                          <w:rFonts w:ascii="Cambria Math" w:hAnsi="Cambria Math"/>
                        </w:rPr>
                        <m:rPr/>
                        <m:t>н</m:t>
                      </m:r>
                    </m:sub>
                  </m:sSub>
                </m:e>
              </m:d>
            </m:num>
            <m:den>
              <m:d>
                <m:dPr>
                  <m:begChr m:val="("/>
                  <m:endChr m:val=")"/>
                  <m:ctrlPr/>
                </m:dPr>
                <m:e>
                  <m:sSub>
                    <m:sSubPr>
                      <m:ctrlPr/>
                    </m:sSubPr>
                    <m:e>
                      <m:r>
                        <w:rPr>
                          <w:rFonts w:ascii="Cambria Math" w:hAnsi="Cambria Math"/>
                        </w:rPr>
                        <m:rPr/>
                        <m:t>t</m:t>
                      </m:r>
                    </m:e>
                    <m:sub>
                      <m:r>
                        <w:rPr>
                          <w:rFonts w:ascii="Cambria Math" w:hAnsi="Cambria Math"/>
                        </w:rPr>
                        <m:rPr/>
                        <m:t>в</m:t>
                      </m:r>
                      <m:r>
                        <w:rPr>
                          <w:rFonts w:ascii="Cambria Math" w:hAnsi="Cambria Math"/>
                        </w:rPr>
                        <m:rPr/>
                        <m:t>,</m:t>
                      </m:r>
                      <m:r>
                        <w:rPr>
                          <w:rFonts w:ascii="Cambria Math" w:hAnsi="Cambria Math"/>
                        </w:rPr>
                        <m:rPr/>
                        <m:t>а</m:t>
                      </m:r>
                    </m:sub>
                  </m:sSub>
                  <m:r>
                    <w:rPr>
                      <w:rFonts w:ascii="Cambria Math" w:hAnsi="Cambria Math"/>
                    </w:rPr>
                    <m:rPr/>
                    <m:t>−</m:t>
                  </m:r>
                  <m:sSub>
                    <m:sSubPr>
                      <m:ctrlPr/>
                    </m:sSubPr>
                    <m:e>
                      <m:r>
                        <w:rPr>
                          <w:rFonts w:ascii="Cambria Math" w:hAnsi="Cambria Math"/>
                        </w:rPr>
                        <m:rPr/>
                        <m:t>t</m:t>
                      </m:r>
                    </m:e>
                    <m:sub>
                      <m:r>
                        <w:rPr>
                          <w:rFonts w:ascii="Cambria Math" w:hAnsi="Cambria Math"/>
                        </w:rPr>
                        <m:rPr/>
                        <m:t>н</m:t>
                      </m:r>
                    </m:sub>
                  </m:sSub>
                </m:e>
              </m:d>
            </m:den>
          </m:f>
          <m:r>
            <w:rPr>
              <w:rFonts w:ascii="Cambria Math" w:hAnsi="Cambria Math"/>
            </w:rPr>
            <m:rPr/>
            <m:t>,</m:t>
          </m:r>
        </m:oMath>
      </m:oMathPara>
      <w:r/>
      <w:r/>
    </w:p>
    <w:p>
      <w:pPr>
        <w:pStyle w:val="12960"/>
        <w:pBdr/>
        <w:spacing/>
        <w:ind/>
        <w:rPr/>
      </w:pPr>
      <w:r>
        <w:t xml:space="preserve">где </w:t>
      </w:r>
      <w:r/>
      <m:oMath>
        <m:sSub>
          <m:sSubPr>
            <m:ctrlPr/>
          </m:sSubPr>
          <m:e>
            <m:r>
              <w:rPr>
                <w:rFonts w:ascii="Cambria Math" w:hAnsi="Cambria Math"/>
              </w:rPr>
              <m:rPr/>
              <m:t>t</m:t>
            </m:r>
          </m:e>
          <m:sub>
            <m:r>
              <w:rPr>
                <w:rFonts w:ascii="Cambria Math" w:hAnsi="Cambria Math"/>
              </w:rPr>
              <m:rPr/>
              <m:t>в</m:t>
            </m:r>
            <m:r>
              <w:rPr>
                <w:rFonts w:ascii="Cambria Math" w:hAnsi="Cambria Math"/>
              </w:rPr>
              <m:rPr/>
              <m:t>,</m:t>
            </m:r>
            <m:r>
              <w:rPr>
                <w:rFonts w:ascii="Cambria Math" w:hAnsi="Cambria Math"/>
              </w:rPr>
              <m:rPr/>
              <m:t>а</m:t>
            </m:r>
          </m:sub>
        </m:sSub>
      </m:oMath>
      <w:r>
        <w:t xml:space="preserve">– внутренняя температура, которая устанавливается критерием отказа теплоснабжения (+12°С для жилых зданий). </w:t>
      </w:r>
      <w:r/>
    </w:p>
    <w:p>
      <w:pPr>
        <w:pStyle w:val="12960"/>
        <w:pBdr/>
        <w:spacing/>
        <w:ind/>
        <w:rPr/>
      </w:pPr>
      <w:r>
        <w:t xml:space="preserve">7. На основе данных</w:t>
      </w:r>
      <w:r>
        <w:t xml:space="preserve">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r/>
    </w:p>
    <w:p>
      <w:pPr>
        <w:pStyle w:val="12960"/>
        <w:pBdr/>
        <w:spacing/>
        <w:ind/>
        <w:rPr/>
      </w:pPr>
      <w: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r/>
    </w:p>
    <w:p>
      <w:pPr>
        <w:pStyle w:val="10533"/>
        <w:pBdr/>
        <w:spacing/>
        <w:ind/>
        <w:jc w:val="center"/>
        <w:rPr>
          <w:i/>
        </w:rPr>
      </w:pPr>
      <w:r/>
      <m:oMathPara>
        <m:oMathParaPr>
          <m:jc m:val="center"/>
        </m:oMathParaPr>
        <m:oMath>
          <m:sSub>
            <m:sSubPr>
              <m:ctrlPr/>
            </m:sSubPr>
            <m:e>
              <m:r>
                <w:rPr>
                  <w:rFonts w:ascii="Cambria Math" w:hAnsi="Cambria Math"/>
                </w:rPr>
                <m:rPr/>
                <m:t>z</m:t>
              </m:r>
            </m:e>
            <m:sub>
              <m:r>
                <w:rPr>
                  <w:rFonts w:ascii="Cambria Math" w:hAnsi="Cambria Math"/>
                </w:rPr>
                <m:rPr/>
                <m:t>p</m:t>
              </m:r>
            </m:sub>
          </m:sSub>
          <m:r>
            <w:rPr>
              <w:rFonts w:ascii="Cambria Math" w:hAnsi="Cambria Math"/>
            </w:rPr>
            <m:rPr/>
            <m:t>=</m:t>
          </m:r>
          <m:r>
            <w:rPr>
              <w:rFonts w:ascii="Cambria Math" w:hAnsi="Cambria Math"/>
            </w:rPr>
            <m:rPr/>
            <m:t>a</m:t>
          </m:r>
          <m:d>
            <m:dPr>
              <m:begChr m:val="["/>
              <m:endChr m:val="]"/>
              <m:ctrlPr/>
            </m:dPr>
            <m:e>
              <m:r>
                <w:rPr>
                  <w:rFonts w:ascii="Cambria Math" w:hAnsi="Cambria Math"/>
                </w:rPr>
                <m:rPr/>
                <m:t>1</m:t>
              </m:r>
              <m:r>
                <w:rPr>
                  <w:rFonts w:ascii="Cambria Math" w:hAnsi="Cambria Math"/>
                </w:rPr>
                <m:rPr/>
                <m:t>+</m:t>
              </m:r>
              <m:d>
                <m:dPr>
                  <m:begChr m:val="("/>
                  <m:endChr m:val=")"/>
                  <m:ctrlPr/>
                </m:dPr>
                <m:e>
                  <m:r>
                    <w:rPr>
                      <w:rFonts w:ascii="Cambria Math" w:hAnsi="Cambria Math"/>
                    </w:rPr>
                    <m:rPr/>
                    <m:t>b</m:t>
                  </m:r>
                  <m:r>
                    <w:rPr>
                      <w:rFonts w:ascii="Cambria Math" w:hAnsi="Cambria Math"/>
                    </w:rPr>
                    <m:rPr/>
                    <m:t>+</m:t>
                  </m:r>
                  <m:r>
                    <w:rPr>
                      <w:rFonts w:ascii="Cambria Math" w:hAnsi="Cambria Math"/>
                    </w:rPr>
                    <m:rPr/>
                    <m:t>c</m:t>
                  </m:r>
                  <m:sSub>
                    <m:sSubPr>
                      <m:ctrlPr/>
                    </m:sSubPr>
                    <m:e>
                      <m:r>
                        <w:rPr>
                          <w:rFonts w:ascii="Cambria Math" w:hAnsi="Cambria Math"/>
                        </w:rPr>
                        <m:rPr/>
                        <m:t>l</m:t>
                      </m:r>
                    </m:e>
                    <m:sub>
                      <m:r>
                        <w:rPr>
                          <w:rFonts w:ascii="Cambria Math" w:hAnsi="Cambria Math"/>
                        </w:rPr>
                        <m:rPr/>
                        <m:t>с</m:t>
                      </m:r>
                      <m:r>
                        <w:rPr>
                          <w:rFonts w:ascii="Cambria Math" w:hAnsi="Cambria Math"/>
                        </w:rPr>
                        <m:rPr/>
                        <m:t>.</m:t>
                      </m:r>
                      <m:r>
                        <w:rPr>
                          <w:rFonts w:ascii="Cambria Math" w:hAnsi="Cambria Math"/>
                        </w:rPr>
                        <m:rPr/>
                        <m:t>з</m:t>
                      </m:r>
                    </m:sub>
                  </m:sSub>
                </m:e>
              </m:d>
              <m:sSup>
                <m:sSupPr>
                  <m:ctrlPr/>
                </m:sSupPr>
                <m:e>
                  <m:r>
                    <w:rPr>
                      <w:rFonts w:ascii="Cambria Math" w:hAnsi="Cambria Math"/>
                    </w:rPr>
                    <m:rPr/>
                    <m:t>D</m:t>
                  </m:r>
                </m:e>
                <m:sup>
                  <m:r>
                    <w:rPr>
                      <w:rFonts w:ascii="Cambria Math" w:hAnsi="Cambria Math"/>
                    </w:rPr>
                    <m:rPr/>
                    <m:t>1,2</m:t>
                  </m:r>
                </m:sup>
              </m:sSup>
            </m:e>
          </m:d>
          <m:r>
            <w:rPr>
              <w:rFonts w:ascii="Cambria Math" w:hAnsi="Cambria Math"/>
            </w:rPr>
            <m:rPr/>
            <m:t>,</m:t>
          </m:r>
        </m:oMath>
      </m:oMathPara>
      <w:r/>
      <w:r>
        <w:rPr>
          <w:i/>
        </w:rPr>
      </w:r>
    </w:p>
    <w:p>
      <w:pPr>
        <w:pStyle w:val="12960"/>
        <w:pBdr/>
        <w:spacing/>
        <w:ind/>
        <w:rPr/>
      </w:pPr>
      <w:r>
        <w:t xml:space="preserve">где </w:t>
      </w:r>
      <w:r/>
      <m:oMath>
        <m:r>
          <w:rPr>
            <w:rFonts w:ascii="Cambria Math" w:hAnsi="Cambria Math"/>
          </w:rPr>
          <m:rPr/>
          <m:t>a</m:t>
        </m:r>
        <m:r>
          <w:rPr>
            <w:rFonts w:ascii="Cambria Math" w:hAnsi="Cambria Math"/>
          </w:rPr>
          <m:rPr/>
          <m:t>,</m:t>
        </m:r>
        <m:r>
          <w:rPr>
            <w:rFonts w:ascii="Cambria Math" w:hAnsi="Cambria Math"/>
          </w:rPr>
          <m:rPr/>
          <m:t>b</m:t>
        </m:r>
        <m:r>
          <w:rPr>
            <w:rFonts w:ascii="Cambria Math" w:hAnsi="Cambria Math"/>
          </w:rPr>
          <m:rPr/>
          <m:t>,</m:t>
        </m:r>
        <m:r>
          <w:rPr>
            <w:rFonts w:ascii="Cambria Math" w:hAnsi="Cambria Math"/>
          </w:rPr>
          <m:rPr/>
          <m:t>c</m:t>
        </m:r>
      </m:oMath>
      <w:r>
        <w:t xml:space="preserve">–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r/>
    </w:p>
    <w:p>
      <w:pPr>
        <w:pStyle w:val="12960"/>
        <w:pBdr/>
        <w:spacing/>
        <w:ind/>
        <w:rPr>
          <w:i/>
        </w:rPr>
      </w:pPr>
      <w:r/>
      <m:oMath>
        <m:sSub>
          <m:sSubPr>
            <m:ctrlPr/>
          </m:sSubPr>
          <m:e>
            <m:r>
              <w:rPr>
                <w:rFonts w:ascii="Cambria Math" w:hAnsi="Cambria Math"/>
              </w:rPr>
              <m:rPr/>
              <m:t>l</m:t>
            </m:r>
          </m:e>
          <m:sub>
            <m:r>
              <w:rPr>
                <w:rFonts w:ascii="Cambria Math" w:hAnsi="Cambria Math"/>
              </w:rPr>
              <m:rPr/>
              <m:t>с</m:t>
            </m:r>
            <m:r>
              <w:rPr>
                <w:rFonts w:ascii="Cambria Math" w:hAnsi="Cambria Math"/>
              </w:rPr>
              <m:rPr/>
              <m:t>.</m:t>
            </m:r>
            <m:r>
              <w:rPr>
                <w:rFonts w:ascii="Cambria Math" w:hAnsi="Cambria Math"/>
              </w:rPr>
              <m:rPr/>
              <m:t>з</m:t>
            </m:r>
          </m:sub>
        </m:sSub>
      </m:oMath>
      <w:r>
        <w:rPr>
          <w:i/>
        </w:rPr>
        <w:t xml:space="preserve">–</w:t>
      </w:r>
      <w:r>
        <w:t xml:space="preserve">расстояние между секционирующими задвижками, м;</w:t>
      </w:r>
      <w:r>
        <w:rPr>
          <w:i/>
        </w:rPr>
      </w:r>
    </w:p>
    <w:p>
      <w:pPr>
        <w:pStyle w:val="12960"/>
        <w:pBdr/>
        <w:spacing/>
        <w:ind/>
        <w:rPr/>
      </w:pPr>
      <w:r/>
      <m:oMath>
        <m:r>
          <w:rPr>
            <w:rFonts w:ascii="Cambria Math" w:hAnsi="Cambria Math"/>
          </w:rPr>
          <m:rPr/>
          <m:t>D</m:t>
        </m:r>
      </m:oMath>
      <w:r>
        <w:rPr>
          <w:i/>
        </w:rPr>
        <w:t xml:space="preserve">–</w:t>
      </w:r>
      <w:r>
        <w:t xml:space="preserve">условный диаметр трубопровода, м.</w:t>
      </w:r>
      <w:r/>
    </w:p>
    <w:p>
      <w:pPr>
        <w:pStyle w:val="12960"/>
        <w:pBdr/>
        <w:spacing/>
        <w:ind/>
        <w:rPr/>
      </w:pPr>
      <w:r>
        <w:t xml:space="preserve">Расчет рекомендуется выполнять для каждого участка и/или элемента, входящего в путь от источника до абонента: </w:t>
      </w:r>
      <w:r/>
    </w:p>
    <w:p>
      <w:pPr>
        <w:pStyle w:val="13832"/>
        <w:numPr>
          <w:ilvl w:val="0"/>
          <w:numId w:val="61"/>
        </w:numPr>
        <w:pBdr/>
        <w:spacing/>
        <w:ind w:hanging="284" w:left="1135"/>
        <w:rPr/>
      </w:pPr>
      <w:r>
        <w:t xml:space="preserve">вычисляется время ликвидации повреждения на i -том участке; </w:t>
      </w:r>
      <w:r/>
    </w:p>
    <w:p>
      <w:pPr>
        <w:pStyle w:val="13832"/>
        <w:keepNext w:val="false"/>
        <w:widowControl w:val="true"/>
        <w:numPr>
          <w:ilvl w:val="0"/>
          <w:numId w:val="61"/>
        </w:numPr>
        <w:pBdr/>
        <w:bidi w:val="false"/>
        <w:spacing w:after="0" w:before="0" w:line="360" w:lineRule="auto"/>
        <w:ind w:right="0" w:firstLine="567" w:left="0"/>
        <w:jc w:val="both"/>
        <w:rPr/>
      </w:pPr>
      <w:r>
        <w:t xml:space="preserve">по каждой градации повторяемости температур вычисляется допустимое время проведения ремонта; </w:t>
      </w:r>
      <w:r/>
    </w:p>
    <w:p>
      <w:pPr>
        <w:pStyle w:val="13832"/>
        <w:keepNext w:val="false"/>
        <w:widowControl w:val="true"/>
        <w:numPr>
          <w:ilvl w:val="0"/>
          <w:numId w:val="61"/>
        </w:numPr>
        <w:pBdr/>
        <w:bidi w:val="false"/>
        <w:spacing w:after="0" w:before="0" w:line="360" w:lineRule="auto"/>
        <w:ind w:right="0" w:firstLine="567" w:left="0"/>
        <w:jc w:val="both"/>
        <w:rPr/>
      </w:pPr>
      <w: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r/>
    </w:p>
    <w:p>
      <w:pPr>
        <w:pStyle w:val="13832"/>
        <w:keepNext w:val="false"/>
        <w:widowControl w:val="true"/>
        <w:numPr>
          <w:ilvl w:val="0"/>
          <w:numId w:val="61"/>
        </w:numPr>
        <w:pBdr/>
        <w:bidi w:val="false"/>
        <w:spacing w:after="0" w:before="0" w:line="360" w:lineRule="auto"/>
        <w:ind w:right="0" w:firstLine="567" w:left="0"/>
        <w:jc w:val="both"/>
        <w:rPr/>
      </w:pPr>
      <w: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r/>
    </w:p>
    <w:p>
      <w:pPr>
        <w:pStyle w:val="10533"/>
        <w:pBdr/>
        <w:spacing/>
        <w:ind/>
        <w:jc w:val="center"/>
        <w:rPr/>
      </w:pPr>
      <w:r/>
      <m:oMathPara>
        <m:oMathParaPr>
          <m:jc m:val="center"/>
        </m:oMathParaPr>
        <m:oMath>
          <m:bar>
            <m:barPr>
              <m:pos m:val="top"/>
              <m:ctrlPr/>
            </m:barPr>
            <m:e>
              <m:r>
                <w:rPr>
                  <w:rFonts w:ascii="Cambria Math" w:hAnsi="Cambria Math"/>
                </w:rPr>
                <m:rPr/>
                <m:t>z</m:t>
              </m:r>
            </m:e>
          </m:bar>
          <m:r>
            <w:rPr>
              <w:rFonts w:ascii="Cambria Math" w:hAnsi="Cambria Math"/>
            </w:rPr>
            <m:rPr/>
            <m:t>=</m:t>
          </m:r>
          <m:d>
            <m:dPr>
              <m:begChr m:val="("/>
              <m:endChr m:val=")"/>
              <m:ctrlPr/>
            </m:dPr>
            <m:e>
              <m:r>
                <w:rPr>
                  <w:rFonts w:ascii="Cambria Math" w:hAnsi="Cambria Math"/>
                </w:rPr>
                <m:rPr/>
                <m:t>1</m:t>
              </m:r>
              <m:r>
                <w:rPr>
                  <w:rFonts w:ascii="Cambria Math" w:hAnsi="Cambria Math"/>
                </w:rPr>
                <m:rPr/>
                <m:t>−</m:t>
              </m:r>
              <m:f>
                <m:fPr>
                  <m:ctrlPr/>
                </m:fPr>
                <m:num>
                  <m:sSub>
                    <m:sSubPr>
                      <m:ctrlPr/>
                    </m:sSubPr>
                    <m:e>
                      <m:r>
                        <w:rPr>
                          <w:rFonts w:ascii="Cambria Math" w:hAnsi="Cambria Math"/>
                        </w:rPr>
                        <m:rPr/>
                        <m:t>z</m:t>
                      </m:r>
                    </m:e>
                    <m:sub>
                      <m:r>
                        <w:rPr>
                          <w:rFonts w:ascii="Cambria Math" w:hAnsi="Cambria Math"/>
                        </w:rPr>
                        <m:rPr/>
                        <m:t>i</m:t>
                      </m:r>
                      <m:r>
                        <w:rPr>
                          <w:rFonts w:ascii="Cambria Math" w:hAnsi="Cambria Math"/>
                        </w:rPr>
                        <m:rPr/>
                        <m:t>,</m:t>
                      </m:r>
                      <m:r>
                        <w:rPr>
                          <w:rFonts w:ascii="Cambria Math" w:hAnsi="Cambria Math"/>
                        </w:rPr>
                        <m:rPr/>
                        <m:t>j</m:t>
                      </m:r>
                    </m:sub>
                  </m:sSub>
                </m:num>
                <m:den>
                  <m:sSub>
                    <m:sSubPr>
                      <m:ctrlPr/>
                    </m:sSubPr>
                    <m:e>
                      <m:r>
                        <w:rPr>
                          <w:rFonts w:ascii="Cambria Math" w:hAnsi="Cambria Math"/>
                        </w:rPr>
                        <m:rPr/>
                        <m:t>z</m:t>
                      </m:r>
                    </m:e>
                    <m:sub>
                      <m:r>
                        <w:rPr>
                          <w:rFonts w:ascii="Cambria Math" w:hAnsi="Cambria Math"/>
                        </w:rPr>
                        <m:rPr/>
                        <m:t>i</m:t>
                      </m:r>
                      <m:r>
                        <w:rPr>
                          <w:rFonts w:ascii="Cambria Math" w:hAnsi="Cambria Math"/>
                        </w:rPr>
                        <m:rPr/>
                        <m:t>,</m:t>
                      </m:r>
                      <m:r>
                        <w:rPr>
                          <w:rFonts w:ascii="Cambria Math" w:hAnsi="Cambria Math"/>
                        </w:rPr>
                        <m:rPr/>
                        <m:t>j</m:t>
                      </m:r>
                    </m:sub>
                  </m:sSub>
                </m:den>
              </m:f>
            </m:e>
          </m:d>
          <m:r>
            <w:rPr>
              <w:rFonts w:ascii="Cambria Math" w:hAnsi="Cambria Math"/>
            </w:rPr>
            <m:rPr/>
            <m:t>×</m:t>
          </m:r>
          <m:f>
            <m:fPr>
              <m:ctrlPr/>
            </m:fPr>
            <m:num>
              <m:sSub>
                <m:sSubPr>
                  <m:ctrlPr/>
                </m:sSubPr>
                <m:e>
                  <m:r>
                    <w:rPr>
                      <w:rFonts w:ascii="Cambria Math" w:hAnsi="Cambria Math"/>
                    </w:rPr>
                    <m:rPr/>
                    <m:t>τ</m:t>
                  </m:r>
                </m:e>
                <m:sub>
                  <m:r>
                    <w:rPr>
                      <w:rFonts w:ascii="Cambria Math" w:hAnsi="Cambria Math"/>
                    </w:rPr>
                    <m:rPr/>
                    <m:t>j</m:t>
                  </m:r>
                </m:sub>
              </m:sSub>
            </m:num>
            <m:den>
              <m:sSub>
                <m:sSubPr>
                  <m:ctrlPr/>
                </m:sSubPr>
                <m:e>
                  <m:r>
                    <w:rPr>
                      <w:rFonts w:ascii="Cambria Math" w:hAnsi="Cambria Math"/>
                    </w:rPr>
                    <m:rPr/>
                    <m:t>τ</m:t>
                  </m:r>
                </m:e>
                <m:sub>
                  <m:r>
                    <w:rPr>
                      <w:rFonts w:ascii="Cambria Math" w:hAnsi="Cambria Math"/>
                    </w:rPr>
                    <m:rPr/>
                    <m:t>on</m:t>
                  </m:r>
                </m:sub>
              </m:sSub>
            </m:den>
          </m:f>
        </m:oMath>
      </m:oMathPara>
      <w:r/>
      <w:r/>
    </w:p>
    <w:p>
      <w:pPr>
        <w:pStyle w:val="10533"/>
        <w:pBdr/>
        <w:spacing/>
        <w:ind/>
        <w:jc w:val="center"/>
        <w:rPr>
          <w:i/>
        </w:rPr>
      </w:pPr>
      <w:r/>
      <m:oMathPara>
        <m:oMathParaPr>
          <m:jc m:val="center"/>
        </m:oMathParaPr>
        <m:oMath>
          <m:sSub>
            <m:sSubPr>
              <m:ctrlPr/>
            </m:sSubPr>
            <m:e>
              <m:bar>
                <m:barPr>
                  <m:pos m:val="top"/>
                  <m:ctrlPr/>
                </m:barPr>
                <m:e>
                  <m:r>
                    <w:rPr>
                      <w:rFonts w:ascii="Cambria Math" w:hAnsi="Cambria Math"/>
                    </w:rPr>
                    <m:rPr/>
                    <m:t>ω</m:t>
                  </m:r>
                </m:e>
              </m:bar>
            </m:e>
            <m:sub>
              <m:r>
                <w:rPr>
                  <w:rFonts w:ascii="Cambria Math" w:hAnsi="Cambria Math"/>
                </w:rPr>
                <m:rPr/>
                <m:t>i</m:t>
              </m:r>
            </m:sub>
          </m:sSub>
          <m:r>
            <w:rPr>
              <w:rFonts w:ascii="Cambria Math" w:hAnsi="Cambria Math"/>
            </w:rPr>
            <m:rPr/>
            <m:t>=</m:t>
          </m:r>
          <m:sSub>
            <m:sSubPr>
              <m:ctrlPr/>
            </m:sSubPr>
            <m:e>
              <m:r>
                <w:rPr>
                  <w:rFonts w:ascii="Cambria Math" w:hAnsi="Cambria Math"/>
                </w:rPr>
                <m:rPr/>
                <m:t>λ</m:t>
              </m:r>
            </m:e>
            <m:sub>
              <m:r>
                <w:rPr>
                  <w:rFonts w:ascii="Cambria Math" w:hAnsi="Cambria Math"/>
                </w:rPr>
                <m:rPr/>
                <m:t>i</m:t>
              </m:r>
            </m:sub>
          </m:sSub>
          <m:sSub>
            <m:sSubPr>
              <m:ctrlPr/>
            </m:sSubPr>
            <m:e>
              <m:r>
                <w:rPr>
                  <w:rFonts w:ascii="Cambria Math" w:hAnsi="Cambria Math"/>
                </w:rPr>
                <m:rPr/>
                <m:t>L</m:t>
              </m:r>
            </m:e>
            <m:sub>
              <m:r>
                <w:rPr>
                  <w:rFonts w:ascii="Cambria Math" w:hAnsi="Cambria Math"/>
                </w:rPr>
                <m:rPr/>
                <m:t>i</m:t>
              </m:r>
            </m:sub>
          </m:sSub>
          <m:r>
            <w:rPr>
              <w:rFonts w:ascii="Cambria Math" w:hAnsi="Cambria Math"/>
            </w:rPr>
            <m:rPr/>
            <m:t>×</m:t>
          </m:r>
          <m:nary>
            <m:naryPr>
              <m:chr m:val="∑"/>
              <m:grow m:val="off"/>
              <m:ctrlPr/>
            </m:naryPr>
            <m:sub>
              <m:r>
                <w:rPr>
                  <w:rFonts w:ascii="Cambria Math" w:hAnsi="Cambria Math"/>
                </w:rPr>
                <m:rPr/>
                <m:t>j</m:t>
              </m:r>
              <m:r>
                <w:rPr>
                  <w:rFonts w:ascii="Cambria Math" w:hAnsi="Cambria Math"/>
                </w:rPr>
                <m:rPr/>
                <m:t>=</m:t>
              </m:r>
              <m:r>
                <w:rPr>
                  <w:rFonts w:ascii="Cambria Math" w:hAnsi="Cambria Math"/>
                </w:rPr>
                <m:rPr/>
                <m:t>1</m:t>
              </m:r>
            </m:sub>
            <m:sup>
              <m:r>
                <w:rPr>
                  <w:rFonts w:ascii="Cambria Math" w:hAnsi="Cambria Math"/>
                </w:rPr>
                <m:rPr/>
                <m:t>j</m:t>
              </m:r>
              <m:r>
                <w:rPr>
                  <w:rFonts w:ascii="Cambria Math" w:hAnsi="Cambria Math"/>
                </w:rPr>
                <m:rPr/>
                <m:t>=</m:t>
              </m:r>
              <m:r>
                <w:rPr>
                  <w:rFonts w:ascii="Cambria Math" w:hAnsi="Cambria Math"/>
                </w:rPr>
                <m:rPr/>
                <m:t>N</m:t>
              </m:r>
            </m:sup>
            <m:e>
              <m:sSub>
                <m:sSubPr>
                  <m:ctrlPr/>
                </m:sSubPr>
                <m:e>
                  <m:bar>
                    <m:barPr>
                      <m:pos m:val="top"/>
                      <m:ctrlPr/>
                    </m:barPr>
                    <m:e>
                      <m:r>
                        <w:rPr>
                          <w:rFonts w:ascii="Cambria Math" w:hAnsi="Cambria Math"/>
                        </w:rPr>
                        <m:rPr/>
                        <m:t>z</m:t>
                      </m:r>
                    </m:e>
                  </m:bar>
                </m:e>
                <m:sub>
                  <m:r>
                    <w:rPr>
                      <w:rFonts w:ascii="Cambria Math" w:hAnsi="Cambria Math"/>
                    </w:rPr>
                    <m:rPr/>
                    <m:t>i</m:t>
                  </m:r>
                  <m:r>
                    <w:rPr>
                      <w:rFonts w:ascii="Cambria Math" w:hAnsi="Cambria Math"/>
                    </w:rPr>
                    <m:rPr/>
                    <m:t>,</m:t>
                  </m:r>
                  <m:r>
                    <w:rPr>
                      <w:rFonts w:ascii="Cambria Math" w:hAnsi="Cambria Math"/>
                    </w:rPr>
                    <m:rPr/>
                    <m:t>j</m:t>
                  </m:r>
                </m:sub>
              </m:sSub>
            </m:e>
          </m:nary>
          <m:r>
            <w:rPr>
              <w:rFonts w:ascii="Cambria Math" w:hAnsi="Cambria Math"/>
            </w:rPr>
            <m:rPr/>
            <m:t>,</m:t>
          </m:r>
        </m:oMath>
      </m:oMathPara>
      <w:r/>
      <w:r>
        <w:rPr>
          <w:i/>
        </w:rPr>
      </w:r>
    </w:p>
    <w:p>
      <w:pPr>
        <w:pStyle w:val="13832"/>
        <w:keepNext w:val="false"/>
        <w:widowControl w:val="true"/>
        <w:numPr>
          <w:ilvl w:val="0"/>
          <w:numId w:val="61"/>
        </w:numPr>
        <w:pBdr/>
        <w:bidi w:val="false"/>
        <w:spacing w:after="0" w:before="0" w:line="360" w:lineRule="auto"/>
        <w:ind w:right="0" w:firstLine="510" w:left="0"/>
        <w:jc w:val="both"/>
        <w:rPr/>
      </w:pPr>
      <w:r>
        <w:t xml:space="preserve">вычисляется вероятность безотказной работы участка тепловой сети относительно абонента</w:t>
      </w:r>
      <w:r/>
    </w:p>
    <w:p>
      <w:pPr>
        <w:pStyle w:val="10533"/>
        <w:pBdr/>
        <w:spacing/>
        <w:ind/>
        <w:jc w:val="center"/>
        <w:rPr>
          <w:i/>
        </w:rPr>
      </w:pPr>
      <w:r/>
      <m:oMathPara>
        <m:oMathParaPr>
          <m:jc m:val="center"/>
        </m:oMathParaPr>
        <m:oMath>
          <m:sSub>
            <m:sSubPr>
              <m:ctrlPr/>
            </m:sSubPr>
            <m:e>
              <m:r>
                <w:rPr>
                  <w:rFonts w:ascii="Cambria Math" w:hAnsi="Cambria Math"/>
                </w:rPr>
                <m:rPr/>
                <m:t>p</m:t>
              </m:r>
            </m:e>
            <m:sub>
              <m:r>
                <w:rPr>
                  <w:rFonts w:ascii="Cambria Math" w:hAnsi="Cambria Math"/>
                </w:rPr>
                <m:rPr/>
                <m:t>i</m:t>
              </m:r>
            </m:sub>
          </m:sSub>
          <m:r>
            <w:rPr>
              <w:rFonts w:ascii="Cambria Math" w:hAnsi="Cambria Math"/>
            </w:rPr>
            <m:rPr/>
            <m:t>=</m:t>
          </m:r>
          <m:r>
            <w:rPr>
              <w:rFonts w:ascii="Cambria Math" w:hAnsi="Cambria Math"/>
            </w:rPr>
            <m:rPr/>
            <m:t>exp</m:t>
          </m:r>
          <m:d>
            <m:dPr>
              <m:begChr m:val="("/>
              <m:endChr m:val=")"/>
              <m:ctrlPr/>
            </m:dPr>
            <m:e>
              <m:r>
                <w:rPr>
                  <w:rFonts w:ascii="Cambria Math" w:hAnsi="Cambria Math"/>
                </w:rPr>
                <m:rPr/>
                <m:t>−</m:t>
              </m:r>
              <m:sSub>
                <m:sSubPr>
                  <m:ctrlPr/>
                </m:sSubPr>
                <m:e>
                  <m:bar>
                    <m:barPr>
                      <m:pos m:val="top"/>
                      <m:ctrlPr/>
                    </m:barPr>
                    <m:e>
                      <m:r>
                        <w:rPr>
                          <w:rFonts w:ascii="Cambria Math" w:hAnsi="Cambria Math"/>
                        </w:rPr>
                        <m:rPr/>
                        <m:t>ω</m:t>
                      </m:r>
                    </m:e>
                  </m:bar>
                </m:e>
                <m:sub>
                  <m:r>
                    <w:rPr>
                      <w:rFonts w:ascii="Cambria Math" w:hAnsi="Cambria Math"/>
                    </w:rPr>
                    <m:rPr/>
                    <m:t>i</m:t>
                  </m:r>
                </m:sub>
              </m:sSub>
            </m:e>
          </m:d>
          <m:r>
            <w:rPr>
              <w:rFonts w:ascii="Cambria Math" w:hAnsi="Cambria Math"/>
            </w:rPr>
            <m:rPr/>
            <m:t>.</m:t>
          </m:r>
        </m:oMath>
      </m:oMathPara>
      <w:r/>
      <w:r>
        <w:rPr>
          <w:i/>
        </w:rPr>
      </w:r>
    </w:p>
    <w:p>
      <w:pPr>
        <w:pStyle w:val="12960"/>
        <w:pBdr/>
        <w:spacing/>
        <w:ind/>
        <w:rPr/>
      </w:pPr>
      <w:r>
        <w:t xml:space="preserve">Оценку недоотпуска тепловой энергии потребителям рекомендуется вычислять в соответствии с формулой: </w:t>
      </w:r>
      <w:r/>
    </w:p>
    <w:p>
      <w:pPr>
        <w:pStyle w:val="10533"/>
        <w:pBdr/>
        <w:spacing/>
        <w:ind/>
        <w:jc w:val="center"/>
        <w:rPr/>
      </w:pPr>
      <w:r/>
      <m:oMathPara>
        <m:oMathParaPr>
          <m:jc m:val="center"/>
        </m:oMathParaPr>
        <m:oMath>
          <m:r>
            <w:rPr>
              <w:rFonts w:ascii="Cambria Math" w:hAnsi="Cambria Math"/>
            </w:rPr>
            <m:rPr/>
            <m:t>Δ</m:t>
          </m:r>
          <m:sSub>
            <m:sSubPr>
              <m:ctrlPr/>
            </m:sSubPr>
            <m:e>
              <m:r>
                <w:rPr>
                  <w:rFonts w:ascii="Cambria Math" w:hAnsi="Cambria Math"/>
                </w:rPr>
                <m:rPr/>
                <m:t>Q</m:t>
              </m:r>
            </m:e>
            <m:sub>
              <m:r>
                <w:rPr>
                  <w:rFonts w:ascii="Cambria Math" w:hAnsi="Cambria Math"/>
                </w:rPr>
                <m:rPr/>
                <m:t>н</m:t>
              </m:r>
            </m:sub>
          </m:sSub>
          <m:r>
            <w:rPr>
              <w:rFonts w:ascii="Cambria Math" w:hAnsi="Cambria Math"/>
            </w:rPr>
            <m:rPr/>
            <m:t>=</m:t>
          </m:r>
          <m:sSub>
            <m:sSubPr>
              <m:ctrlPr/>
            </m:sSubPr>
            <m:e>
              <m:bar>
                <m:barPr>
                  <m:pos m:val="top"/>
                  <m:ctrlPr/>
                </m:barPr>
                <m:e>
                  <m:r>
                    <w:rPr>
                      <w:rFonts w:ascii="Cambria Math" w:hAnsi="Cambria Math"/>
                    </w:rPr>
                    <m:rPr/>
                    <m:t>Q</m:t>
                  </m:r>
                </m:e>
              </m:bar>
            </m:e>
            <m:sub>
              <m:r>
                <w:rPr>
                  <w:rFonts w:ascii="Cambria Math" w:hAnsi="Cambria Math"/>
                </w:rPr>
                <m:rPr/>
                <m:t>пр</m:t>
              </m:r>
            </m:sub>
          </m:sSub>
          <m:r>
            <w:rPr>
              <w:rFonts w:ascii="Cambria Math" w:hAnsi="Cambria Math"/>
            </w:rPr>
            <m:rPr/>
            <m:t>×</m:t>
          </m:r>
          <m:sSub>
            <m:sSubPr>
              <m:ctrlPr/>
            </m:sSubPr>
            <m:e>
              <m:r>
                <w:rPr>
                  <w:rFonts w:ascii="Cambria Math" w:hAnsi="Cambria Math"/>
                </w:rPr>
                <m:rPr/>
                <m:t>T</m:t>
              </m:r>
            </m:e>
            <m:sub>
              <m:r>
                <w:rPr>
                  <w:rFonts w:ascii="Cambria Math" w:hAnsi="Cambria Math"/>
                </w:rPr>
                <m:rPr/>
                <m:t>оп</m:t>
              </m:r>
            </m:sub>
          </m:sSub>
          <m:r>
            <w:rPr>
              <w:rFonts w:ascii="Cambria Math" w:hAnsi="Cambria Math"/>
            </w:rPr>
            <m:rPr/>
            <m:t>×</m:t>
          </m:r>
          <m:sSub>
            <m:sSubPr>
              <m:ctrlPr/>
            </m:sSubPr>
            <m:e>
              <m:r>
                <w:rPr>
                  <w:rFonts w:ascii="Cambria Math" w:hAnsi="Cambria Math"/>
                </w:rPr>
                <m:rPr/>
                <m:t>q</m:t>
              </m:r>
            </m:e>
            <m:sub>
              <m:r>
                <w:rPr>
                  <w:rFonts w:ascii="Cambria Math" w:hAnsi="Cambria Math"/>
                </w:rPr>
                <m:rPr/>
                <m:t>тп</m:t>
              </m:r>
            </m:sub>
          </m:sSub>
          <m:r>
            <w:rPr>
              <w:rFonts w:ascii="Cambria Math" w:hAnsi="Cambria Math"/>
            </w:rPr>
            <m:rPr/>
            <m:t>,</m:t>
          </m:r>
          <m:r>
            <w:rPr>
              <w:rFonts w:ascii="Cambria Math" w:hAnsi="Cambria Math"/>
            </w:rPr>
            <m:rPr/>
            <m:t>Гкал</m:t>
          </m:r>
        </m:oMath>
      </m:oMathPara>
      <w:r/>
      <w:r/>
    </w:p>
    <w:p>
      <w:pPr>
        <w:pStyle w:val="10533"/>
        <w:pBdr/>
        <w:spacing w:line="360" w:lineRule="auto"/>
        <w:ind/>
        <w:rPr/>
      </w:pPr>
      <w:r>
        <w:t xml:space="preserve">где </w:t>
      </w:r>
      <w:r/>
      <m:oMath>
        <m:sSub>
          <m:sSubPr>
            <m:ctrlPr/>
          </m:sSubPr>
          <m:e>
            <m:bar>
              <m:barPr>
                <m:pos m:val="top"/>
                <m:ctrlPr/>
              </m:barPr>
              <m:e>
                <m:r>
                  <w:rPr>
                    <w:rFonts w:ascii="Cambria Math" w:hAnsi="Cambria Math"/>
                  </w:rPr>
                  <m:rPr/>
                  <m:t>Q</m:t>
                </m:r>
              </m:e>
            </m:bar>
          </m:e>
          <m:sub>
            <m:r>
              <w:rPr>
                <w:rFonts w:ascii="Cambria Math" w:hAnsi="Cambria Math"/>
              </w:rPr>
              <m:rPr/>
              <m:t>пр</m:t>
            </m:r>
          </m:sub>
        </m:sSub>
      </m:oMath>
      <w:r>
        <w:t xml:space="preserve">– среднегодовая тепловая мощность теплопотребляющих установок потребителя (либо, по-другому, тепловая нагрузка потребителя), Гкал/ч; </w:t>
      </w:r>
      <w:r/>
    </w:p>
    <w:p>
      <w:pPr>
        <w:pStyle w:val="10533"/>
        <w:pBdr/>
        <w:spacing w:line="360" w:lineRule="auto"/>
        <w:ind/>
        <w:rPr/>
      </w:pPr>
      <w:r/>
      <m:oMath>
        <m:sSub>
          <m:sSubPr>
            <m:ctrlPr/>
          </m:sSubPr>
          <m:e>
            <m:r>
              <w:rPr>
                <w:rFonts w:ascii="Cambria Math" w:hAnsi="Cambria Math"/>
              </w:rPr>
              <m:rPr/>
              <m:t>T</m:t>
            </m:r>
          </m:e>
          <m:sub>
            <m:r>
              <w:rPr>
                <w:rFonts w:ascii="Cambria Math" w:hAnsi="Cambria Math"/>
              </w:rPr>
              <m:rPr/>
              <m:t>оп</m:t>
            </m:r>
          </m:sub>
        </m:sSub>
      </m:oMath>
      <w:r>
        <w:t xml:space="preserve">– </w:t>
      </w:r>
      <w:r>
        <w:t xml:space="preserve">продолжительность отопительного периода, час;</w:t>
      </w:r>
      <w:r/>
    </w:p>
    <w:p>
      <w:pPr>
        <w:pStyle w:val="10533"/>
        <w:pBdr/>
        <w:spacing w:line="360" w:lineRule="auto"/>
        <w:ind/>
        <w:rPr/>
      </w:pPr>
      <w:r/>
      <m:oMath>
        <m:sSub>
          <m:sSubPr>
            <m:ctrlPr/>
          </m:sSubPr>
          <m:e>
            <m:r>
              <w:rPr>
                <w:rFonts w:ascii="Cambria Math" w:hAnsi="Cambria Math"/>
              </w:rPr>
              <m:rPr/>
              <m:t>q</m:t>
            </m:r>
          </m:e>
          <m:sub>
            <m:r>
              <w:rPr>
                <w:rFonts w:ascii="Cambria Math" w:hAnsi="Cambria Math"/>
              </w:rPr>
              <m:rPr/>
              <m:t>тп</m:t>
            </m:r>
          </m:sub>
        </m:sSub>
      </m:oMath>
      <w:r>
        <w:t xml:space="preserve">– </w:t>
      </w:r>
      <w:r>
        <w:t xml:space="preserve">вероятность отказа теплопровода.</w:t>
      </w:r>
      <w:r/>
    </w:p>
    <w:p>
      <w:pPr>
        <w:pStyle w:val="12960"/>
        <w:pBdr/>
        <w:spacing/>
        <w:ind/>
        <w:rPr/>
      </w:pPr>
      <w:r>
        <w:t xml:space="preserve">Расчет степени износа</w:t>
      </w:r>
      <w:r/>
    </w:p>
    <w:p>
      <w:pPr>
        <w:pStyle w:val="12960"/>
        <w:pBdr/>
        <w:spacing/>
        <w:ind/>
        <w:rPr/>
      </w:pPr>
      <w:r>
        <w:t xml:space="preserve">Степень физического износа трасс теплоснабжения рассчитывался по формуле: К (ф</w:t>
      </w:r>
      <w:r>
        <w:t xml:space="preserve">из.изн.) = Т (факт.) / Т (норм.) * 100 %. Где: Т (факт.) – фактический срок службы, лет; Т (норм.) – нормативный срок службы, лет. При этом нормативный срок службы, согласно п.1.2 СО 153-34.17.464-2003 "Инструкция по продлению срока службы трубопроводов II</w:t>
      </w:r>
      <w:r>
        <w:t xml:space="preserve">, III и IV категорий", утв. Приказом Минэнерго России от 30.06.2003 г. №265 при отсутствии срока службы трубопровода, который устанавливается организацией-изготовителем и указывается в паспорте трубопровода срок службы устанавливается в следующих пределах:</w:t>
      </w:r>
      <w:r/>
    </w:p>
    <w:p>
      <w:pPr>
        <w:pStyle w:val="12960"/>
        <w:pBdr/>
        <w:spacing/>
        <w:ind/>
        <w:rPr/>
      </w:pPr>
      <w:r>
        <w:t xml:space="preserve">- для трубопроводов пара II категории группы 1-150 тыс.ч (20 лет);</w:t>
      </w:r>
      <w:r/>
    </w:p>
    <w:p>
      <w:pPr>
        <w:pStyle w:val="12960"/>
        <w:pBdr/>
        <w:spacing/>
        <w:ind/>
        <w:rPr/>
      </w:pPr>
      <w:r>
        <w:t xml:space="preserve">- для станционных трубопроводов сетевой и подпиточной воды [III или (и) IV категорий] - 25 лет;</w:t>
      </w:r>
      <w:r/>
    </w:p>
    <w:p>
      <w:pPr>
        <w:pStyle w:val="12960"/>
        <w:pBdr/>
        <w:spacing/>
        <w:ind/>
        <w:rPr/>
      </w:pPr>
      <w:r>
        <w:t xml:space="preserve">- для остальных трубопроводов (II категории группы 2, III и IV категорий) - 30 лет.</w:t>
      </w:r>
      <w:r/>
    </w:p>
    <w:p>
      <w:pPr>
        <w:pStyle w:val="12960"/>
        <w:pBdr/>
        <w:spacing/>
        <w:ind/>
        <w:rPr/>
      </w:pPr>
      <w:r>
        <w:t xml:space="preserve">Срок службы может устанавливаться экспертной организацией индивидуально для конкретного трубопровода.</w:t>
      </w:r>
      <w:r/>
    </w:p>
    <w:p>
      <w:pPr>
        <w:pStyle w:val="12960"/>
        <w:pBdr/>
        <w:spacing/>
        <w:ind/>
        <w:rPr/>
      </w:pPr>
      <w:r>
        <w:t xml:space="preserve">Для новых тепловых сетей срок службы согласно СП 74.13330.2023. - не менее 30 лет. </w:t>
      </w:r>
      <w:r/>
    </w:p>
    <w:p>
      <w:pPr>
        <w:pStyle w:val="12960"/>
        <w:pBdr/>
        <w:spacing/>
        <w:ind/>
        <w:rPr/>
      </w:pPr>
      <w:r>
        <w:t xml:space="preserve">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r/>
    </w:p>
    <w:p>
      <w:pPr>
        <w:pStyle w:val="12960"/>
        <w:pBdr/>
        <w:spacing/>
        <w:ind/>
        <w:rPr/>
      </w:pPr>
      <w:r>
        <w:t xml:space="preserve">Развитие системы централизованного теплоснабжения в соответствии с настоящей программой позволит повысить надежность централизованного теплоснабжения прежде всего от центральной котельной и</w:t>
      </w:r>
      <w:r>
        <w:t xml:space="preserve"> достигнуть верхний предел значения общего коэффициента надежности (0,89) за счет повышения надежности электроснабжения источника тепловой энергии, повышения уровня резервирования и устройства перемычек между смежными районами, снижением доли ветхих сетей.</w:t>
      </w:r>
      <w:r/>
    </w:p>
    <w:p>
      <w:pPr>
        <w:pStyle w:val="12960"/>
        <w:pBdr/>
        <w:spacing/>
        <w:ind/>
        <w:rPr/>
        <w:sectPr>
          <w:headerReference w:type="default" r:id="rId166"/>
          <w:headerReference w:type="first" r:id="rId167"/>
          <w:footerReference w:type="default" r:id="rId434"/>
          <w:footerReference w:type="first" r:id="rId435"/>
          <w:footnotePr/>
          <w:endnotePr/>
          <w:type w:val="nextPage"/>
          <w:pgSz w:h="16838" w:orient="portrait" w:w="11906"/>
          <w:pgMar w:top="1134" w:right="850" w:bottom="1134" w:left="1701" w:header="708" w:footer="708" w:gutter="0"/>
          <w:cols w:num="1" w:sep="0" w:space="1701" w:equalWidth="1"/>
        </w:sectPr>
      </w:pPr>
      <w:r>
        <w:t xml:space="preserve">Перспективные показатели надёжности с учётом предложений по её увеличению для систем теплоснабжения котельной на территории муниципального образования Астаповское представлены в таблице.</w:t>
      </w:r>
      <w:r/>
    </w:p>
    <w:p>
      <w:pPr>
        <w:pStyle w:val="12960"/>
        <w:pBdr/>
        <w:spacing/>
        <w:ind/>
        <w:rPr>
          <w:b/>
        </w:rPr>
      </w:pPr>
      <w:r>
        <w:rPr>
          <w:b/>
        </w:rPr>
        <w:t xml:space="preserve">Таблица 11.1.1 - Перспективные показатели надёжности</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804"/>
        <w:gridCol w:w="5679"/>
        <w:gridCol w:w="1332"/>
        <w:gridCol w:w="2115"/>
        <w:gridCol w:w="2282"/>
        <w:gridCol w:w="2357"/>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804" w:type="dxa"/>
            <w:vAlign w:val="center"/>
            <w:vMerge w:val="restart"/>
          </w:tcPr>
          <w:p>
            <w:pPr>
              <w:pStyle w:val="12385"/>
              <w:pBdr/>
              <w:spacing/>
              <w:ind/>
              <w:rPr/>
            </w:pPr>
            <w:r>
              <w:t xml:space="preserve">№</w:t>
            </w:r>
            <w:r/>
          </w:p>
        </w:tc>
        <w:tc>
          <w:tcPr>
            <w:shd w:val="clear" w:color="000000" w:fill="d9d9d9"/>
            <w:tcBorders>
              <w:top w:val="single" w:color="000000" w:sz="4" w:space="0"/>
              <w:left w:val="single" w:color="000000" w:sz="4" w:space="0"/>
              <w:bottom w:val="single" w:color="000000" w:sz="4" w:space="0"/>
              <w:right w:val="single" w:color="000000" w:sz="4" w:space="0"/>
            </w:tcBorders>
            <w:tcW w:w="5679" w:type="dxa"/>
            <w:vAlign w:val="center"/>
            <w:vMerge w:val="restart"/>
          </w:tcPr>
          <w:p>
            <w:pPr>
              <w:pStyle w:val="12385"/>
              <w:pBdr/>
              <w:spacing/>
              <w:ind/>
              <w:rPr/>
            </w:pPr>
            <w:r>
              <w:t xml:space="preserve">Наименование показателя</w:t>
            </w:r>
            <w:r/>
          </w:p>
        </w:tc>
        <w:tc>
          <w:tcPr>
            <w:shd w:val="clear" w:color="000000" w:fill="d9d9d9"/>
            <w:tcBorders>
              <w:top w:val="single" w:color="000000" w:sz="4" w:space="0"/>
              <w:left w:val="single" w:color="000000" w:sz="4" w:space="0"/>
              <w:bottom w:val="single" w:color="000000" w:sz="4" w:space="0"/>
              <w:right w:val="single" w:color="000000" w:sz="4" w:space="0"/>
            </w:tcBorders>
            <w:tcW w:w="1332" w:type="dxa"/>
            <w:vAlign w:val="center"/>
            <w:vMerge w:val="restart"/>
          </w:tcPr>
          <w:p>
            <w:pPr>
              <w:pStyle w:val="12385"/>
              <w:pBdr/>
              <w:spacing/>
              <w:ind/>
              <w:rPr/>
            </w:pPr>
            <w:r>
              <w:t xml:space="preserve">Обозначение</w:t>
            </w:r>
            <w:r/>
          </w:p>
        </w:tc>
        <w:tc>
          <w:tcPr>
            <w:gridSpan w:val="3"/>
            <w:shd w:val="clear" w:color="000000" w:fill="d9d9d9"/>
            <w:tcBorders>
              <w:top w:val="single" w:color="000000" w:sz="4" w:space="0"/>
              <w:bottom w:val="single" w:color="000000" w:sz="4" w:space="0"/>
            </w:tcBorders>
            <w:tcW w:w="6754" w:type="dxa"/>
            <w:vAlign w:val="center"/>
          </w:tcPr>
          <w:p>
            <w:pPr>
              <w:pStyle w:val="12385"/>
              <w:pBdr/>
              <w:spacing/>
              <w:ind/>
              <w:rPr/>
            </w:pPr>
            <w:r>
              <w:t xml:space="preserve">Источник тепловой энергии</w:t>
            </w:r>
            <w:r/>
          </w:p>
        </w:tc>
      </w:tr>
      <w:tr>
        <w:trPr>
          <w:trHeight w:val="20"/>
        </w:trPr>
        <w:tc>
          <w:tcPr>
            <w:tcBorders>
              <w:top w:val="single" w:color="000000" w:sz="4" w:space="0"/>
              <w:left w:val="single" w:color="000000" w:sz="4" w:space="0"/>
              <w:bottom w:val="single" w:color="000000" w:sz="4" w:space="0"/>
              <w:right w:val="single" w:color="000000" w:sz="4" w:space="0"/>
            </w:tcBorders>
            <w:tcW w:w="804"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5679" w:type="dxa"/>
            <w:vAlign w:val="center"/>
            <w:vMerge w:val="continue"/>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332" w:type="dxa"/>
            <w:vAlign w:val="center"/>
            <w:vMerge w:val="continue"/>
          </w:tcPr>
          <w:p>
            <w:pPr>
              <w:pStyle w:val="12385"/>
              <w:pBdr/>
              <w:spacing/>
              <w:ind/>
              <w:rPr/>
            </w:pPr>
            <w:r/>
            <w:r/>
          </w:p>
        </w:tc>
        <w:tc>
          <w:tcPr>
            <w:shd w:val="clear" w:color="000000" w:fill="d9d9d9"/>
            <w:tcBorders>
              <w:bottom w:val="single" w:color="000000" w:sz="4" w:space="0"/>
              <w:right w:val="single" w:color="000000" w:sz="4" w:space="0"/>
            </w:tcBorders>
            <w:tcW w:w="2115" w:type="dxa"/>
            <w:vAlign w:val="center"/>
          </w:tcPr>
          <w:p>
            <w:pPr>
              <w:pStyle w:val="12385"/>
              <w:pBdr/>
              <w:spacing/>
              <w:ind/>
              <w:rPr/>
            </w:pPr>
            <w:r>
              <w:t xml:space="preserve">Котельная №5 д. Ясенки</w:t>
            </w:r>
            <w:r/>
          </w:p>
        </w:tc>
        <w:tc>
          <w:tcPr>
            <w:shd w:val="clear" w:color="000000" w:fill="d9d9d9"/>
            <w:tcBorders>
              <w:bottom w:val="single" w:color="000000" w:sz="4" w:space="0"/>
              <w:right w:val="single" w:color="000000" w:sz="4" w:space="0"/>
            </w:tcBorders>
            <w:tcW w:w="2282" w:type="dxa"/>
            <w:vAlign w:val="center"/>
          </w:tcPr>
          <w:p>
            <w:pPr>
              <w:pStyle w:val="12385"/>
              <w:pBdr/>
              <w:spacing/>
              <w:ind/>
              <w:rPr/>
            </w:pPr>
            <w:r>
              <w:t xml:space="preserve">Котельная №6 п. Первомайский</w:t>
            </w:r>
            <w:r/>
          </w:p>
        </w:tc>
        <w:tc>
          <w:tcPr>
            <w:shd w:val="clear" w:color="000000" w:fill="d9d9d9"/>
            <w:tcBorders>
              <w:bottom w:val="single" w:color="000000" w:sz="4" w:space="0"/>
              <w:right w:val="single" w:color="000000" w:sz="4" w:space="0"/>
            </w:tcBorders>
            <w:tcW w:w="2357" w:type="dxa"/>
            <w:vAlign w:val="center"/>
          </w:tcPr>
          <w:p>
            <w:pPr>
              <w:pStyle w:val="12385"/>
              <w:pBdr/>
              <w:spacing/>
              <w:ind/>
              <w:rPr/>
            </w:pPr>
            <w:r>
              <w:t xml:space="preserve">Котельная №7 с. Белый Колодезь</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1</w:t>
            </w:r>
            <w:r/>
          </w:p>
        </w:tc>
        <w:tc>
          <w:tcPr>
            <w:tcBorders>
              <w:bottom w:val="single" w:color="000000" w:sz="4" w:space="0"/>
              <w:right w:val="single" w:color="000000" w:sz="4" w:space="0"/>
            </w:tcBorders>
            <w:tcW w:w="5679" w:type="dxa"/>
            <w:vAlign w:val="center"/>
          </w:tcPr>
          <w:p>
            <w:pPr>
              <w:pStyle w:val="12385"/>
              <w:pBdr/>
              <w:spacing/>
              <w:ind/>
              <w:rPr/>
            </w:pPr>
            <w:r>
              <w:t xml:space="preserve">интенсивность отказов систем теплоснабжения</w:t>
            </w:r>
            <w:r/>
          </w:p>
        </w:tc>
        <w:tc>
          <w:tcPr>
            <w:tcBorders>
              <w:bottom w:val="single" w:color="000000" w:sz="4" w:space="0"/>
              <w:right w:val="single" w:color="000000" w:sz="4" w:space="0"/>
            </w:tcBorders>
            <w:tcW w:w="1332" w:type="dxa"/>
            <w:vAlign w:val="center"/>
          </w:tcPr>
          <w:p>
            <w:pPr>
              <w:pStyle w:val="12385"/>
              <w:pBdr/>
              <w:spacing/>
              <w:ind/>
              <w:rPr/>
            </w:pPr>
            <w:r>
              <w:t xml:space="preserve">p</w:t>
            </w:r>
            <w:r/>
          </w:p>
        </w:tc>
        <w:tc>
          <w:tcPr>
            <w:tcBorders>
              <w:bottom w:val="single" w:color="000000" w:sz="4" w:space="0"/>
              <w:right w:val="single" w:color="000000" w:sz="4" w:space="0"/>
            </w:tcBorders>
            <w:tcW w:w="2115" w:type="dxa"/>
            <w:vAlign w:val="center"/>
          </w:tcPr>
          <w:p>
            <w:pPr>
              <w:pStyle w:val="12385"/>
              <w:pBdr/>
              <w:spacing/>
              <w:ind/>
              <w:rPr/>
            </w:pPr>
            <w:r>
              <w:t xml:space="preserve">-</w:t>
            </w:r>
            <w:r/>
          </w:p>
        </w:tc>
        <w:tc>
          <w:tcPr>
            <w:tcBorders>
              <w:bottom w:val="single" w:color="000000" w:sz="4" w:space="0"/>
              <w:right w:val="single" w:color="000000" w:sz="4" w:space="0"/>
            </w:tcBorders>
            <w:tcW w:w="2282" w:type="dxa"/>
            <w:vAlign w:val="center"/>
          </w:tcPr>
          <w:p>
            <w:pPr>
              <w:pStyle w:val="12385"/>
              <w:pBdr/>
              <w:spacing/>
              <w:ind/>
              <w:rPr/>
            </w:pPr>
            <w:r>
              <w:t xml:space="preserve">-</w:t>
            </w:r>
            <w:r/>
          </w:p>
        </w:tc>
        <w:tc>
          <w:tcPr>
            <w:tcBorders>
              <w:bottom w:val="single" w:color="000000" w:sz="4" w:space="0"/>
              <w:right w:val="single" w:color="000000" w:sz="4" w:space="0"/>
            </w:tcBorders>
            <w:tcW w:w="2357" w:type="dxa"/>
            <w:vAlign w:val="center"/>
          </w:tcPr>
          <w:p>
            <w:pPr>
              <w:pStyle w:val="12385"/>
              <w:pBdr/>
              <w:spacing/>
              <w:ind/>
              <w:rPr/>
            </w:pPr>
            <w:r>
              <w:t xml:space="preserve">-</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2</w:t>
            </w:r>
            <w:r/>
          </w:p>
        </w:tc>
        <w:tc>
          <w:tcPr>
            <w:tcBorders>
              <w:bottom w:val="single" w:color="000000" w:sz="4" w:space="0"/>
              <w:right w:val="single" w:color="000000" w:sz="4" w:space="0"/>
            </w:tcBorders>
            <w:tcW w:w="5679" w:type="dxa"/>
            <w:vAlign w:val="center"/>
          </w:tcPr>
          <w:p>
            <w:pPr>
              <w:pStyle w:val="12385"/>
              <w:pBdr/>
              <w:spacing/>
              <w:ind/>
              <w:rPr/>
            </w:pPr>
            <w:r>
              <w:t xml:space="preserve">относительный аварийный недоотпуск тепла</w:t>
            </w:r>
            <w:r/>
          </w:p>
        </w:tc>
        <w:tc>
          <w:tcPr>
            <w:tcBorders>
              <w:bottom w:val="single" w:color="000000" w:sz="4" w:space="0"/>
              <w:right w:val="single" w:color="000000" w:sz="4" w:space="0"/>
            </w:tcBorders>
            <w:tcW w:w="1332" w:type="dxa"/>
            <w:vAlign w:val="center"/>
          </w:tcPr>
          <w:p>
            <w:pPr>
              <w:pStyle w:val="12385"/>
              <w:pBdr/>
              <w:spacing/>
              <w:ind/>
              <w:rPr/>
            </w:pPr>
            <w:r>
              <w:t xml:space="preserve">q</w:t>
            </w:r>
            <w:r/>
          </w:p>
        </w:tc>
        <w:tc>
          <w:tcPr>
            <w:tcBorders>
              <w:bottom w:val="single" w:color="000000" w:sz="4" w:space="0"/>
              <w:right w:val="single" w:color="000000" w:sz="4" w:space="0"/>
            </w:tcBorders>
            <w:tcW w:w="2115" w:type="dxa"/>
            <w:vAlign w:val="center"/>
          </w:tcPr>
          <w:p>
            <w:pPr>
              <w:pStyle w:val="12385"/>
              <w:pBdr/>
              <w:spacing/>
              <w:ind/>
              <w:rPr/>
            </w:pPr>
            <w:r>
              <w:t xml:space="preserve">-</w:t>
            </w:r>
            <w:r/>
          </w:p>
        </w:tc>
        <w:tc>
          <w:tcPr>
            <w:tcBorders>
              <w:bottom w:val="single" w:color="000000" w:sz="4" w:space="0"/>
              <w:right w:val="single" w:color="000000" w:sz="4" w:space="0"/>
            </w:tcBorders>
            <w:tcW w:w="2282" w:type="dxa"/>
            <w:vAlign w:val="center"/>
          </w:tcPr>
          <w:p>
            <w:pPr>
              <w:pStyle w:val="12385"/>
              <w:pBdr/>
              <w:spacing/>
              <w:ind/>
              <w:rPr/>
            </w:pPr>
            <w:r>
              <w:t xml:space="preserve">-</w:t>
            </w:r>
            <w:r/>
          </w:p>
        </w:tc>
        <w:tc>
          <w:tcPr>
            <w:tcBorders>
              <w:bottom w:val="single" w:color="000000" w:sz="4" w:space="0"/>
              <w:right w:val="single" w:color="000000" w:sz="4" w:space="0"/>
            </w:tcBorders>
            <w:tcW w:w="2357" w:type="dxa"/>
            <w:vAlign w:val="center"/>
          </w:tcPr>
          <w:p>
            <w:pPr>
              <w:pStyle w:val="12385"/>
              <w:pBdr/>
              <w:spacing/>
              <w:ind/>
              <w:rPr/>
            </w:pPr>
            <w:r>
              <w:t xml:space="preserve">-</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3</w:t>
            </w:r>
            <w:r/>
          </w:p>
        </w:tc>
        <w:tc>
          <w:tcPr>
            <w:tcBorders>
              <w:bottom w:val="single" w:color="000000" w:sz="4" w:space="0"/>
              <w:right w:val="single" w:color="000000" w:sz="4" w:space="0"/>
            </w:tcBorders>
            <w:tcW w:w="5679" w:type="dxa"/>
            <w:vAlign w:val="center"/>
          </w:tcPr>
          <w:p>
            <w:pPr>
              <w:pStyle w:val="12385"/>
              <w:pBdr/>
              <w:spacing/>
              <w:ind/>
              <w:rPr/>
            </w:pPr>
            <w:r>
              <w:t xml:space="preserve">надежность электроснабжения источников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Кэ</w:t>
            </w:r>
            <w:r/>
          </w:p>
        </w:tc>
        <w:tc>
          <w:tcPr>
            <w:tcBorders>
              <w:bottom w:val="single" w:color="000000" w:sz="4" w:space="0"/>
              <w:right w:val="single" w:color="000000" w:sz="4" w:space="0"/>
            </w:tcBorders>
            <w:tcW w:w="2115" w:type="dxa"/>
            <w:vAlign w:val="center"/>
          </w:tcPr>
          <w:p>
            <w:pPr>
              <w:pStyle w:val="12385"/>
              <w:pBdr/>
              <w:spacing/>
              <w:ind/>
              <w:rPr/>
            </w:pPr>
            <w:r>
              <w:t xml:space="preserve">0,6</w:t>
            </w:r>
            <w:r/>
          </w:p>
        </w:tc>
        <w:tc>
          <w:tcPr>
            <w:tcBorders>
              <w:bottom w:val="single" w:color="000000" w:sz="4" w:space="0"/>
              <w:right w:val="single" w:color="000000" w:sz="4" w:space="0"/>
            </w:tcBorders>
            <w:tcW w:w="2282" w:type="dxa"/>
            <w:vAlign w:val="center"/>
          </w:tcPr>
          <w:p>
            <w:pPr>
              <w:pStyle w:val="12385"/>
              <w:pBdr/>
              <w:spacing/>
              <w:ind/>
              <w:rPr/>
            </w:pPr>
            <w:r>
              <w:t xml:space="preserve">0,6</w:t>
            </w:r>
            <w:r/>
          </w:p>
        </w:tc>
        <w:tc>
          <w:tcPr>
            <w:tcBorders>
              <w:bottom w:val="single" w:color="000000" w:sz="4" w:space="0"/>
              <w:right w:val="single" w:color="000000" w:sz="4" w:space="0"/>
            </w:tcBorders>
            <w:tcW w:w="2357" w:type="dxa"/>
            <w:vAlign w:val="center"/>
          </w:tcPr>
          <w:p>
            <w:pPr>
              <w:pStyle w:val="12385"/>
              <w:pBdr/>
              <w:spacing/>
              <w:ind/>
              <w:rPr/>
            </w:pPr>
            <w:r>
              <w:t xml:space="preserve">0,6</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4</w:t>
            </w:r>
            <w:r/>
          </w:p>
        </w:tc>
        <w:tc>
          <w:tcPr>
            <w:tcBorders>
              <w:bottom w:val="single" w:color="000000" w:sz="4" w:space="0"/>
              <w:right w:val="single" w:color="000000" w:sz="4" w:space="0"/>
            </w:tcBorders>
            <w:tcW w:w="5679" w:type="dxa"/>
            <w:vAlign w:val="center"/>
          </w:tcPr>
          <w:p>
            <w:pPr>
              <w:pStyle w:val="12385"/>
              <w:pBdr/>
              <w:spacing/>
              <w:ind/>
              <w:rPr/>
            </w:pPr>
            <w:r>
              <w:t xml:space="preserve">надежность водоснабжения источников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Кв</w:t>
            </w:r>
            <w:r/>
          </w:p>
        </w:tc>
        <w:tc>
          <w:tcPr>
            <w:tcBorders>
              <w:bottom w:val="single" w:color="000000" w:sz="4" w:space="0"/>
              <w:right w:val="single" w:color="000000" w:sz="4" w:space="0"/>
            </w:tcBorders>
            <w:tcW w:w="2115" w:type="dxa"/>
            <w:vAlign w:val="center"/>
          </w:tcPr>
          <w:p>
            <w:pPr>
              <w:pStyle w:val="12385"/>
              <w:pBdr/>
              <w:spacing/>
              <w:ind/>
              <w:rPr/>
            </w:pPr>
            <w:r>
              <w:t xml:space="preserve">1</w:t>
            </w:r>
            <w:r/>
          </w:p>
        </w:tc>
        <w:tc>
          <w:tcPr>
            <w:tcBorders>
              <w:bottom w:val="single" w:color="000000" w:sz="4" w:space="0"/>
              <w:right w:val="single" w:color="000000" w:sz="4" w:space="0"/>
            </w:tcBorders>
            <w:tcW w:w="2282" w:type="dxa"/>
            <w:vAlign w:val="center"/>
          </w:tcPr>
          <w:p>
            <w:pPr>
              <w:pStyle w:val="12385"/>
              <w:pBdr/>
              <w:spacing/>
              <w:ind/>
              <w:rPr/>
            </w:pPr>
            <w:r>
              <w:t xml:space="preserve">1</w:t>
            </w:r>
            <w:r/>
          </w:p>
        </w:tc>
        <w:tc>
          <w:tcPr>
            <w:tcBorders>
              <w:bottom w:val="single" w:color="000000" w:sz="4" w:space="0"/>
              <w:right w:val="single" w:color="000000" w:sz="4" w:space="0"/>
            </w:tcBorders>
            <w:tcW w:w="2357" w:type="dxa"/>
            <w:vAlign w:val="center"/>
          </w:tcPr>
          <w:p>
            <w:pPr>
              <w:pStyle w:val="12385"/>
              <w:pBdr/>
              <w:spacing/>
              <w:ind/>
              <w:rPr/>
            </w:pPr>
            <w:r>
              <w:t xml:space="preserve">1</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5</w:t>
            </w:r>
            <w:r/>
          </w:p>
        </w:tc>
        <w:tc>
          <w:tcPr>
            <w:tcBorders>
              <w:bottom w:val="single" w:color="000000" w:sz="4" w:space="0"/>
              <w:right w:val="single" w:color="000000" w:sz="4" w:space="0"/>
            </w:tcBorders>
            <w:tcW w:w="5679" w:type="dxa"/>
            <w:vAlign w:val="center"/>
          </w:tcPr>
          <w:p>
            <w:pPr>
              <w:pStyle w:val="12385"/>
              <w:pBdr/>
              <w:spacing/>
              <w:ind/>
              <w:rPr/>
            </w:pPr>
            <w:r>
              <w:t xml:space="preserve">надежность топливоснабжения источников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Кт</w:t>
            </w:r>
            <w:r/>
          </w:p>
        </w:tc>
        <w:tc>
          <w:tcPr>
            <w:tcBorders>
              <w:bottom w:val="single" w:color="000000" w:sz="4" w:space="0"/>
              <w:right w:val="single" w:color="000000" w:sz="4" w:space="0"/>
            </w:tcBorders>
            <w:tcW w:w="2115" w:type="dxa"/>
            <w:vAlign w:val="center"/>
          </w:tcPr>
          <w:p>
            <w:pPr>
              <w:pStyle w:val="12385"/>
              <w:pBdr/>
              <w:spacing/>
              <w:ind/>
              <w:rPr/>
            </w:pPr>
            <w:r>
              <w:t xml:space="preserve">1</w:t>
            </w:r>
            <w:r/>
          </w:p>
        </w:tc>
        <w:tc>
          <w:tcPr>
            <w:tcBorders>
              <w:bottom w:val="single" w:color="000000" w:sz="4" w:space="0"/>
              <w:right w:val="single" w:color="000000" w:sz="4" w:space="0"/>
            </w:tcBorders>
            <w:tcW w:w="2282" w:type="dxa"/>
            <w:vAlign w:val="center"/>
          </w:tcPr>
          <w:p>
            <w:pPr>
              <w:pStyle w:val="12385"/>
              <w:pBdr/>
              <w:spacing/>
              <w:ind/>
              <w:rPr/>
            </w:pPr>
            <w:r>
              <w:t xml:space="preserve">1</w:t>
            </w:r>
            <w:r/>
          </w:p>
        </w:tc>
        <w:tc>
          <w:tcPr>
            <w:tcBorders>
              <w:bottom w:val="single" w:color="000000" w:sz="4" w:space="0"/>
              <w:right w:val="single" w:color="000000" w:sz="4" w:space="0"/>
            </w:tcBorders>
            <w:tcW w:w="2357" w:type="dxa"/>
            <w:vAlign w:val="center"/>
          </w:tcPr>
          <w:p>
            <w:pPr>
              <w:pStyle w:val="12385"/>
              <w:pBdr/>
              <w:spacing/>
              <w:ind/>
              <w:rPr/>
            </w:pPr>
            <w:r>
              <w:t xml:space="preserve">1</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6</w:t>
            </w:r>
            <w:r/>
          </w:p>
        </w:tc>
        <w:tc>
          <w:tcPr>
            <w:tcBorders>
              <w:bottom w:val="single" w:color="000000" w:sz="4" w:space="0"/>
              <w:right w:val="single" w:color="000000" w:sz="4" w:space="0"/>
            </w:tcBorders>
            <w:tcW w:w="5679" w:type="dxa"/>
            <w:vAlign w:val="center"/>
          </w:tcPr>
          <w:p>
            <w:pPr>
              <w:pStyle w:val="12385"/>
              <w:pBdr/>
              <w:spacing/>
              <w:ind/>
              <w:rPr/>
            </w:pPr>
            <w:r>
              <w:t xml:space="preserve">соответствие тепловой мощности источников тепловой энергии и пропускной способности тепловых сетей расчетным тепловым нагрузкам потребителей</w:t>
            </w:r>
            <w:r/>
          </w:p>
        </w:tc>
        <w:tc>
          <w:tcPr>
            <w:tcBorders>
              <w:bottom w:val="single" w:color="000000" w:sz="4" w:space="0"/>
              <w:right w:val="single" w:color="000000" w:sz="4" w:space="0"/>
            </w:tcBorders>
            <w:tcW w:w="1332" w:type="dxa"/>
            <w:vAlign w:val="center"/>
          </w:tcPr>
          <w:p>
            <w:pPr>
              <w:pStyle w:val="12385"/>
              <w:pBdr/>
              <w:spacing/>
              <w:ind/>
              <w:rPr/>
            </w:pPr>
            <w:r>
              <w:t xml:space="preserve">Кб</w:t>
            </w:r>
            <w:r/>
          </w:p>
        </w:tc>
        <w:tc>
          <w:tcPr>
            <w:tcBorders>
              <w:bottom w:val="single" w:color="000000" w:sz="4" w:space="0"/>
              <w:right w:val="single" w:color="000000" w:sz="4" w:space="0"/>
            </w:tcBorders>
            <w:tcW w:w="2115" w:type="dxa"/>
            <w:vAlign w:val="center"/>
          </w:tcPr>
          <w:p>
            <w:pPr>
              <w:pStyle w:val="12385"/>
              <w:pBdr/>
              <w:spacing/>
              <w:ind/>
              <w:rPr/>
            </w:pPr>
            <w:r>
              <w:t xml:space="preserve">0,8</w:t>
            </w:r>
            <w:r/>
          </w:p>
        </w:tc>
        <w:tc>
          <w:tcPr>
            <w:tcBorders>
              <w:bottom w:val="single" w:color="000000" w:sz="4" w:space="0"/>
              <w:right w:val="single" w:color="000000" w:sz="4" w:space="0"/>
            </w:tcBorders>
            <w:tcW w:w="2282" w:type="dxa"/>
            <w:vAlign w:val="center"/>
          </w:tcPr>
          <w:p>
            <w:pPr>
              <w:pStyle w:val="12385"/>
              <w:pBdr/>
              <w:spacing/>
              <w:ind/>
              <w:rPr/>
            </w:pPr>
            <w:r>
              <w:t xml:space="preserve">0,8</w:t>
            </w:r>
            <w:r/>
          </w:p>
        </w:tc>
        <w:tc>
          <w:tcPr>
            <w:tcBorders>
              <w:bottom w:val="single" w:color="000000" w:sz="4" w:space="0"/>
              <w:right w:val="single" w:color="000000" w:sz="4" w:space="0"/>
            </w:tcBorders>
            <w:tcW w:w="2357" w:type="dxa"/>
            <w:vAlign w:val="center"/>
          </w:tcPr>
          <w:p>
            <w:pPr>
              <w:pStyle w:val="12385"/>
              <w:pBdr/>
              <w:spacing/>
              <w:ind/>
              <w:rPr/>
            </w:pPr>
            <w:r>
              <w:t xml:space="preserve">0,8</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7</w:t>
            </w:r>
            <w:r/>
          </w:p>
        </w:tc>
        <w:tc>
          <w:tcPr>
            <w:tcBorders>
              <w:bottom w:val="single" w:color="000000" w:sz="4" w:space="0"/>
              <w:right w:val="single" w:color="000000" w:sz="4" w:space="0"/>
            </w:tcBorders>
            <w:tcW w:w="5679" w:type="dxa"/>
            <w:vAlign w:val="center"/>
          </w:tcPr>
          <w:p>
            <w:pPr>
              <w:pStyle w:val="12385"/>
              <w:pBdr/>
              <w:spacing/>
              <w:ind/>
              <w:rPr/>
            </w:pPr>
            <w:r>
              <w:t xml:space="preserve">уровень резервирования источников тепловой энергии и элементов тепловой сети путем их кольцевания или устройства перемычек</w:t>
            </w:r>
            <w:r/>
          </w:p>
        </w:tc>
        <w:tc>
          <w:tcPr>
            <w:tcBorders>
              <w:bottom w:val="single" w:color="000000" w:sz="4" w:space="0"/>
              <w:right w:val="single" w:color="000000" w:sz="4" w:space="0"/>
            </w:tcBorders>
            <w:tcW w:w="1332" w:type="dxa"/>
            <w:vAlign w:val="center"/>
          </w:tcPr>
          <w:p>
            <w:pPr>
              <w:pStyle w:val="12385"/>
              <w:pBdr/>
              <w:spacing/>
              <w:ind/>
              <w:rPr/>
            </w:pPr>
            <w:r>
              <w:t xml:space="preserve">Кр</w:t>
            </w:r>
            <w:r/>
          </w:p>
        </w:tc>
        <w:tc>
          <w:tcPr>
            <w:tcBorders>
              <w:bottom w:val="single" w:color="000000" w:sz="4" w:space="0"/>
              <w:right w:val="single" w:color="000000" w:sz="4" w:space="0"/>
            </w:tcBorders>
            <w:tcW w:w="2115" w:type="dxa"/>
            <w:vAlign w:val="center"/>
          </w:tcPr>
          <w:p>
            <w:pPr>
              <w:pStyle w:val="12385"/>
              <w:pBdr/>
              <w:spacing/>
              <w:ind/>
              <w:rPr/>
            </w:pPr>
            <w:r>
              <w:t xml:space="preserve">0,6</w:t>
            </w:r>
            <w:r/>
          </w:p>
        </w:tc>
        <w:tc>
          <w:tcPr>
            <w:tcBorders>
              <w:bottom w:val="single" w:color="000000" w:sz="4" w:space="0"/>
              <w:right w:val="single" w:color="000000" w:sz="4" w:space="0"/>
            </w:tcBorders>
            <w:tcW w:w="2282" w:type="dxa"/>
            <w:vAlign w:val="center"/>
          </w:tcPr>
          <w:p>
            <w:pPr>
              <w:pStyle w:val="12385"/>
              <w:pBdr/>
              <w:spacing/>
              <w:ind/>
              <w:rPr/>
            </w:pPr>
            <w:r>
              <w:t xml:space="preserve">0,6</w:t>
            </w:r>
            <w:r/>
          </w:p>
        </w:tc>
        <w:tc>
          <w:tcPr>
            <w:tcBorders>
              <w:bottom w:val="single" w:color="000000" w:sz="4" w:space="0"/>
              <w:right w:val="single" w:color="000000" w:sz="4" w:space="0"/>
            </w:tcBorders>
            <w:tcW w:w="2357" w:type="dxa"/>
            <w:vAlign w:val="center"/>
          </w:tcPr>
          <w:p>
            <w:pPr>
              <w:pStyle w:val="12385"/>
              <w:pBdr/>
              <w:spacing/>
              <w:ind/>
              <w:rPr/>
            </w:pPr>
            <w:r>
              <w:t xml:space="preserve">0,6</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8</w:t>
            </w:r>
            <w:r/>
          </w:p>
        </w:tc>
        <w:tc>
          <w:tcPr>
            <w:tcBorders>
              <w:bottom w:val="single" w:color="000000" w:sz="4" w:space="0"/>
              <w:right w:val="single" w:color="000000" w:sz="4" w:space="0"/>
            </w:tcBorders>
            <w:tcW w:w="5679" w:type="dxa"/>
            <w:vAlign w:val="center"/>
          </w:tcPr>
          <w:p>
            <w:pPr>
              <w:pStyle w:val="12385"/>
              <w:pBdr/>
              <w:spacing/>
              <w:ind/>
              <w:rPr/>
            </w:pPr>
            <w:r>
              <w:t xml:space="preserve">техническое состояние тепловых сетей, характеризуемое наличием ветхих, подлежащих замене трубопроводов</w:t>
            </w:r>
            <w:r/>
          </w:p>
        </w:tc>
        <w:tc>
          <w:tcPr>
            <w:tcBorders>
              <w:bottom w:val="single" w:color="000000" w:sz="4" w:space="0"/>
              <w:right w:val="single" w:color="000000" w:sz="4" w:space="0"/>
            </w:tcBorders>
            <w:tcW w:w="1332" w:type="dxa"/>
            <w:vAlign w:val="center"/>
          </w:tcPr>
          <w:p>
            <w:pPr>
              <w:pStyle w:val="12385"/>
              <w:pBdr/>
              <w:spacing/>
              <w:ind/>
              <w:rPr/>
            </w:pPr>
            <w:r>
              <w:t xml:space="preserve">Кс</w:t>
            </w:r>
            <w:r/>
          </w:p>
        </w:tc>
        <w:tc>
          <w:tcPr>
            <w:tcBorders>
              <w:bottom w:val="single" w:color="000000" w:sz="4" w:space="0"/>
              <w:right w:val="single" w:color="000000" w:sz="4" w:space="0"/>
            </w:tcBorders>
            <w:tcW w:w="2115" w:type="dxa"/>
            <w:vAlign w:val="center"/>
          </w:tcPr>
          <w:p>
            <w:pPr>
              <w:pStyle w:val="12385"/>
              <w:pBdr/>
              <w:spacing/>
              <w:ind/>
              <w:rPr/>
            </w:pPr>
            <w:r>
              <w:t xml:space="preserve">0,8</w:t>
            </w:r>
            <w:r/>
          </w:p>
        </w:tc>
        <w:tc>
          <w:tcPr>
            <w:tcBorders>
              <w:bottom w:val="single" w:color="000000" w:sz="4" w:space="0"/>
              <w:right w:val="single" w:color="000000" w:sz="4" w:space="0"/>
            </w:tcBorders>
            <w:tcW w:w="2282" w:type="dxa"/>
            <w:vAlign w:val="center"/>
          </w:tcPr>
          <w:p>
            <w:pPr>
              <w:pStyle w:val="12385"/>
              <w:pBdr/>
              <w:spacing/>
              <w:ind/>
              <w:rPr/>
            </w:pPr>
            <w:r>
              <w:t xml:space="preserve">0,8</w:t>
            </w:r>
            <w:r/>
          </w:p>
        </w:tc>
        <w:tc>
          <w:tcPr>
            <w:tcBorders>
              <w:bottom w:val="single" w:color="000000" w:sz="4" w:space="0"/>
              <w:right w:val="single" w:color="000000" w:sz="4" w:space="0"/>
            </w:tcBorders>
            <w:tcW w:w="2357" w:type="dxa"/>
            <w:vAlign w:val="center"/>
          </w:tcPr>
          <w:p>
            <w:pPr>
              <w:pStyle w:val="12385"/>
              <w:pBdr/>
              <w:spacing/>
              <w:ind/>
              <w:rPr/>
            </w:pPr>
            <w:r>
              <w:t xml:space="preserve">0,8</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9</w:t>
            </w:r>
            <w:r/>
          </w:p>
        </w:tc>
        <w:tc>
          <w:tcPr>
            <w:tcBorders>
              <w:bottom w:val="single" w:color="000000" w:sz="4" w:space="0"/>
              <w:right w:val="single" w:color="000000" w:sz="4" w:space="0"/>
            </w:tcBorders>
            <w:tcW w:w="5679" w:type="dxa"/>
            <w:vAlign w:val="center"/>
          </w:tcPr>
          <w:p>
            <w:pPr>
              <w:pStyle w:val="12385"/>
              <w:pBdr/>
              <w:spacing/>
              <w:ind/>
              <w:rPr/>
            </w:pPr>
            <w:r>
              <w:t xml:space="preserve">готовность теплоснабжаю</w:t>
            </w:r>
            <w:r>
              <w:t xml:space="preserve">щих организаций к проведению аварийно-восстановительных работ в системах теплоснабжения, которая базируется на показателях: - укомплектованность ремонтным и оперативно- ремонтным персоналом, - оснащенности машинами, специальными механизмами и оборудованием</w:t>
            </w:r>
            <w:r/>
          </w:p>
        </w:tc>
        <w:tc>
          <w:tcPr>
            <w:tcBorders>
              <w:bottom w:val="single" w:color="000000" w:sz="4" w:space="0"/>
              <w:right w:val="single" w:color="000000" w:sz="4" w:space="0"/>
            </w:tcBorders>
            <w:tcW w:w="1332" w:type="dxa"/>
            <w:vAlign w:val="center"/>
          </w:tcPr>
          <w:p>
            <w:pPr>
              <w:pStyle w:val="12385"/>
              <w:pBdr/>
              <w:spacing/>
              <w:ind/>
              <w:rPr/>
            </w:pPr>
            <w:r>
              <w:t xml:space="preserve">Кукомпл К оснащ</w:t>
            </w:r>
            <w:r/>
          </w:p>
        </w:tc>
        <w:tc>
          <w:tcPr>
            <w:tcBorders>
              <w:bottom w:val="single" w:color="000000" w:sz="4" w:space="0"/>
              <w:right w:val="single" w:color="000000" w:sz="4" w:space="0"/>
            </w:tcBorders>
            <w:tcW w:w="2115" w:type="dxa"/>
            <w:vAlign w:val="center"/>
          </w:tcPr>
          <w:p>
            <w:pPr>
              <w:pStyle w:val="12385"/>
              <w:pBdr/>
              <w:spacing/>
              <w:ind/>
              <w:rPr/>
            </w:pPr>
            <w:r>
              <w:t xml:space="preserve">0,9</w:t>
            </w:r>
            <w:r/>
          </w:p>
        </w:tc>
        <w:tc>
          <w:tcPr>
            <w:tcBorders>
              <w:bottom w:val="single" w:color="000000" w:sz="4" w:space="0"/>
              <w:right w:val="single" w:color="000000" w:sz="4" w:space="0"/>
            </w:tcBorders>
            <w:tcW w:w="2282" w:type="dxa"/>
            <w:vAlign w:val="center"/>
          </w:tcPr>
          <w:p>
            <w:pPr>
              <w:pStyle w:val="12385"/>
              <w:pBdr/>
              <w:spacing/>
              <w:ind/>
              <w:rPr/>
            </w:pPr>
            <w:r>
              <w:t xml:space="preserve">0,9</w:t>
            </w:r>
            <w:r/>
          </w:p>
        </w:tc>
        <w:tc>
          <w:tcPr>
            <w:tcBorders>
              <w:bottom w:val="single" w:color="000000" w:sz="4" w:space="0"/>
              <w:right w:val="single" w:color="000000" w:sz="4" w:space="0"/>
            </w:tcBorders>
            <w:tcW w:w="2357" w:type="dxa"/>
            <w:vAlign w:val="center"/>
          </w:tcPr>
          <w:p>
            <w:pPr>
              <w:pStyle w:val="12385"/>
              <w:pBdr/>
              <w:spacing/>
              <w:ind/>
              <w:rPr/>
            </w:pPr>
            <w:r>
              <w:t xml:space="preserve">0,9</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10</w:t>
            </w:r>
            <w:r/>
          </w:p>
        </w:tc>
        <w:tc>
          <w:tcPr>
            <w:tcBorders>
              <w:bottom w:val="single" w:color="000000" w:sz="4" w:space="0"/>
              <w:right w:val="single" w:color="000000" w:sz="4" w:space="0"/>
            </w:tcBorders>
            <w:tcW w:w="5679" w:type="dxa"/>
            <w:vAlign w:val="center"/>
          </w:tcPr>
          <w:p>
            <w:pPr>
              <w:pStyle w:val="12385"/>
              <w:pBdr/>
              <w:spacing/>
              <w:ind/>
              <w:rPr/>
            </w:pPr>
            <w:r>
              <w:t xml:space="preserve">Коэффициент надежности системы коммунального теплоснабжения от источника тепловой энергии</w:t>
            </w:r>
            <w:r/>
          </w:p>
        </w:tc>
        <w:tc>
          <w:tcPr>
            <w:tcBorders>
              <w:bottom w:val="single" w:color="000000" w:sz="4" w:space="0"/>
              <w:right w:val="single" w:color="000000" w:sz="4" w:space="0"/>
            </w:tcBorders>
            <w:tcW w:w="1332" w:type="dxa"/>
            <w:vAlign w:val="center"/>
          </w:tcPr>
          <w:p>
            <w:pPr>
              <w:pStyle w:val="12385"/>
              <w:pBdr/>
              <w:spacing/>
              <w:ind/>
              <w:rPr/>
            </w:pPr>
            <w:r>
              <w:t xml:space="preserve">Кнад</w:t>
            </w:r>
            <w:r/>
          </w:p>
        </w:tc>
        <w:tc>
          <w:tcPr>
            <w:tcBorders>
              <w:bottom w:val="single" w:color="000000" w:sz="4" w:space="0"/>
              <w:right w:val="single" w:color="000000" w:sz="4" w:space="0"/>
            </w:tcBorders>
            <w:tcW w:w="2115" w:type="dxa"/>
            <w:vAlign w:val="center"/>
          </w:tcPr>
          <w:p>
            <w:pPr>
              <w:pStyle w:val="12385"/>
              <w:pBdr/>
              <w:spacing/>
              <w:ind/>
              <w:rPr/>
            </w:pPr>
            <w:r>
              <w:t xml:space="preserve">0,81</w:t>
            </w:r>
            <w:r/>
          </w:p>
        </w:tc>
        <w:tc>
          <w:tcPr>
            <w:tcBorders>
              <w:bottom w:val="single" w:color="000000" w:sz="4" w:space="0"/>
              <w:right w:val="single" w:color="000000" w:sz="4" w:space="0"/>
            </w:tcBorders>
            <w:tcW w:w="2282" w:type="dxa"/>
            <w:vAlign w:val="center"/>
          </w:tcPr>
          <w:p>
            <w:pPr>
              <w:pStyle w:val="12385"/>
              <w:pBdr/>
              <w:spacing/>
              <w:ind/>
              <w:rPr/>
            </w:pPr>
            <w:r>
              <w:t xml:space="preserve">0,81</w:t>
            </w:r>
            <w:r/>
          </w:p>
        </w:tc>
        <w:tc>
          <w:tcPr>
            <w:tcBorders>
              <w:bottom w:val="single" w:color="000000" w:sz="4" w:space="0"/>
              <w:right w:val="single" w:color="000000" w:sz="4" w:space="0"/>
            </w:tcBorders>
            <w:tcW w:w="2357" w:type="dxa"/>
            <w:vAlign w:val="center"/>
          </w:tcPr>
          <w:p>
            <w:pPr>
              <w:pStyle w:val="12385"/>
              <w:pBdr/>
              <w:spacing/>
              <w:ind/>
              <w:rPr/>
            </w:pPr>
            <w:r>
              <w:t xml:space="preserve">0,81</w:t>
            </w:r>
            <w:r/>
          </w:p>
        </w:tc>
      </w:tr>
      <w:tr>
        <w:trPr>
          <w:trHeight w:val="20"/>
        </w:trPr>
        <w:tc>
          <w:tcPr>
            <w:tcBorders>
              <w:left w:val="single" w:color="000000" w:sz="4" w:space="0"/>
              <w:bottom w:val="single" w:color="000000" w:sz="4" w:space="0"/>
              <w:right w:val="single" w:color="000000" w:sz="4" w:space="0"/>
            </w:tcBorders>
            <w:tcW w:w="804" w:type="dxa"/>
            <w:vAlign w:val="center"/>
          </w:tcPr>
          <w:p>
            <w:pPr>
              <w:pStyle w:val="12385"/>
              <w:pBdr/>
              <w:spacing/>
              <w:ind/>
              <w:rPr/>
            </w:pPr>
            <w:r>
              <w:t xml:space="preserve">11</w:t>
            </w:r>
            <w:r/>
          </w:p>
        </w:tc>
        <w:tc>
          <w:tcPr>
            <w:tcBorders>
              <w:bottom w:val="single" w:color="000000" w:sz="4" w:space="0"/>
              <w:right w:val="single" w:color="000000" w:sz="4" w:space="0"/>
            </w:tcBorders>
            <w:tcW w:w="5679" w:type="dxa"/>
            <w:vAlign w:val="center"/>
          </w:tcPr>
          <w:p>
            <w:pPr>
              <w:pStyle w:val="12385"/>
              <w:pBdr/>
              <w:spacing/>
              <w:ind/>
              <w:rPr/>
            </w:pPr>
            <w:r>
              <w:t xml:space="preserve">Общий показатель надежности системы коммунального теплоснабжения</w:t>
            </w:r>
            <w:r/>
          </w:p>
        </w:tc>
        <w:tc>
          <w:tcPr>
            <w:tcBorders>
              <w:bottom w:val="single" w:color="000000" w:sz="4" w:space="0"/>
              <w:right w:val="single" w:color="000000" w:sz="4" w:space="0"/>
            </w:tcBorders>
            <w:tcW w:w="1332" w:type="dxa"/>
            <w:vAlign w:val="center"/>
          </w:tcPr>
          <w:p>
            <w:pPr>
              <w:pStyle w:val="12385"/>
              <w:pBdr/>
              <w:spacing/>
              <w:ind/>
              <w:rPr/>
            </w:pPr>
            <w:r>
              <w:t xml:space="preserve">К об</w:t>
            </w:r>
            <w:r/>
          </w:p>
        </w:tc>
        <w:tc>
          <w:tcPr>
            <w:gridSpan w:val="3"/>
            <w:tcBorders>
              <w:top w:val="single" w:color="000000" w:sz="4" w:space="0"/>
              <w:bottom w:val="single" w:color="000000" w:sz="4" w:space="0"/>
            </w:tcBorders>
            <w:tcW w:w="6754" w:type="dxa"/>
            <w:vAlign w:val="center"/>
          </w:tcPr>
          <w:p>
            <w:pPr>
              <w:pStyle w:val="12385"/>
              <w:pBdr/>
              <w:spacing/>
              <w:ind/>
              <w:rPr/>
            </w:pPr>
            <w:r>
              <w:t xml:space="preserve">0,81</w:t>
            </w:r>
            <w:r/>
          </w:p>
        </w:tc>
      </w:tr>
    </w:tbl>
    <w:p>
      <w:pPr>
        <w:pBdr/>
        <w:spacing/>
        <w:ind/>
        <w:rPr/>
        <w:sectPr>
          <w:headerReference w:type="default" r:id="rId168"/>
          <w:headerReference w:type="first" r:id="rId169"/>
          <w:footerReference w:type="default" r:id="rId436"/>
          <w:footerReference w:type="first" r:id="rId437"/>
          <w:footnotePr/>
          <w:endnotePr/>
          <w:type w:val="nextPage"/>
          <w:pgSz w:h="11906" w:orient="landscape" w:w="16838"/>
          <w:pgMar w:top="1701" w:right="1134" w:bottom="851" w:left="1134" w:header="709" w:footer="709" w:gutter="0"/>
          <w:cols w:num="1" w:sep="0" w:space="1701" w:equalWidth="1"/>
        </w:sectPr>
      </w:pPr>
      <w:r/>
      <w:r/>
    </w:p>
    <w:p>
      <w:pPr>
        <w:pStyle w:val="12960"/>
        <w:pBdr/>
        <w:spacing/>
        <w:ind/>
        <w:rPr/>
      </w:pPr>
      <w:r>
        <w:t xml:space="preserve"> </w:t>
      </w:r>
      <w:r>
        <w:t xml:space="preserve">Общий показатель надежности на 2038 г</w:t>
      </w:r>
      <w:r>
        <w:t xml:space="preserve">од для котельных муниципального образования Астаповское равен 0,8. Данный показатель предполагается достичь путем реализации мероприятий по замене ветхих сетей теплоснабжения. Таким образом, все системы теплоснабжения в 2038 можно будет отнести к надежным.</w:t>
      </w:r>
      <w:r/>
    </w:p>
    <w:p>
      <w:pPr>
        <w:pStyle w:val="12960"/>
        <w:pBdr/>
        <w:spacing/>
        <w:ind/>
        <w:rPr/>
      </w:pPr>
      <w:r>
        <w:t xml:space="preserve">При сопоставлении результатов расчета следует, что сис</w:t>
      </w:r>
      <w:r>
        <w:t xml:space="preserve">тема на данный момент жизнеспособна и готова выполнять поставленные задачи на протяжении 10-15 лет. После окончания вышеупомянутого периода произойдет увеличение отказов системы централизованного теплоснабжения, что приведет к недоотпуску тепловой энергии.</w:t>
      </w:r>
      <w:r/>
    </w:p>
    <w:p>
      <w:pPr>
        <w:pStyle w:val="12960"/>
        <w:pBdr/>
        <w:spacing/>
        <w:ind/>
        <w:rPr/>
      </w:pPr>
      <w:r>
        <w:t xml:space="preserve">С целью сохранения и повышения надежности системы теплоснабжения на тепловых сетях рекомендованы следующие мероприятия:</w:t>
      </w:r>
      <w:r/>
    </w:p>
    <w:p>
      <w:pPr>
        <w:pStyle w:val="13832"/>
        <w:keepNext w:val="false"/>
        <w:widowControl w:val="true"/>
        <w:numPr>
          <w:ilvl w:val="0"/>
          <w:numId w:val="61"/>
        </w:numPr>
        <w:pBdr/>
        <w:bidi w:val="false"/>
        <w:spacing w:after="0" w:before="0" w:line="360" w:lineRule="auto"/>
        <w:ind w:right="0" w:firstLine="624" w:left="0"/>
        <w:jc w:val="both"/>
        <w:rPr/>
      </w:pPr>
      <w:r>
        <w:t xml:space="preserve">произвести полную инвентаризацию всего оборудования и тепловых сетей, находящихся в ведении ООО «АГК» Базы данных системы должны содержать полную информацию о каждом участке тепловых сетей - год строительства и последнего капи</w:t>
      </w:r>
      <w:r>
        <w:t xml:space="preserve">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 их устранения, а также результаты диагностики с информацией об остаточно ресурсе каждого участка;</w:t>
      </w:r>
      <w:r/>
    </w:p>
    <w:p>
      <w:pPr>
        <w:pStyle w:val="13832"/>
        <w:numPr>
          <w:ilvl w:val="0"/>
          <w:numId w:val="61"/>
        </w:numPr>
        <w:pBdr/>
        <w:spacing/>
        <w:ind w:hanging="284" w:left="1135"/>
        <w:rPr/>
      </w:pPr>
      <w:r>
        <w:t xml:space="preserve">принять меры по проведению противокоррозионной защиты;</w:t>
      </w:r>
      <w:r/>
    </w:p>
    <w:p>
      <w:pPr>
        <w:pStyle w:val="13832"/>
        <w:keepNext w:val="false"/>
        <w:widowControl w:val="true"/>
        <w:numPr>
          <w:ilvl w:val="0"/>
          <w:numId w:val="61"/>
        </w:numPr>
        <w:pBdr/>
        <w:bidi w:val="false"/>
        <w:spacing w:after="0" w:before="0" w:line="360" w:lineRule="auto"/>
        <w:ind w:right="0" w:firstLine="624" w:left="0"/>
        <w:jc w:val="both"/>
        <w:rPr/>
      </w:pPr>
      <w:r>
        <w:t xml:space="preserve">пристальное внимание у</w:t>
      </w:r>
      <w:r>
        <w:t xml:space="preserve">делять предварительной подготовке трубопроводов, которые используются при проведении аварийного ремонта, должны иметь противокоррозионное покрытие, нанесенное в заводских условиях, в соответствии с требованиями технических условий и проектной документации;</w:t>
      </w:r>
      <w:r/>
    </w:p>
    <w:p>
      <w:pPr>
        <w:pStyle w:val="13832"/>
        <w:keepNext w:val="false"/>
        <w:widowControl w:val="true"/>
        <w:numPr>
          <w:ilvl w:val="0"/>
          <w:numId w:val="61"/>
        </w:numPr>
        <w:pBdr/>
        <w:bidi w:val="false"/>
        <w:spacing w:after="0" w:before="0" w:line="360" w:lineRule="auto"/>
        <w:ind w:right="0" w:firstLine="567" w:left="0"/>
        <w:jc w:val="both"/>
        <w:rPr/>
      </w:pPr>
      <w:r>
        <w:t xml:space="preserve">после проведения диагностики необходимо заменить изношенные трубопроводы, изолированные минеральной ватой на предизолированные трубопроводы, выполненные по современной технологии.</w:t>
      </w:r>
      <w:r/>
    </w:p>
    <w:p>
      <w:pPr>
        <w:pStyle w:val="12960"/>
        <w:pBdr/>
        <w:spacing/>
        <w:ind/>
        <w:rPr/>
      </w:pPr>
      <w:r>
        <w:t xml:space="preserve">Скорректировать подход к планированию и проведению планово- предупредительных ремонтов на тепловых сетях.</w:t>
      </w:r>
      <w:r/>
    </w:p>
    <w:p>
      <w:pPr>
        <w:pStyle w:val="12960"/>
        <w:pBdr/>
        <w:spacing/>
        <w:ind/>
        <w:rPr/>
      </w:pPr>
      <w:r>
        <w:t xml:space="preserve">Классификация повреждений в системах теплоснабжения регламентируется МДК 4-01.2001 «Методические рекомендации по техническому расследованию и учету технологических нарушений в системах коммунал</w:t>
      </w:r>
      <w:r>
        <w:t xml:space="preserve">ьного энергоснабжения и работе энергетических организаций жилищно- коммунального комплекса» (утверждены приказом Госстроя России от 20.08.01 №191). Нормы времени на восстановление должны определяться с учетом требований данного документа и местных условий.</w:t>
      </w:r>
      <w:r/>
    </w:p>
    <w:p>
      <w:pPr>
        <w:pStyle w:val="12960"/>
        <w:pBdr/>
        <w:spacing/>
        <w:ind/>
        <w:rPr/>
      </w:pPr>
      <w:r>
        <w:t xml:space="preserve">Подготовка системы теплоснабжения к отопительному</w:t>
      </w:r>
      <w:r>
        <w:t xml:space="preserve"> сезону проводится в соответствии с МДК 4-01.2001. 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надежной и качественное теплоснабжение потребителей.</w:t>
      </w:r>
      <w:r/>
    </w:p>
    <w:p>
      <w:pPr>
        <w:pStyle w:val="12960"/>
        <w:pBdr/>
        <w:spacing/>
        <w:ind/>
        <w:rPr/>
      </w:pPr>
      <w:r>
        <w:t xml:space="preserve">С целью определения состояния строительно-</w:t>
      </w:r>
      <w:r>
        <w:t xml:space="preserve"> 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необходимо ежегодно со</w:t>
      </w:r>
      <w:r>
        <w:t xml:space="preserve">ставлять планы. Количество необходимых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учитывать при составлении планов ремонтов тепловых сетей.</w:t>
      </w:r>
      <w:r/>
    </w:p>
    <w:p>
      <w:pPr>
        <w:pStyle w:val="12960"/>
        <w:pBdr/>
        <w:spacing/>
        <w:ind/>
        <w:rPr/>
        <w:sectPr>
          <w:headerReference w:type="default" r:id="rId170"/>
          <w:headerReference w:type="first" r:id="rId171"/>
          <w:footerReference w:type="default" r:id="rId438"/>
          <w:footerReference w:type="first" r:id="rId439"/>
          <w:footnotePr/>
          <w:endnotePr/>
          <w:type w:val="nextPage"/>
          <w:pgSz w:h="16838" w:orient="portrait" w:w="11906"/>
          <w:pgMar w:top="1134" w:right="850" w:bottom="1134" w:left="1701" w:header="708" w:footer="708" w:gutter="0"/>
          <w:cols w:num="1" w:sep="0" w:space="1701" w:equalWidth="1"/>
        </w:sectPr>
      </w:pPr>
      <w:r>
        <w:t xml:space="preserve">В процессе эксплуатации уделять особое внимание требованиям нормативных документов, что существенно уменьшит число отказов в отопительный период.</w:t>
      </w:r>
      <w:r/>
    </w:p>
    <w:p>
      <w:pPr>
        <w:pStyle w:val="12960"/>
        <w:pBdr/>
        <w:spacing/>
        <w:ind/>
        <w:rPr>
          <w:b/>
          <w:bCs w:val="0"/>
        </w:rPr>
      </w:pPr>
      <w:r>
        <w:rPr>
          <w:b/>
          <w:bCs w:val="0"/>
        </w:rPr>
        <w:t xml:space="preserve">Таблица 11.1.1 -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948"/>
        <w:gridCol w:w="1944"/>
        <w:gridCol w:w="2196"/>
        <w:gridCol w:w="1217"/>
        <w:gridCol w:w="1920"/>
        <w:gridCol w:w="1920"/>
        <w:gridCol w:w="2011"/>
        <w:gridCol w:w="1412"/>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948" w:type="dxa"/>
            <w:vAlign w:val="center"/>
          </w:tcPr>
          <w:p>
            <w:pPr>
              <w:pStyle w:val="12385"/>
              <w:pBdr/>
              <w:spacing/>
              <w:ind/>
              <w:rPr/>
            </w:pPr>
            <w:r>
              <w:t xml:space="preserve">Источники</w:t>
            </w:r>
            <w:r/>
          </w:p>
        </w:tc>
        <w:tc>
          <w:tcPr>
            <w:shd w:val="clear" w:color="auto" w:fill="d9d9d9" w:themeFill="background1" w:themeFillShade="D9"/>
            <w:tcBorders>
              <w:top w:val="single" w:color="000000" w:sz="4" w:space="0"/>
              <w:bottom w:val="single" w:color="000000" w:sz="4" w:space="0"/>
              <w:right w:val="single" w:color="000000" w:sz="4" w:space="0"/>
            </w:tcBorders>
            <w:tcW w:w="1944" w:type="dxa"/>
            <w:vAlign w:val="center"/>
          </w:tcPr>
          <w:p>
            <w:pPr>
              <w:pStyle w:val="12385"/>
              <w:pBdr/>
              <w:spacing/>
              <w:ind/>
              <w:rPr/>
            </w:pPr>
            <w:r>
              <w:t xml:space="preserve">Наименование начала участка</w:t>
            </w:r>
            <w:r/>
          </w:p>
        </w:tc>
        <w:tc>
          <w:tcPr>
            <w:shd w:val="clear" w:color="auto" w:fill="d9d9d9" w:themeFill="background1" w:themeFillShade="D9"/>
            <w:tcBorders>
              <w:top w:val="single" w:color="000000" w:sz="4" w:space="0"/>
              <w:bottom w:val="single" w:color="000000" w:sz="4" w:space="0"/>
              <w:right w:val="single" w:color="000000" w:sz="4" w:space="0"/>
            </w:tcBorders>
            <w:tcW w:w="2196" w:type="dxa"/>
            <w:vAlign w:val="center"/>
          </w:tcPr>
          <w:p>
            <w:pPr>
              <w:pStyle w:val="12385"/>
              <w:pBdr/>
              <w:spacing/>
              <w:ind/>
              <w:rPr/>
            </w:pPr>
            <w:r>
              <w:t xml:space="preserve">Наименование конца участка</w:t>
            </w:r>
            <w:r/>
          </w:p>
        </w:tc>
        <w:tc>
          <w:tcPr>
            <w:shd w:val="clear" w:color="auto" w:fill="d9d9d9" w:themeFill="background1" w:themeFillShade="D9"/>
            <w:tcBorders>
              <w:top w:val="single" w:color="000000" w:sz="4" w:space="0"/>
              <w:bottom w:val="single" w:color="000000" w:sz="4" w:space="0"/>
              <w:right w:val="single" w:color="000000" w:sz="4" w:space="0"/>
            </w:tcBorders>
            <w:tcW w:w="1217" w:type="dxa"/>
            <w:vAlign w:val="center"/>
          </w:tcPr>
          <w:p>
            <w:pPr>
              <w:pStyle w:val="12385"/>
              <w:pBdr/>
              <w:spacing/>
              <w:ind/>
              <w:rPr/>
            </w:pPr>
            <w:r>
              <w:t xml:space="preserve">Длина участка, м</w:t>
            </w:r>
            <w:r/>
          </w:p>
        </w:tc>
        <w:tc>
          <w:tcPr>
            <w:shd w:val="clear" w:color="auto" w:fill="d9d9d9" w:themeFill="background1" w:themeFillShade="D9"/>
            <w:tcBorders>
              <w:top w:val="single" w:color="000000" w:sz="4" w:space="0"/>
              <w:bottom w:val="single" w:color="000000" w:sz="4" w:space="0"/>
              <w:right w:val="single" w:color="000000" w:sz="4" w:space="0"/>
            </w:tcBorders>
            <w:tcW w:w="1920" w:type="dxa"/>
            <w:vAlign w:val="center"/>
          </w:tcPr>
          <w:p>
            <w:pPr>
              <w:pStyle w:val="12385"/>
              <w:pBdr/>
              <w:spacing/>
              <w:ind/>
              <w:rPr/>
            </w:pPr>
            <w:r>
              <w:t xml:space="preserve">Диаметр подающего тpубопpовода, м</w:t>
            </w:r>
            <w:r/>
          </w:p>
        </w:tc>
        <w:tc>
          <w:tcPr>
            <w:shd w:val="clear" w:color="auto" w:fill="d9d9d9" w:themeFill="background1" w:themeFillShade="D9"/>
            <w:tcBorders>
              <w:top w:val="single" w:color="000000" w:sz="4" w:space="0"/>
              <w:bottom w:val="single" w:color="000000" w:sz="4" w:space="0"/>
              <w:right w:val="single" w:color="000000" w:sz="4" w:space="0"/>
            </w:tcBorders>
            <w:tcW w:w="1920" w:type="dxa"/>
            <w:vAlign w:val="center"/>
          </w:tcPr>
          <w:p>
            <w:pPr>
              <w:pStyle w:val="12385"/>
              <w:pBdr/>
              <w:spacing/>
              <w:ind/>
              <w:rPr/>
            </w:pPr>
            <w:r>
              <w:t xml:space="preserve">Диаметр обратного трубопровода, м</w:t>
            </w:r>
            <w:r/>
          </w:p>
        </w:tc>
        <w:tc>
          <w:tcPr>
            <w:shd w:val="clear" w:color="auto" w:fill="d9d9d9" w:themeFill="background1" w:themeFillShade="D9"/>
            <w:tcBorders>
              <w:top w:val="single" w:color="000000" w:sz="4" w:space="0"/>
              <w:bottom w:val="single" w:color="000000" w:sz="4" w:space="0"/>
              <w:right w:val="single" w:color="000000" w:sz="4" w:space="0"/>
            </w:tcBorders>
            <w:tcW w:w="2011" w:type="dxa"/>
            <w:vAlign w:val="center"/>
          </w:tcPr>
          <w:p>
            <w:pPr>
              <w:pStyle w:val="12385"/>
              <w:pBdr/>
              <w:spacing/>
              <w:ind/>
              <w:rPr/>
            </w:pPr>
            <w:r>
              <w:t xml:space="preserve">Интенсивность отказов, 1/(км*ч)</w:t>
            </w:r>
            <w:r/>
          </w:p>
        </w:tc>
        <w:tc>
          <w:tcPr>
            <w:shd w:val="clear" w:color="auto" w:fill="d9d9d9" w:themeFill="background1" w:themeFillShade="D9"/>
            <w:tcBorders>
              <w:top w:val="single" w:color="000000" w:sz="4" w:space="0"/>
              <w:bottom w:val="single" w:color="000000" w:sz="4" w:space="0"/>
              <w:right w:val="single" w:color="000000" w:sz="4" w:space="0"/>
            </w:tcBorders>
            <w:tcW w:w="1412" w:type="dxa"/>
            <w:vAlign w:val="center"/>
          </w:tcPr>
          <w:p>
            <w:pPr>
              <w:pStyle w:val="12385"/>
              <w:pBdr/>
              <w:spacing/>
              <w:ind/>
              <w:rPr/>
            </w:pPr>
            <w:r>
              <w:t xml:space="preserve">Поток отказов, 1/ч</w:t>
            </w:r>
            <w:r/>
          </w:p>
        </w:tc>
      </w:tr>
      <w:tr>
        <w:trPr>
          <w:trHeight w:val="20"/>
        </w:trPr>
        <w:tc>
          <w:tcPr>
            <w:shd w:val="clear" w:color="000000" w:fill="ffffff"/>
            <w:tcBorders>
              <w:left w:val="single" w:color="000000" w:sz="4" w:space="0"/>
              <w:bottom w:val="single" w:color="000000" w:sz="4" w:space="0"/>
              <w:right w:val="single" w:color="000000" w:sz="4" w:space="0"/>
            </w:tcBorders>
            <w:tcW w:w="1948"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944"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2196" w:type="dxa"/>
            <w:vAlign w:val="center"/>
          </w:tcPr>
          <w:p>
            <w:pPr>
              <w:pStyle w:val="12385"/>
              <w:pBdr/>
              <w:spacing/>
              <w:ind/>
              <w:rPr/>
            </w:pPr>
            <w:r>
              <w:t xml:space="preserve">Белоколодезская школа</w:t>
            </w:r>
            <w:r/>
          </w:p>
        </w:tc>
        <w:tc>
          <w:tcPr>
            <w:shd w:val="clear" w:color="000000" w:fill="ffffff"/>
            <w:tcBorders>
              <w:bottom w:val="single" w:color="000000" w:sz="4" w:space="0"/>
              <w:right w:val="single" w:color="000000" w:sz="4" w:space="0"/>
            </w:tcBorders>
            <w:tcW w:w="1217" w:type="dxa"/>
            <w:vAlign w:val="center"/>
          </w:tcPr>
          <w:p>
            <w:pPr>
              <w:pStyle w:val="12385"/>
              <w:pBdr/>
              <w:spacing/>
              <w:ind/>
              <w:rPr/>
            </w:pPr>
            <w:r>
              <w:t xml:space="preserve">40</w:t>
            </w:r>
            <w:r/>
          </w:p>
        </w:tc>
        <w:tc>
          <w:tcPr>
            <w:shd w:val="clear" w:color="000000" w:fill="ffffff"/>
            <w:tcBorders>
              <w:bottom w:val="single" w:color="000000" w:sz="4" w:space="0"/>
              <w:right w:val="single" w:color="000000" w:sz="4" w:space="0"/>
            </w:tcBorders>
            <w:tcW w:w="1920"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920"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2011" w:type="dxa"/>
            <w:vAlign w:val="center"/>
          </w:tcPr>
          <w:p>
            <w:pPr>
              <w:pStyle w:val="12385"/>
              <w:pBdr/>
              <w:spacing/>
              <w:ind/>
              <w:rPr/>
            </w:pPr>
            <w:r>
              <w:t xml:space="preserve">0,1005724</w:t>
            </w:r>
            <w:r/>
          </w:p>
        </w:tc>
        <w:tc>
          <w:tcPr>
            <w:shd w:val="clear" w:color="000000" w:fill="ffffff"/>
            <w:tcBorders>
              <w:bottom w:val="single" w:color="000000" w:sz="4" w:space="0"/>
              <w:right w:val="single" w:color="000000" w:sz="4" w:space="0"/>
            </w:tcBorders>
            <w:tcW w:w="1412" w:type="dxa"/>
            <w:vAlign w:val="center"/>
          </w:tcPr>
          <w:p>
            <w:pPr>
              <w:pStyle w:val="12385"/>
              <w:pBdr/>
              <w:spacing/>
              <w:ind/>
              <w:rPr/>
            </w:pPr>
            <w:r>
              <w:t xml:space="preserve">0,0040229</w:t>
            </w:r>
            <w:r/>
          </w:p>
        </w:tc>
      </w:tr>
      <w:tr>
        <w:trPr>
          <w:trHeight w:val="20"/>
        </w:trPr>
        <w:tc>
          <w:tcPr>
            <w:shd w:val="clear" w:color="000000" w:fill="ffffff"/>
            <w:tcBorders>
              <w:left w:val="single" w:color="000000" w:sz="4" w:space="0"/>
              <w:bottom w:val="single" w:color="000000" w:sz="4" w:space="0"/>
              <w:right w:val="single" w:color="000000" w:sz="4" w:space="0"/>
            </w:tcBorders>
            <w:tcW w:w="1948"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944"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2196" w:type="dxa"/>
            <w:vAlign w:val="center"/>
          </w:tcPr>
          <w:p>
            <w:pPr>
              <w:pStyle w:val="12385"/>
              <w:pBdr/>
              <w:spacing/>
              <w:ind/>
              <w:rPr/>
            </w:pPr>
            <w:r>
              <w:t xml:space="preserve">Ясенковская ООШ</w:t>
            </w:r>
            <w:r/>
          </w:p>
        </w:tc>
        <w:tc>
          <w:tcPr>
            <w:shd w:val="clear" w:color="000000" w:fill="ffffff"/>
            <w:tcBorders>
              <w:bottom w:val="single" w:color="000000" w:sz="4" w:space="0"/>
              <w:right w:val="single" w:color="000000" w:sz="4" w:space="0"/>
            </w:tcBorders>
            <w:tcW w:w="1217" w:type="dxa"/>
            <w:vAlign w:val="center"/>
          </w:tcPr>
          <w:p>
            <w:pPr>
              <w:pStyle w:val="12385"/>
              <w:pBdr/>
              <w:spacing/>
              <w:ind/>
              <w:rPr/>
            </w:pPr>
            <w:r>
              <w:t xml:space="preserve">40</w:t>
            </w:r>
            <w:r/>
          </w:p>
        </w:tc>
        <w:tc>
          <w:tcPr>
            <w:shd w:val="clear" w:color="000000" w:fill="ffffff"/>
            <w:tcBorders>
              <w:bottom w:val="single" w:color="000000" w:sz="4" w:space="0"/>
              <w:right w:val="single" w:color="000000" w:sz="4" w:space="0"/>
            </w:tcBorders>
            <w:tcW w:w="1920"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920"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2011" w:type="dxa"/>
            <w:vAlign w:val="center"/>
          </w:tcPr>
          <w:p>
            <w:pPr>
              <w:pStyle w:val="12385"/>
              <w:pBdr/>
              <w:spacing/>
              <w:ind/>
              <w:rPr/>
            </w:pPr>
            <w:r>
              <w:t xml:space="preserve">0,1005724</w:t>
            </w:r>
            <w:r/>
          </w:p>
        </w:tc>
        <w:tc>
          <w:tcPr>
            <w:shd w:val="clear" w:color="000000" w:fill="ffffff"/>
            <w:tcBorders>
              <w:bottom w:val="single" w:color="000000" w:sz="4" w:space="0"/>
              <w:right w:val="single" w:color="000000" w:sz="4" w:space="0"/>
            </w:tcBorders>
            <w:tcW w:w="1412" w:type="dxa"/>
            <w:vAlign w:val="center"/>
          </w:tcPr>
          <w:p>
            <w:pPr>
              <w:pStyle w:val="12385"/>
              <w:pBdr/>
              <w:spacing/>
              <w:ind/>
              <w:rPr/>
            </w:pPr>
            <w:r>
              <w:t xml:space="preserve">0,0040229</w:t>
            </w:r>
            <w:r/>
          </w:p>
        </w:tc>
      </w:tr>
      <w:tr>
        <w:trPr>
          <w:trHeight w:val="20"/>
        </w:trPr>
        <w:tc>
          <w:tcPr>
            <w:shd w:val="clear" w:color="000000" w:fill="ffffff"/>
            <w:tcBorders>
              <w:left w:val="single" w:color="000000" w:sz="4" w:space="0"/>
              <w:bottom w:val="single" w:color="000000" w:sz="4" w:space="0"/>
              <w:right w:val="single" w:color="000000" w:sz="4" w:space="0"/>
            </w:tcBorders>
            <w:tcW w:w="1948"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1944"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2196" w:type="dxa"/>
            <w:vAlign w:val="center"/>
          </w:tcPr>
          <w:p>
            <w:pPr>
              <w:pStyle w:val="12385"/>
              <w:pBdr/>
              <w:spacing/>
              <w:ind/>
              <w:rPr/>
            </w:pPr>
            <w:r>
              <w:t xml:space="preserve">МБОУ Первомайская СОШ</w:t>
            </w:r>
            <w:r/>
          </w:p>
        </w:tc>
        <w:tc>
          <w:tcPr>
            <w:shd w:val="clear" w:color="000000" w:fill="ffffff"/>
            <w:tcBorders>
              <w:bottom w:val="single" w:color="000000" w:sz="4" w:space="0"/>
              <w:right w:val="single" w:color="000000" w:sz="4" w:space="0"/>
            </w:tcBorders>
            <w:tcW w:w="1217" w:type="dxa"/>
            <w:vAlign w:val="center"/>
          </w:tcPr>
          <w:p>
            <w:pPr>
              <w:pStyle w:val="12385"/>
              <w:pBdr/>
              <w:spacing/>
              <w:ind/>
              <w:rPr/>
            </w:pPr>
            <w:r>
              <w:t xml:space="preserve">70</w:t>
            </w:r>
            <w:r/>
          </w:p>
        </w:tc>
        <w:tc>
          <w:tcPr>
            <w:shd w:val="clear" w:color="000000" w:fill="ffffff"/>
            <w:tcBorders>
              <w:bottom w:val="single" w:color="000000" w:sz="4" w:space="0"/>
              <w:right w:val="single" w:color="000000" w:sz="4" w:space="0"/>
            </w:tcBorders>
            <w:tcW w:w="1920"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1920" w:type="dxa"/>
            <w:vAlign w:val="center"/>
          </w:tcPr>
          <w:p>
            <w:pPr>
              <w:pStyle w:val="12385"/>
              <w:pBdr/>
              <w:spacing/>
              <w:ind/>
              <w:rPr/>
            </w:pPr>
            <w:r>
              <w:t xml:space="preserve">0,04</w:t>
            </w:r>
            <w:r/>
          </w:p>
        </w:tc>
        <w:tc>
          <w:tcPr>
            <w:shd w:val="clear" w:color="000000" w:fill="ffffff"/>
            <w:tcBorders>
              <w:bottom w:val="single" w:color="000000" w:sz="4" w:space="0"/>
              <w:right w:val="single" w:color="000000" w:sz="4" w:space="0"/>
            </w:tcBorders>
            <w:tcW w:w="2011" w:type="dxa"/>
            <w:vAlign w:val="center"/>
          </w:tcPr>
          <w:p>
            <w:pPr>
              <w:pStyle w:val="12385"/>
              <w:pBdr/>
              <w:spacing/>
              <w:ind/>
              <w:rPr/>
            </w:pPr>
            <w:r>
              <w:t xml:space="preserve">0,1005724</w:t>
            </w:r>
            <w:r/>
          </w:p>
        </w:tc>
        <w:tc>
          <w:tcPr>
            <w:shd w:val="clear" w:color="000000" w:fill="ffffff"/>
            <w:tcBorders>
              <w:bottom w:val="single" w:color="000000" w:sz="4" w:space="0"/>
              <w:right w:val="single" w:color="000000" w:sz="4" w:space="0"/>
            </w:tcBorders>
            <w:tcW w:w="1412" w:type="dxa"/>
            <w:vAlign w:val="center"/>
          </w:tcPr>
          <w:p>
            <w:pPr>
              <w:pStyle w:val="12385"/>
              <w:pBdr/>
              <w:spacing/>
              <w:ind/>
              <w:rPr/>
            </w:pPr>
            <w:r>
              <w:t xml:space="preserve">0,0070401</w:t>
            </w:r>
            <w:r/>
          </w:p>
        </w:tc>
      </w:tr>
    </w:tbl>
    <w:p>
      <w:pPr>
        <w:pStyle w:val="12960"/>
        <w:pBdr/>
        <w:spacing/>
        <w:ind/>
        <w:rPr/>
      </w:pPr>
      <w:r/>
      <w:r/>
    </w:p>
    <w:p>
      <w:pPr>
        <w:pStyle w:val="12960"/>
        <w:pBdr/>
        <w:spacing/>
        <w:ind/>
        <w:rPr/>
        <w:sectPr>
          <w:headerReference w:type="default" r:id="rId172"/>
          <w:headerReference w:type="first" r:id="rId173"/>
          <w:footerReference w:type="default" r:id="rId440"/>
          <w:footerReference w:type="first" r:id="rId441"/>
          <w:footnotePr/>
          <w:endnotePr/>
          <w:type w:val="nextPage"/>
          <w:pgSz w:h="11906" w:orient="landscape" w:w="16838"/>
          <w:pgMar w:top="1701" w:right="1134" w:bottom="851" w:left="1134" w:header="709" w:footer="709" w:gutter="0"/>
          <w:cols w:num="1" w:sep="0" w:space="1701" w:equalWidth="1"/>
        </w:sectPr>
      </w:pPr>
      <w:r/>
      <w:r/>
    </w:p>
    <w:p>
      <w:pPr>
        <w:pStyle w:val="10534"/>
        <w:numPr>
          <w:ilvl w:val="0"/>
          <w:numId w:val="168"/>
        </w:numPr>
        <w:pBdr/>
        <w:spacing/>
        <w:ind/>
        <w:rPr>
          <w:rFonts w:ascii="Times New Roman" w:hAnsi="Times New Roman" w:eastAsia="Times New Roman" w:cs="Times New Roman"/>
          <w:b/>
          <w:smallCaps/>
          <w:spacing w:val="0"/>
          <w:sz w:val="28"/>
          <w:szCs w:val="36"/>
          <w:lang w:eastAsia="en-US" w:bidi="en-US"/>
        </w:rPr>
      </w:pPr>
      <w:r/>
      <w:bookmarkStart w:id="1042" w:name="_Toc198483629"/>
      <w:r/>
      <w:bookmarkStart w:id="1043" w:name="_Toc166767289"/>
      <w:r/>
      <w:bookmarkStart w:id="1044" w:name="_Toc84971070"/>
      <w:r/>
      <w:bookmarkStart w:id="1045" w:name="_Toc9154924"/>
      <w:r>
        <w:rPr>
          <w:rFonts w:eastAsia="Times New Roman" w:cs="Times New Roman"/>
          <w:b/>
          <w:smallCaps/>
          <w:spacing w:val="0"/>
          <w:sz w:val="28"/>
          <w:szCs w:val="36"/>
          <w:lang w:eastAsia="en-US" w:bidi="en-US"/>
        </w:rPr>
        <w:t xml:space="preserve">Обоснование ме</w:t>
      </w:r>
      <w:r>
        <w:rPr>
          <w:rFonts w:eastAsia="Times New Roman" w:cs="Times New Roman"/>
          <w:b/>
          <w:smallCaps/>
          <w:spacing w:val="0"/>
          <w:sz w:val="28"/>
          <w:szCs w:val="36"/>
          <w:lang w:eastAsia="en-US" w:bidi="en-US"/>
        </w:rPr>
        <w:t xml:space="preserve">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042"/>
      <w:r/>
      <w:bookmarkEnd w:id="1043"/>
      <w:r/>
      <w:bookmarkEnd w:id="1044"/>
      <w:r/>
      <w:bookmarkEnd w:id="1045"/>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В соответствии с МДК 4-01.2001 «Методические рекомендации по технологическому расследованию и учету</w:t>
      </w:r>
      <w:r>
        <w:t xml:space="preserve">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w:t>
      </w:r>
      <w:r>
        <w:t xml:space="preserve">ируемые взрыв и(или) выброс опасных веществ. Как показал статистический анализ инцидентов на тепловых сетях, за последние 5 лет аварийных ситуаций не возникало. Происходили только отказы. Время, затраченное на восстановление теплоснабжения потребителей пос</w:t>
      </w:r>
      <w:r>
        <w:t xml:space="preserve">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коммуникаций.</w:t>
      </w:r>
      <w:r/>
    </w:p>
    <w:p>
      <w:pPr>
        <w:pStyle w:val="12960"/>
        <w:pBdr/>
        <w:spacing/>
        <w:ind/>
        <w:rPr/>
      </w:pPr>
      <w:r>
        <w:t xml:space="preserve">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w:t>
      </w:r>
      <w:r>
        <w:t xml:space="preserve">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r/>
    </w:p>
    <w:p>
      <w:pPr>
        <w:pStyle w:val="12960"/>
        <w:pBdr/>
        <w:spacing/>
        <w:ind/>
        <w:rPr>
          <w:b/>
          <w:bCs w:val="0"/>
        </w:rPr>
      </w:pPr>
      <w:r>
        <w:rPr>
          <w:b/>
          <w:bCs w:val="0"/>
        </w:rPr>
        <w:t xml:space="preserve">Таблица 11.2.1 - Значения коэффициентов a, b, c</w:t>
      </w:r>
      <w:r>
        <w:rPr>
          <w:b/>
          <w:bCs w:val="0"/>
        </w:rPr>
      </w:r>
    </w:p>
    <w:tbl>
      <w:tblPr>
        <w:tblStyle w:val="13741"/>
        <w:tblInd w:w="0" w:type="dxa"/>
        <w:tblW w:w="5000" w:type="pct"/>
        <w:tblCellMar>
          <w:left w:w="5" w:type="dxa"/>
          <w:top w:w="0" w:type="dxa"/>
          <w:right w:w="5" w:type="dxa"/>
          <w:bottom w:w="0" w:type="dxa"/>
        </w:tblCellMar>
        <w:tblBorders/>
        <w:tblLayout w:type="fixed"/>
        <w:tblLook w:val="01E0" w:firstRow="1" w:lastRow="1" w:firstColumn="1" w:lastColumn="1" w:noHBand="0" w:noVBand="0"/>
      </w:tblPr>
      <w:tblGrid>
        <w:gridCol w:w="4454"/>
        <w:gridCol w:w="1733"/>
        <w:gridCol w:w="1571"/>
        <w:gridCol w:w="1596"/>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454" w:type="dxa"/>
            <w:vAlign w:val="center"/>
          </w:tcPr>
          <w:p>
            <w:pPr>
              <w:pStyle w:val="12385"/>
              <w:pBdr/>
              <w:spacing w:after="0" w:before="0"/>
              <w:ind/>
              <w:rPr>
                <w:rFonts w:cs="Times New Roman"/>
              </w:rPr>
            </w:pPr>
            <w:r>
              <w:rPr>
                <w:rFonts w:cs="Times New Roman"/>
                <w:lang w:val="en-US" w:bidi="ar-SA"/>
              </w:rPr>
              <w:t xml:space="preserve">Способ прокладки теплопровода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733" w:type="dxa"/>
            <w:vAlign w:val="center"/>
          </w:tcPr>
          <w:p>
            <w:pPr>
              <w:pStyle w:val="12385"/>
              <w:pBdr/>
              <w:spacing w:after="0" w:before="0"/>
              <w:ind/>
              <w:rPr>
                <w:rFonts w:cs="Times New Roman"/>
              </w:rPr>
            </w:pPr>
            <w:r>
              <w:rPr>
                <w:rFonts w:cs="Times New Roman"/>
                <w:lang w:val="en-US" w:bidi="ar-SA"/>
              </w:rPr>
              <w:t xml:space="preserve">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71" w:type="dxa"/>
            <w:vAlign w:val="center"/>
          </w:tcPr>
          <w:p>
            <w:pPr>
              <w:pStyle w:val="12385"/>
              <w:pBdr/>
              <w:spacing w:after="0" w:before="0"/>
              <w:ind/>
              <w:rPr>
                <w:rFonts w:cs="Times New Roman"/>
              </w:rPr>
            </w:pPr>
            <w:r>
              <w:rPr>
                <w:rFonts w:cs="Times New Roman"/>
                <w:lang w:val="en-US" w:bidi="ar-SA"/>
              </w:rPr>
              <w:t xml:space="preserve">b</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96" w:type="dxa"/>
            <w:vAlign w:val="center"/>
          </w:tcPr>
          <w:p>
            <w:pPr>
              <w:pStyle w:val="12385"/>
              <w:pBdr/>
              <w:spacing w:after="0" w:before="0"/>
              <w:ind/>
              <w:rPr>
                <w:rFonts w:cs="Times New Roman"/>
              </w:rPr>
            </w:pPr>
            <w:r>
              <w:rPr>
                <w:rFonts w:cs="Times New Roman"/>
                <w:lang w:val="en-US" w:bidi="ar-SA"/>
              </w:rPr>
              <w:t xml:space="preserve">с</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4454" w:type="dxa"/>
            <w:vAlign w:val="center"/>
          </w:tcPr>
          <w:p>
            <w:pPr>
              <w:pStyle w:val="12385"/>
              <w:pBdr/>
              <w:spacing w:after="0" w:before="0"/>
              <w:ind/>
              <w:rPr>
                <w:rFonts w:cs="Times New Roman"/>
              </w:rPr>
            </w:pPr>
            <w:r>
              <w:rPr>
                <w:rFonts w:cs="Times New Roman"/>
                <w:lang w:val="en-US" w:bidi="ar-SA"/>
              </w:rPr>
              <w:t xml:space="preserve">В канале (без канала)</w:t>
            </w:r>
            <w:r>
              <w:rPr>
                <w:rFonts w:cs="Times New Roman"/>
              </w:rPr>
            </w:r>
          </w:p>
        </w:tc>
        <w:tc>
          <w:tcPr>
            <w:tcBorders>
              <w:top w:val="single" w:color="000000" w:sz="4" w:space="0"/>
              <w:left w:val="single" w:color="000000" w:sz="4" w:space="0"/>
              <w:bottom w:val="single" w:color="000000" w:sz="4" w:space="0"/>
              <w:right w:val="single" w:color="000000" w:sz="4" w:space="0"/>
            </w:tcBorders>
            <w:tcW w:w="1733" w:type="dxa"/>
            <w:vAlign w:val="center"/>
          </w:tcPr>
          <w:p>
            <w:pPr>
              <w:pStyle w:val="12385"/>
              <w:pBdr/>
              <w:spacing w:after="0" w:before="0"/>
              <w:ind/>
              <w:rPr>
                <w:rFonts w:cs="Times New Roman"/>
              </w:rPr>
            </w:pPr>
            <w:r>
              <w:rPr>
                <w:rFonts w:cs="Times New Roman"/>
                <w:lang w:val="en-US" w:bidi="ar-SA"/>
              </w:rPr>
              <w:t xml:space="preserve">2,913</w:t>
            </w:r>
            <w:r>
              <w:rPr>
                <w:rFonts w:cs="Times New Roman"/>
              </w:rPr>
            </w:r>
          </w:p>
        </w:tc>
        <w:tc>
          <w:tcPr>
            <w:tcBorders>
              <w:top w:val="single" w:color="000000" w:sz="4" w:space="0"/>
              <w:left w:val="single" w:color="000000" w:sz="4" w:space="0"/>
              <w:bottom w:val="single" w:color="000000" w:sz="4" w:space="0"/>
              <w:right w:val="single" w:color="000000" w:sz="4" w:space="0"/>
            </w:tcBorders>
            <w:tcW w:w="1571" w:type="dxa"/>
            <w:vAlign w:val="center"/>
          </w:tcPr>
          <w:p>
            <w:pPr>
              <w:pStyle w:val="12385"/>
              <w:pBdr/>
              <w:spacing w:after="0" w:before="0"/>
              <w:ind/>
              <w:rPr>
                <w:rFonts w:cs="Times New Roman"/>
              </w:rPr>
            </w:pPr>
            <w:r>
              <w:rPr>
                <w:rFonts w:cs="Times New Roman"/>
                <w:lang w:val="en-US" w:bidi="ar-SA"/>
              </w:rPr>
              <w:t xml:space="preserve">20,89</w:t>
            </w:r>
            <w:r>
              <w:rPr>
                <w:rFonts w:cs="Times New Roman"/>
              </w:rPr>
            </w:r>
          </w:p>
        </w:tc>
        <w:tc>
          <w:tcPr>
            <w:tcBorders>
              <w:top w:val="single" w:color="000000" w:sz="4" w:space="0"/>
              <w:left w:val="single" w:color="000000" w:sz="4" w:space="0"/>
              <w:bottom w:val="single" w:color="000000" w:sz="4" w:space="0"/>
              <w:right w:val="single" w:color="000000" w:sz="4" w:space="0"/>
            </w:tcBorders>
            <w:tcW w:w="1596" w:type="dxa"/>
            <w:vAlign w:val="center"/>
          </w:tcPr>
          <w:p>
            <w:pPr>
              <w:pStyle w:val="12385"/>
              <w:pBdr/>
              <w:spacing w:after="0" w:before="0"/>
              <w:ind/>
              <w:rPr>
                <w:rFonts w:cs="Times New Roman"/>
              </w:rPr>
            </w:pPr>
            <w:r>
              <w:rPr>
                <w:rFonts w:cs="Times New Roman"/>
                <w:lang w:val="en-US" w:bidi="ar-SA"/>
              </w:rPr>
              <w:t xml:space="preserve">-1,88</w:t>
            </w:r>
            <w:r>
              <w:rPr>
                <w:rFonts w:cs="Times New Roman"/>
              </w:rPr>
            </w:r>
          </w:p>
        </w:tc>
      </w:tr>
    </w:tbl>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1055"/>
        <w:pBdr/>
        <w:spacing w:after="0" w:before="6"/>
        <w:ind/>
        <w:rPr>
          <w:rFonts w:ascii="Times New Roman" w:hAnsi="Times New Roman"/>
          <w:b/>
          <w:sz w:val="20"/>
          <w:lang w:val="ru-RU"/>
        </w:rPr>
      </w:pPr>
      <w:r>
        <w:rPr>
          <w:rFonts w:ascii="Times New Roman" w:hAnsi="Times New Roman"/>
          <w:b/>
          <w:sz w:val="20"/>
          <w:lang w:val="ru-RU"/>
        </w:rPr>
      </w:r>
      <w:r>
        <w:rPr>
          <w:rFonts w:ascii="Times New Roman" w:hAnsi="Times New Roman"/>
          <w:b/>
          <w:sz w:val="20"/>
          <w:lang w:val="ru-RU"/>
        </w:rPr>
      </w:r>
    </w:p>
    <w:p>
      <w:pPr>
        <w:pStyle w:val="12960"/>
        <w:pBdr/>
        <w:spacing/>
        <w:ind/>
        <w:rPr>
          <w:b/>
          <w:bCs w:val="0"/>
        </w:rPr>
      </w:pPr>
      <w:r/>
      <w:bookmarkStart w:id="1046" w:name="_bookmark257"/>
      <w:r/>
      <w:bookmarkEnd w:id="1046"/>
      <w:r>
        <w:rPr>
          <w:b/>
          <w:bCs w:val="0"/>
        </w:rPr>
        <w:t xml:space="preserve">Таблица 11.2.2 - Расстояния между СЗ в метрах и место их расположения</w:t>
      </w:r>
      <w:r>
        <w:rPr>
          <w:b/>
          <w:bCs w:val="0"/>
        </w:rPr>
      </w:r>
    </w:p>
    <w:tbl>
      <w:tblPr>
        <w:tblStyle w:val="13741"/>
        <w:tblInd w:w="0" w:type="dxa"/>
        <w:tblW w:w="5000" w:type="pct"/>
        <w:tblCellMar>
          <w:left w:w="5" w:type="dxa"/>
          <w:top w:w="0" w:type="dxa"/>
          <w:right w:w="5" w:type="dxa"/>
          <w:bottom w:w="0" w:type="dxa"/>
        </w:tblCellMar>
        <w:tblBorders/>
        <w:tblLayout w:type="fixed"/>
        <w:tblLook w:val="01E0" w:firstRow="1" w:lastRow="1" w:firstColumn="1" w:lastColumn="1" w:noHBand="0" w:noVBand="0"/>
      </w:tblPr>
      <w:tblGrid>
        <w:gridCol w:w="1462"/>
        <w:gridCol w:w="1292"/>
        <w:gridCol w:w="1730"/>
        <w:gridCol w:w="2343"/>
        <w:gridCol w:w="252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62" w:type="dxa"/>
            <w:vAlign w:val="center"/>
            <w:vMerge w:val="restart"/>
          </w:tcPr>
          <w:p>
            <w:pPr>
              <w:pStyle w:val="12385"/>
              <w:pBdr/>
              <w:spacing w:after="0" w:before="0"/>
              <w:ind/>
              <w:rPr>
                <w:rFonts w:cs="Times New Roman"/>
              </w:rPr>
            </w:pPr>
            <w:r>
              <w:rPr>
                <w:rFonts w:cs="Times New Roman"/>
                <w:lang w:val="en-US" w:bidi="ar-SA"/>
              </w:rPr>
              <w:t xml:space="preserve">Диаметр теплопровода,</w:t>
            </w:r>
            <w:r>
              <w:rPr>
                <w:rFonts w:cs="Times New Roman"/>
              </w:rPr>
            </w:r>
          </w:p>
          <w:p>
            <w:pPr>
              <w:pStyle w:val="12385"/>
              <w:pBdr/>
              <w:spacing w:after="0" w:before="0"/>
              <w:ind/>
              <w:rPr>
                <w:rFonts w:cs="Times New Roman"/>
              </w:rPr>
            </w:pPr>
            <w:r>
              <w:rPr>
                <w:rFonts w:cs="Times New Roman"/>
                <w:lang w:val="en-US" w:bidi="ar-SA"/>
              </w:rPr>
              <w:t xml:space="preserve">м</w:t>
            </w:r>
            <w:r>
              <w:rPr>
                <w:rFonts w:cs="Times New Roman"/>
              </w:rP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022" w:type="dxa"/>
            <w:vAlign w:val="center"/>
          </w:tcPr>
          <w:p>
            <w:pPr>
              <w:pStyle w:val="12385"/>
              <w:pBdr/>
              <w:spacing w:after="0" w:before="0"/>
              <w:ind/>
              <w:rPr>
                <w:rFonts w:cs="Times New Roman"/>
              </w:rPr>
            </w:pPr>
            <w:r>
              <w:rPr>
                <w:rFonts w:cs="Times New Roman"/>
                <w:lang w:val="en-US" w:bidi="ar-SA"/>
              </w:rPr>
              <w:t xml:space="preserve">Диаметр не изменяется</w:t>
            </w:r>
            <w:r>
              <w:rPr>
                <w:rFonts w:cs="Times New Roman"/>
              </w:rPr>
            </w:r>
          </w:p>
        </w:tc>
        <w:tc>
          <w:tcPr>
            <w:gridSpan w:val="2"/>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871" w:type="dxa"/>
            <w:vAlign w:val="center"/>
          </w:tcPr>
          <w:p>
            <w:pPr>
              <w:pStyle w:val="12385"/>
              <w:pBdr/>
              <w:spacing w:after="0" w:before="0"/>
              <w:ind/>
              <w:rPr>
                <w:rFonts w:cs="Times New Roman"/>
              </w:rPr>
            </w:pPr>
            <w:r>
              <w:rPr>
                <w:rFonts w:cs="Times New Roman"/>
                <w:lang w:val="en-US" w:bidi="ar-SA"/>
              </w:rPr>
              <w:t xml:space="preserve">Диаметр изменяется</w:t>
            </w:r>
            <w:r>
              <w:rPr>
                <w:rFonts w:cs="Times New Roman"/>
              </w:rPr>
            </w:r>
          </w:p>
        </w:tc>
      </w:tr>
      <w:tr>
        <w:trPr>
          <w:trHeight w:val="20"/>
          <w:tblHeader/>
        </w:trPr>
        <w:tc>
          <w:tcPr>
            <w:shd w:val="clear" w:color="auto" w:fill="d9d9d9" w:themeFill="background1" w:themeFillShade="D9"/>
            <w:tcBorders>
              <w:left w:val="single" w:color="000000" w:sz="4" w:space="0"/>
              <w:bottom w:val="single" w:color="000000" w:sz="4" w:space="0"/>
              <w:right w:val="single" w:color="000000" w:sz="4" w:space="0"/>
            </w:tcBorders>
            <w:tcW w:w="1462" w:type="dxa"/>
            <w:vAlign w:val="center"/>
            <w:vMerge w:val="continue"/>
          </w:tcPr>
          <w:p>
            <w:pPr>
              <w:pStyle w:val="12385"/>
              <w:pBdr/>
              <w:spacing w:after="0" w:before="0"/>
              <w:ind/>
              <w:rPr>
                <w:rFonts w:cs="Times New Roman"/>
                <w:sz w:val="2"/>
                <w:szCs w:val="2"/>
              </w:rPr>
            </w:pPr>
            <w:r>
              <w:rPr>
                <w:rFonts w:cs="Times New Roman"/>
                <w:sz w:val="2"/>
                <w:szCs w:val="2"/>
                <w:lang w:val="en-US" w:bidi="ar-SA"/>
              </w:rPr>
            </w:r>
            <w:r>
              <w:rPr>
                <w:rFonts w:cs="Times New Roman"/>
                <w:sz w:val="2"/>
                <w:szCs w:val="2"/>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92" w:type="dxa"/>
            <w:vAlign w:val="center"/>
          </w:tcPr>
          <w:p>
            <w:pPr>
              <w:pStyle w:val="12385"/>
              <w:pBdr/>
              <w:spacing w:after="0" w:before="0"/>
              <w:ind/>
              <w:rPr>
                <w:rFonts w:cs="Times New Roman"/>
              </w:rPr>
            </w:pPr>
            <w:r>
              <w:rPr>
                <w:rFonts w:cs="Times New Roman"/>
                <w:lang w:val="en-US" w:bidi="ar-SA"/>
              </w:rPr>
              <w:t xml:space="preserve">ответвлений нет</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730" w:type="dxa"/>
            <w:vAlign w:val="center"/>
          </w:tcPr>
          <w:p>
            <w:pPr>
              <w:pStyle w:val="12385"/>
              <w:pBdr/>
              <w:spacing w:after="0" w:before="0"/>
              <w:ind/>
              <w:rPr>
                <w:rFonts w:cs="Times New Roman"/>
              </w:rPr>
            </w:pPr>
            <w:r>
              <w:rPr>
                <w:rFonts w:cs="Times New Roman"/>
                <w:lang w:val="en-US" w:bidi="ar-SA"/>
              </w:rPr>
              <w:t xml:space="preserve">ответвления есть</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43" w:type="dxa"/>
            <w:vAlign w:val="center"/>
          </w:tcPr>
          <w:p>
            <w:pPr>
              <w:pStyle w:val="12385"/>
              <w:pBdr/>
              <w:spacing w:after="0" w:before="0"/>
              <w:ind/>
              <w:rPr>
                <w:rFonts w:cs="Times New Roman"/>
              </w:rPr>
            </w:pPr>
            <w:r>
              <w:rPr>
                <w:rFonts w:cs="Times New Roman"/>
                <w:lang w:val="en-US" w:bidi="ar-SA"/>
              </w:rPr>
              <w:t xml:space="preserve">ответвлений нет</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after="0" w:before="0"/>
              <w:ind/>
              <w:rPr>
                <w:rFonts w:cs="Times New Roman"/>
              </w:rPr>
            </w:pPr>
            <w:r>
              <w:rPr>
                <w:rFonts w:cs="Times New Roman"/>
                <w:lang w:val="en-US" w:bidi="ar-SA"/>
              </w:rPr>
              <w:t xml:space="preserve">ответвления есть</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462" w:type="dxa"/>
            <w:vAlign w:val="center"/>
          </w:tcPr>
          <w:p>
            <w:pPr>
              <w:pStyle w:val="12385"/>
              <w:pBdr/>
              <w:spacing w:after="0" w:before="0"/>
              <w:ind/>
              <w:rPr>
                <w:rFonts w:cs="Times New Roman"/>
              </w:rPr>
            </w:pPr>
            <w:r>
              <w:rPr>
                <w:rFonts w:cs="Times New Roman"/>
                <w:lang w:val="en-US" w:bidi="ar-SA"/>
              </w:rPr>
              <w:t xml:space="preserve">до 0,4 (включительно)</w:t>
            </w:r>
            <w:r>
              <w:rPr>
                <w:rFonts w:cs="Times New Roman"/>
              </w:rPr>
            </w:r>
          </w:p>
        </w:tc>
        <w:tc>
          <w:tcPr>
            <w:tcBorders>
              <w:top w:val="single" w:color="000000" w:sz="4" w:space="0"/>
              <w:left w:val="single" w:color="000000" w:sz="4" w:space="0"/>
              <w:bottom w:val="single" w:color="000000" w:sz="4" w:space="0"/>
              <w:right w:val="single" w:color="000000" w:sz="4" w:space="0"/>
            </w:tcBorders>
            <w:tcW w:w="1292" w:type="dxa"/>
            <w:vAlign w:val="center"/>
          </w:tcPr>
          <w:p>
            <w:pPr>
              <w:pStyle w:val="12385"/>
              <w:pBdr/>
              <w:spacing w:after="0" w:before="0"/>
              <w:ind/>
              <w:rPr>
                <w:rFonts w:cs="Times New Roman"/>
              </w:rPr>
            </w:pPr>
            <w:r>
              <w:rPr>
                <w:rFonts w:cs="Times New Roman"/>
                <w:lang w:val="en-US" w:bidi="ar-SA"/>
              </w:rPr>
            </w:r>
            <w:r>
              <w:rPr>
                <w:rFonts w:cs="Times New Roman"/>
              </w:rPr>
            </w:r>
          </w:p>
          <w:p>
            <w:pPr>
              <w:pStyle w:val="12385"/>
              <w:pBdr/>
              <w:spacing w:after="0" w:before="0"/>
              <w:ind/>
              <w:rPr>
                <w:rFonts w:cs="Times New Roman"/>
                <w:sz w:val="16"/>
              </w:rPr>
            </w:pPr>
            <w:r>
              <w:rPr>
                <w:rFonts w:cs="Times New Roman"/>
                <w:sz w:val="16"/>
                <w:lang w:val="en-US" w:bidi="ar-SA"/>
              </w:rPr>
            </w:r>
            <w:r>
              <w:rPr>
                <w:rFonts w:cs="Times New Roman"/>
                <w:sz w:val="16"/>
              </w:rPr>
            </w:r>
          </w:p>
          <w:p>
            <w:pPr>
              <w:pStyle w:val="12385"/>
              <w:pBdr/>
              <w:spacing w:after="0" w:before="0"/>
              <w:ind/>
              <w:rPr>
                <w:rFonts w:cs="Times New Roman"/>
              </w:rPr>
            </w:pPr>
            <w:r>
              <w:rPr>
                <w:rFonts w:cs="Times New Roman"/>
                <w:lang w:val="en-US" w:bidi="ar-SA"/>
              </w:rPr>
              <w:t xml:space="preserve">1000</w:t>
            </w:r>
            <w:r>
              <w:rPr>
                <w:rFonts w:cs="Times New Roman"/>
              </w:rPr>
            </w:r>
          </w:p>
        </w:tc>
        <w:tc>
          <w:tcPr>
            <w:tcBorders>
              <w:top w:val="single" w:color="000000" w:sz="4" w:space="0"/>
              <w:left w:val="single" w:color="000000" w:sz="4" w:space="0"/>
              <w:bottom w:val="single" w:color="000000" w:sz="4" w:space="0"/>
              <w:right w:val="single" w:color="000000" w:sz="4" w:space="0"/>
            </w:tcBorders>
            <w:tcW w:w="1730" w:type="dxa"/>
            <w:vAlign w:val="center"/>
          </w:tcPr>
          <w:p>
            <w:pPr>
              <w:pStyle w:val="12385"/>
              <w:pBdr/>
              <w:spacing w:after="0" w:before="0"/>
              <w:ind/>
              <w:rPr>
                <w:rFonts w:cs="Times New Roman"/>
                <w:lang w:val="ru-RU"/>
              </w:rPr>
            </w:pPr>
            <w:r>
              <w:rPr>
                <w:rFonts w:cs="Times New Roman"/>
                <w:lang w:val="ru-RU" w:bidi="ar-SA"/>
              </w:rPr>
              <w:t xml:space="preserve">непосредственно за ответвлением, расстояние до ближайшей СЗ не</w:t>
            </w:r>
            <w:r>
              <w:rPr>
                <w:rFonts w:cs="Times New Roman"/>
                <w:lang w:val="ru-RU"/>
              </w:rPr>
            </w:r>
          </w:p>
          <w:p>
            <w:pPr>
              <w:pStyle w:val="12385"/>
              <w:pBdr/>
              <w:spacing w:after="0" w:before="0"/>
              <w:ind/>
              <w:rPr>
                <w:rFonts w:cs="Times New Roman"/>
              </w:rPr>
            </w:pPr>
            <w:r>
              <w:rPr>
                <w:rFonts w:cs="Times New Roman"/>
                <w:lang w:val="en-US" w:bidi="ar-SA"/>
              </w:rPr>
              <w:t xml:space="preserve">более 1000 м</w:t>
            </w:r>
            <w:r>
              <w:rPr>
                <w:rFonts w:cs="Times New Roman"/>
              </w:rPr>
            </w:r>
          </w:p>
        </w:tc>
        <w:tc>
          <w:tcPr>
            <w:tcBorders>
              <w:top w:val="single" w:color="000000" w:sz="4" w:space="0"/>
              <w:left w:val="single" w:color="000000" w:sz="4" w:space="0"/>
              <w:bottom w:val="single" w:color="000000" w:sz="4" w:space="0"/>
              <w:right w:val="single" w:color="000000" w:sz="4" w:space="0"/>
            </w:tcBorders>
            <w:tcW w:w="2343" w:type="dxa"/>
            <w:vAlign w:val="center"/>
          </w:tcPr>
          <w:p>
            <w:pPr>
              <w:pStyle w:val="12385"/>
              <w:pBdr/>
              <w:spacing w:after="0" w:before="0"/>
              <w:ind/>
              <w:rPr>
                <w:rFonts w:cs="Times New Roman"/>
                <w:lang w:val="ru-RU"/>
              </w:rPr>
            </w:pPr>
            <w:r>
              <w:rPr>
                <w:rFonts w:cs="Times New Roman"/>
                <w:lang w:val="ru-RU" w:bidi="ar-SA"/>
              </w:rPr>
              <w:t xml:space="preserve">непосредственно за местом изменения диаметра, расстояние до ближайшей СЗ не более</w:t>
            </w:r>
            <w:r>
              <w:rPr>
                <w:rFonts w:cs="Times New Roman"/>
                <w:lang w:val="ru-RU"/>
              </w:rPr>
            </w:r>
          </w:p>
          <w:p>
            <w:pPr>
              <w:pStyle w:val="12385"/>
              <w:pBdr/>
              <w:spacing w:after="0" w:before="0"/>
              <w:ind/>
              <w:rPr>
                <w:rFonts w:cs="Times New Roman"/>
              </w:rPr>
            </w:pPr>
            <w:r>
              <w:rPr>
                <w:rFonts w:cs="Times New Roman"/>
                <w:lang w:val="en-US" w:bidi="ar-SA"/>
              </w:rPr>
              <w:t xml:space="preserve">1000 м</w:t>
            </w:r>
            <w:r>
              <w:rPr>
                <w:rFonts w:cs="Times New Roman"/>
              </w:rPr>
            </w:r>
          </w:p>
        </w:tc>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after="0" w:before="0"/>
              <w:ind/>
              <w:rPr>
                <w:rFonts w:cs="Times New Roman"/>
                <w:lang w:val="ru-RU"/>
              </w:rPr>
            </w:pPr>
            <w:r>
              <w:rPr>
                <w:rFonts w:cs="Times New Roman"/>
                <w:lang w:val="ru-RU" w:bidi="ar-SA"/>
              </w:rPr>
              <w:t xml:space="preserve">непосредственно за ответвлением, на теплопроводе меньшего диаметра, расстояние до ближайшей СЗ</w:t>
            </w:r>
            <w:r>
              <w:rPr>
                <w:rFonts w:cs="Times New Roman"/>
                <w:lang w:val="ru-RU"/>
              </w:rPr>
            </w:r>
          </w:p>
          <w:p>
            <w:pPr>
              <w:pStyle w:val="12385"/>
              <w:pBdr/>
              <w:spacing w:after="0" w:before="0"/>
              <w:ind/>
              <w:rPr>
                <w:rFonts w:cs="Times New Roman"/>
              </w:rPr>
            </w:pPr>
            <w:r>
              <w:rPr>
                <w:rFonts w:cs="Times New Roman"/>
                <w:lang w:val="en-US" w:bidi="ar-SA"/>
              </w:rPr>
              <w:t xml:space="preserve">не более 1000 м</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462" w:type="dxa"/>
            <w:vAlign w:val="center"/>
          </w:tcPr>
          <w:p>
            <w:pPr>
              <w:pStyle w:val="12385"/>
              <w:pBdr/>
              <w:spacing w:after="0" w:before="0"/>
              <w:ind/>
              <w:rPr>
                <w:rFonts w:cs="Times New Roman"/>
              </w:rPr>
            </w:pPr>
            <w:r>
              <w:rPr>
                <w:rFonts w:cs="Times New Roman"/>
                <w:lang w:val="en-US" w:bidi="ar-SA"/>
              </w:rPr>
              <w:t xml:space="preserve">от 0,4 до 0,6 (включительно)</w:t>
            </w:r>
            <w:r>
              <w:rPr>
                <w:rFonts w:cs="Times New Roman"/>
              </w:rPr>
            </w:r>
          </w:p>
        </w:tc>
        <w:tc>
          <w:tcPr>
            <w:tcBorders>
              <w:top w:val="single" w:color="000000" w:sz="4" w:space="0"/>
              <w:left w:val="single" w:color="000000" w:sz="4" w:space="0"/>
              <w:bottom w:val="single" w:color="000000" w:sz="4" w:space="0"/>
              <w:right w:val="single" w:color="000000" w:sz="4" w:space="0"/>
            </w:tcBorders>
            <w:tcW w:w="1292" w:type="dxa"/>
            <w:vAlign w:val="center"/>
          </w:tcPr>
          <w:p>
            <w:pPr>
              <w:pStyle w:val="12385"/>
              <w:pBdr/>
              <w:spacing w:after="0" w:before="0"/>
              <w:ind/>
              <w:rPr>
                <w:rFonts w:cs="Times New Roman"/>
              </w:rPr>
            </w:pPr>
            <w:r>
              <w:rPr>
                <w:rFonts w:cs="Times New Roman"/>
                <w:lang w:val="en-US" w:bidi="ar-SA"/>
              </w:rPr>
            </w:r>
            <w:r>
              <w:rPr>
                <w:rFonts w:cs="Times New Roman"/>
              </w:rPr>
            </w:r>
          </w:p>
          <w:p>
            <w:pPr>
              <w:pStyle w:val="12385"/>
              <w:pBdr/>
              <w:spacing w:after="0" w:before="0"/>
              <w:ind/>
              <w:rPr>
                <w:rFonts w:cs="Times New Roman"/>
                <w:sz w:val="16"/>
              </w:rPr>
            </w:pPr>
            <w:r>
              <w:rPr>
                <w:rFonts w:cs="Times New Roman"/>
                <w:sz w:val="16"/>
                <w:lang w:val="en-US" w:bidi="ar-SA"/>
              </w:rPr>
            </w:r>
            <w:r>
              <w:rPr>
                <w:rFonts w:cs="Times New Roman"/>
                <w:sz w:val="16"/>
              </w:rPr>
            </w:r>
          </w:p>
          <w:p>
            <w:pPr>
              <w:pStyle w:val="12385"/>
              <w:pBdr/>
              <w:spacing w:after="0" w:before="0"/>
              <w:ind/>
              <w:rPr>
                <w:rFonts w:cs="Times New Roman"/>
              </w:rPr>
            </w:pPr>
            <w:r>
              <w:rPr>
                <w:rFonts w:cs="Times New Roman"/>
                <w:lang w:val="en-US" w:bidi="ar-SA"/>
              </w:rPr>
              <w:t xml:space="preserve">1500</w:t>
            </w:r>
            <w:r>
              <w:rPr>
                <w:rFonts w:cs="Times New Roman"/>
              </w:rPr>
            </w:r>
          </w:p>
        </w:tc>
        <w:tc>
          <w:tcPr>
            <w:tcBorders>
              <w:top w:val="single" w:color="000000" w:sz="4" w:space="0"/>
              <w:left w:val="single" w:color="000000" w:sz="4" w:space="0"/>
              <w:bottom w:val="single" w:color="000000" w:sz="4" w:space="0"/>
              <w:right w:val="single" w:color="000000" w:sz="4" w:space="0"/>
            </w:tcBorders>
            <w:tcW w:w="1730" w:type="dxa"/>
            <w:vAlign w:val="center"/>
          </w:tcPr>
          <w:p>
            <w:pPr>
              <w:pStyle w:val="12385"/>
              <w:pBdr/>
              <w:spacing w:after="0" w:before="0"/>
              <w:ind/>
              <w:rPr>
                <w:rFonts w:cs="Times New Roman"/>
                <w:lang w:val="ru-RU"/>
              </w:rPr>
            </w:pPr>
            <w:r>
              <w:rPr>
                <w:rFonts w:cs="Times New Roman"/>
                <w:lang w:val="ru-RU" w:bidi="ar-SA"/>
              </w:rPr>
              <w:t xml:space="preserve">непосредственно за ответвлением, расстояние до</w:t>
            </w:r>
            <w:r>
              <w:rPr>
                <w:rFonts w:cs="Times New Roman"/>
                <w:lang w:val="ru-RU"/>
              </w:rPr>
            </w:r>
          </w:p>
          <w:p>
            <w:pPr>
              <w:pStyle w:val="12385"/>
              <w:pBdr/>
              <w:spacing w:after="0" w:before="0"/>
              <w:ind/>
              <w:rPr>
                <w:rFonts w:cs="Times New Roman"/>
                <w:lang w:val="ru-RU"/>
              </w:rPr>
            </w:pPr>
            <w:r>
              <w:rPr>
                <w:rFonts w:cs="Times New Roman"/>
                <w:lang w:val="ru-RU" w:bidi="ar-SA"/>
              </w:rPr>
              <w:t xml:space="preserve">ближайшей СЗ не более 1500 м</w:t>
            </w:r>
            <w:r>
              <w:rPr>
                <w:rFonts w:cs="Times New Roman"/>
                <w:lang w:val="ru-RU"/>
              </w:rPr>
            </w:r>
          </w:p>
        </w:tc>
        <w:tc>
          <w:tcPr>
            <w:tcBorders>
              <w:top w:val="single" w:color="000000" w:sz="4" w:space="0"/>
              <w:left w:val="single" w:color="000000" w:sz="4" w:space="0"/>
              <w:bottom w:val="single" w:color="000000" w:sz="4" w:space="0"/>
              <w:right w:val="single" w:color="000000" w:sz="4" w:space="0"/>
            </w:tcBorders>
            <w:tcW w:w="2343" w:type="dxa"/>
            <w:vAlign w:val="center"/>
          </w:tcPr>
          <w:p>
            <w:pPr>
              <w:pStyle w:val="12385"/>
              <w:pBdr/>
              <w:spacing w:after="0" w:before="0"/>
              <w:ind/>
              <w:rPr>
                <w:rFonts w:cs="Times New Roman"/>
                <w:lang w:val="ru-RU"/>
              </w:rPr>
            </w:pPr>
            <w:r>
              <w:rPr>
                <w:rFonts w:cs="Times New Roman"/>
                <w:lang w:val="ru-RU" w:bidi="ar-SA"/>
              </w:rPr>
              <w:t xml:space="preserve">непосредственно за местом изменения диаметра, расстояние до</w:t>
            </w:r>
            <w:r>
              <w:rPr>
                <w:rFonts w:cs="Times New Roman"/>
                <w:lang w:val="ru-RU"/>
              </w:rPr>
            </w:r>
          </w:p>
          <w:p>
            <w:pPr>
              <w:pStyle w:val="12385"/>
              <w:pBdr/>
              <w:spacing w:after="0" w:before="0"/>
              <w:ind/>
              <w:rPr>
                <w:rFonts w:cs="Times New Roman"/>
                <w:lang w:val="ru-RU"/>
              </w:rPr>
            </w:pPr>
            <w:r>
              <w:rPr>
                <w:rFonts w:cs="Times New Roman"/>
                <w:lang w:val="ru-RU" w:bidi="ar-SA"/>
              </w:rPr>
              <w:t xml:space="preserve">ближайшей СЗ не более 1000 м</w:t>
            </w:r>
            <w:r>
              <w:rPr>
                <w:rFonts w:cs="Times New Roman"/>
                <w:lang w:val="ru-RU"/>
              </w:rPr>
            </w:r>
          </w:p>
        </w:tc>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after="0" w:before="0"/>
              <w:ind/>
              <w:rPr>
                <w:rFonts w:cs="Times New Roman"/>
                <w:lang w:val="ru-RU"/>
              </w:rPr>
            </w:pPr>
            <w:r>
              <w:rPr>
                <w:rFonts w:cs="Times New Roman"/>
                <w:lang w:val="ru-RU" w:bidi="ar-SA"/>
              </w:rPr>
              <w:t xml:space="preserve">непосредственно за ответвлением, на теплопроводе меньшего диаметра, рас-</w:t>
            </w:r>
            <w:r>
              <w:rPr>
                <w:rFonts w:cs="Times New Roman"/>
                <w:lang w:val="ru-RU"/>
              </w:rPr>
            </w:r>
          </w:p>
          <w:p>
            <w:pPr>
              <w:pStyle w:val="12385"/>
              <w:pBdr/>
              <w:spacing w:after="0" w:before="0"/>
              <w:ind/>
              <w:rPr>
                <w:rFonts w:cs="Times New Roman"/>
                <w:lang w:val="ru-RU"/>
              </w:rPr>
            </w:pPr>
            <w:r>
              <w:rPr>
                <w:rFonts w:cs="Times New Roman"/>
                <w:lang w:val="ru-RU" w:bidi="ar-SA"/>
              </w:rPr>
              <w:t xml:space="preserve">стояние до ближайшей СЗ не более 1000 м</w:t>
            </w:r>
            <w:r>
              <w:rPr>
                <w:rFonts w:cs="Times New Roman"/>
                <w:lang w:val="ru-RU"/>
              </w:rPr>
            </w:r>
          </w:p>
        </w:tc>
      </w:tr>
      <w:tr>
        <w:trPr>
          <w:trHeight w:val="20"/>
        </w:trPr>
        <w:tc>
          <w:tcPr>
            <w:tcBorders>
              <w:top w:val="single" w:color="000000" w:sz="4" w:space="0"/>
              <w:left w:val="single" w:color="000000" w:sz="4" w:space="0"/>
              <w:bottom w:val="single" w:color="000000" w:sz="4" w:space="0"/>
              <w:right w:val="single" w:color="000000" w:sz="4" w:space="0"/>
            </w:tcBorders>
            <w:tcW w:w="1462" w:type="dxa"/>
            <w:vAlign w:val="center"/>
          </w:tcPr>
          <w:p>
            <w:pPr>
              <w:pStyle w:val="12385"/>
              <w:pBdr/>
              <w:spacing w:after="0" w:before="0"/>
              <w:ind/>
              <w:rPr>
                <w:rFonts w:cs="Times New Roman"/>
              </w:rPr>
            </w:pPr>
            <w:r>
              <w:rPr>
                <w:rFonts w:cs="Times New Roman"/>
                <w:lang w:val="en-US" w:bidi="ar-SA"/>
              </w:rPr>
              <w:t xml:space="preserve">от 0,6 до 0,9 (включительно)</w:t>
            </w:r>
            <w:r>
              <w:rPr>
                <w:rFonts w:cs="Times New Roman"/>
              </w:rPr>
            </w:r>
          </w:p>
        </w:tc>
        <w:tc>
          <w:tcPr>
            <w:tcBorders>
              <w:top w:val="single" w:color="000000" w:sz="4" w:space="0"/>
              <w:left w:val="single" w:color="000000" w:sz="4" w:space="0"/>
              <w:bottom w:val="single" w:color="000000" w:sz="4" w:space="0"/>
              <w:right w:val="single" w:color="000000" w:sz="4" w:space="0"/>
            </w:tcBorders>
            <w:tcW w:w="1292" w:type="dxa"/>
            <w:vAlign w:val="center"/>
          </w:tcPr>
          <w:p>
            <w:pPr>
              <w:pStyle w:val="12385"/>
              <w:pBdr/>
              <w:spacing w:after="0" w:before="0"/>
              <w:ind/>
              <w:rPr>
                <w:rFonts w:cs="Times New Roman"/>
              </w:rPr>
            </w:pPr>
            <w:r>
              <w:rPr>
                <w:rFonts w:cs="Times New Roman"/>
                <w:lang w:val="en-US" w:bidi="ar-SA"/>
              </w:rPr>
            </w:r>
            <w:r>
              <w:rPr>
                <w:rFonts w:cs="Times New Roman"/>
              </w:rPr>
            </w:r>
          </w:p>
          <w:p>
            <w:pPr>
              <w:pStyle w:val="12385"/>
              <w:pBdr/>
              <w:spacing w:after="0" w:before="0"/>
              <w:ind/>
              <w:rPr>
                <w:rFonts w:cs="Times New Roman"/>
              </w:rPr>
            </w:pPr>
            <w:r>
              <w:rPr>
                <w:rFonts w:cs="Times New Roman"/>
                <w:lang w:val="en-US" w:bidi="ar-SA"/>
              </w:rPr>
            </w:r>
            <w:r>
              <w:rPr>
                <w:rFonts w:cs="Times New Roman"/>
              </w:rPr>
            </w:r>
          </w:p>
          <w:p>
            <w:pPr>
              <w:pStyle w:val="12385"/>
              <w:pBdr/>
              <w:spacing w:after="0" w:before="0"/>
              <w:ind/>
              <w:rPr>
                <w:rFonts w:cs="Times New Roman"/>
              </w:rPr>
            </w:pPr>
            <w:r>
              <w:rPr>
                <w:rFonts w:cs="Times New Roman"/>
                <w:lang w:val="en-US" w:bidi="ar-SA"/>
              </w:rPr>
              <w:t xml:space="preserve">3000</w:t>
            </w:r>
            <w:r>
              <w:rPr>
                <w:rFonts w:cs="Times New Roman"/>
              </w:rPr>
            </w:r>
          </w:p>
        </w:tc>
        <w:tc>
          <w:tcPr>
            <w:tcBorders>
              <w:top w:val="single" w:color="000000" w:sz="4" w:space="0"/>
              <w:left w:val="single" w:color="000000" w:sz="4" w:space="0"/>
              <w:bottom w:val="single" w:color="000000" w:sz="4" w:space="0"/>
              <w:right w:val="single" w:color="000000" w:sz="4" w:space="0"/>
            </w:tcBorders>
            <w:tcW w:w="1730" w:type="dxa"/>
            <w:vAlign w:val="center"/>
          </w:tcPr>
          <w:p>
            <w:pPr>
              <w:pStyle w:val="12385"/>
              <w:pBdr/>
              <w:spacing w:after="0" w:before="0"/>
              <w:ind/>
              <w:rPr>
                <w:rFonts w:cs="Times New Roman"/>
                <w:sz w:val="17"/>
                <w:lang w:val="ru-RU"/>
              </w:rPr>
            </w:pPr>
            <w:r>
              <w:rPr>
                <w:rFonts w:cs="Times New Roman"/>
                <w:sz w:val="17"/>
                <w:lang w:val="ru-RU" w:bidi="ar-SA"/>
              </w:rPr>
            </w:r>
            <w:r>
              <w:rPr>
                <w:rFonts w:cs="Times New Roman"/>
                <w:sz w:val="17"/>
                <w:lang w:val="ru-RU"/>
              </w:rPr>
            </w:r>
          </w:p>
          <w:p>
            <w:pPr>
              <w:pStyle w:val="12385"/>
              <w:pBdr/>
              <w:spacing w:after="0" w:before="0"/>
              <w:ind/>
              <w:rPr>
                <w:rFonts w:cs="Times New Roman"/>
                <w:lang w:val="ru-RU"/>
              </w:rPr>
            </w:pPr>
            <w:r>
              <w:rPr>
                <w:rFonts w:cs="Times New Roman"/>
                <w:lang w:val="ru-RU" w:bidi="ar-SA"/>
              </w:rPr>
              <w:t xml:space="preserve">непосредственно за ответвлением, расстояние до ближайшей СЗ не более 3000 м</w:t>
            </w:r>
            <w:r>
              <w:rPr>
                <w:rFonts w:cs="Times New Roman"/>
                <w:lang w:val="ru-RU"/>
              </w:rPr>
            </w:r>
          </w:p>
        </w:tc>
        <w:tc>
          <w:tcPr>
            <w:tcBorders>
              <w:top w:val="single" w:color="000000" w:sz="4" w:space="0"/>
              <w:left w:val="single" w:color="000000" w:sz="4" w:space="0"/>
              <w:bottom w:val="single" w:color="000000" w:sz="4" w:space="0"/>
              <w:right w:val="single" w:color="000000" w:sz="4" w:space="0"/>
            </w:tcBorders>
            <w:tcW w:w="2343" w:type="dxa"/>
            <w:vAlign w:val="center"/>
          </w:tcPr>
          <w:p>
            <w:pPr>
              <w:pStyle w:val="12385"/>
              <w:pBdr/>
              <w:spacing w:after="0" w:before="0"/>
              <w:ind/>
              <w:rPr>
                <w:rFonts w:cs="Times New Roman"/>
                <w:lang w:val="ru-RU"/>
              </w:rPr>
            </w:pPr>
            <w:r>
              <w:rPr>
                <w:rFonts w:cs="Times New Roman"/>
                <w:lang w:val="ru-RU" w:bidi="ar-SA"/>
              </w:rPr>
              <w:t xml:space="preserve">непосредственно за местом изменения диаметра, расстояние до ближайшей СЗ в соответствии с меньшим диаметром (не более 1000 м,</w:t>
            </w:r>
            <w:r>
              <w:rPr>
                <w:rFonts w:cs="Times New Roman"/>
                <w:lang w:val="ru-RU"/>
              </w:rPr>
            </w:r>
          </w:p>
          <w:p>
            <w:pPr>
              <w:pStyle w:val="12385"/>
              <w:pBdr/>
              <w:spacing w:after="0" w:before="0"/>
              <w:ind/>
              <w:rPr>
                <w:rFonts w:cs="Times New Roman"/>
              </w:rPr>
            </w:pPr>
            <w:r>
              <w:rPr>
                <w:rFonts w:cs="Times New Roman"/>
                <w:lang w:val="en-US" w:bidi="ar-SA"/>
              </w:rPr>
              <w:t xml:space="preserve">1500 м)</w:t>
            </w:r>
            <w:r>
              <w:rPr>
                <w:rFonts w:cs="Times New Roman"/>
              </w:rPr>
            </w:r>
          </w:p>
        </w:tc>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after="0" w:before="0"/>
              <w:ind/>
              <w:rPr>
                <w:rFonts w:cs="Times New Roman"/>
                <w:lang w:val="ru-RU"/>
              </w:rPr>
            </w:pPr>
            <w:r>
              <w:rPr>
                <w:rFonts w:cs="Times New Roman"/>
                <w:lang w:val="ru-RU" w:bidi="ar-SA"/>
              </w:rPr>
              <w:t xml:space="preserve">непосредственно за ответвлением, на теплопроводе меньшего диаметра, расстояние до ближайшей СЗ в соответствии с меньшим диаметром</w:t>
            </w:r>
            <w:r>
              <w:rPr>
                <w:rFonts w:cs="Times New Roman"/>
                <w:lang w:val="ru-RU"/>
              </w:rPr>
            </w:r>
          </w:p>
          <w:p>
            <w:pPr>
              <w:pStyle w:val="12385"/>
              <w:pBdr/>
              <w:spacing w:after="0" w:before="0"/>
              <w:ind/>
              <w:rPr>
                <w:rFonts w:cs="Times New Roman"/>
              </w:rPr>
            </w:pPr>
            <w:r>
              <w:rPr>
                <w:rFonts w:cs="Times New Roman"/>
                <w:lang w:val="en-US" w:bidi="ar-SA"/>
              </w:rPr>
              <w:t xml:space="preserve">(не более 1000 м, 1500 м)</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462" w:type="dxa"/>
            <w:vAlign w:val="center"/>
          </w:tcPr>
          <w:p>
            <w:pPr>
              <w:pStyle w:val="12385"/>
              <w:pBdr/>
              <w:spacing w:after="0" w:before="0"/>
              <w:ind/>
              <w:rPr>
                <w:rFonts w:cs="Times New Roman"/>
              </w:rPr>
            </w:pPr>
            <w:r>
              <w:rPr>
                <w:rFonts w:cs="Times New Roman"/>
                <w:lang w:val="en-US" w:bidi="ar-SA"/>
              </w:rPr>
              <w:t xml:space="preserve">более 0,9</w:t>
            </w:r>
            <w:r>
              <w:rPr>
                <w:rFonts w:cs="Times New Roman"/>
              </w:rPr>
            </w:r>
          </w:p>
        </w:tc>
        <w:tc>
          <w:tcPr>
            <w:tcBorders>
              <w:top w:val="single" w:color="000000" w:sz="4" w:space="0"/>
              <w:left w:val="single" w:color="000000" w:sz="4" w:space="0"/>
              <w:bottom w:val="single" w:color="000000" w:sz="4" w:space="0"/>
              <w:right w:val="single" w:color="000000" w:sz="4" w:space="0"/>
            </w:tcBorders>
            <w:tcW w:w="1292" w:type="dxa"/>
            <w:vAlign w:val="center"/>
          </w:tcPr>
          <w:p>
            <w:pPr>
              <w:pStyle w:val="12385"/>
              <w:pBdr/>
              <w:spacing w:after="0" w:before="0"/>
              <w:ind/>
              <w:rPr>
                <w:rFonts w:cs="Times New Roman"/>
              </w:rPr>
            </w:pPr>
            <w:r>
              <w:rPr>
                <w:rFonts w:cs="Times New Roman"/>
                <w:lang w:val="en-US" w:bidi="ar-SA"/>
              </w:rPr>
            </w:r>
            <w:r>
              <w:rPr>
                <w:rFonts w:cs="Times New Roman"/>
              </w:rPr>
            </w:r>
          </w:p>
          <w:p>
            <w:pPr>
              <w:pStyle w:val="12385"/>
              <w:pBdr/>
              <w:spacing w:after="0" w:before="0"/>
              <w:ind/>
              <w:rPr>
                <w:rFonts w:cs="Times New Roman"/>
              </w:rPr>
            </w:pPr>
            <w:r>
              <w:rPr>
                <w:rFonts w:cs="Times New Roman"/>
                <w:lang w:val="en-US" w:bidi="ar-SA"/>
              </w:rPr>
            </w:r>
            <w:r>
              <w:rPr>
                <w:rFonts w:cs="Times New Roman"/>
              </w:rPr>
            </w:r>
          </w:p>
          <w:p>
            <w:pPr>
              <w:pStyle w:val="12385"/>
              <w:pBdr/>
              <w:spacing w:after="0" w:before="0"/>
              <w:ind/>
              <w:rPr>
                <w:rFonts w:cs="Times New Roman"/>
              </w:rPr>
            </w:pPr>
            <w:r>
              <w:rPr>
                <w:rFonts w:cs="Times New Roman"/>
                <w:lang w:val="en-US" w:bidi="ar-SA"/>
              </w:rPr>
              <w:t xml:space="preserve">5000</w:t>
            </w:r>
            <w:r>
              <w:rPr>
                <w:rFonts w:cs="Times New Roman"/>
              </w:rPr>
            </w:r>
          </w:p>
        </w:tc>
        <w:tc>
          <w:tcPr>
            <w:tcBorders>
              <w:top w:val="single" w:color="000000" w:sz="4" w:space="0"/>
              <w:left w:val="single" w:color="000000" w:sz="4" w:space="0"/>
              <w:bottom w:val="single" w:color="000000" w:sz="4" w:space="0"/>
              <w:right w:val="single" w:color="000000" w:sz="4" w:space="0"/>
            </w:tcBorders>
            <w:tcW w:w="1730" w:type="dxa"/>
            <w:vAlign w:val="center"/>
          </w:tcPr>
          <w:p>
            <w:pPr>
              <w:pStyle w:val="12385"/>
              <w:pBdr/>
              <w:spacing w:after="0" w:before="0"/>
              <w:ind/>
              <w:rPr>
                <w:rFonts w:cs="Times New Roman"/>
                <w:lang w:val="ru-RU"/>
              </w:rPr>
            </w:pPr>
            <w:r>
              <w:rPr>
                <w:rFonts w:cs="Times New Roman"/>
                <w:lang w:val="ru-RU" w:bidi="ar-SA"/>
              </w:rPr>
            </w:r>
            <w:r>
              <w:rPr>
                <w:rFonts w:cs="Times New Roman"/>
                <w:lang w:val="ru-RU"/>
              </w:rPr>
            </w:r>
          </w:p>
          <w:p>
            <w:pPr>
              <w:pStyle w:val="12385"/>
              <w:pBdr/>
              <w:spacing w:after="0" w:before="0"/>
              <w:ind/>
              <w:rPr>
                <w:rFonts w:cs="Times New Roman"/>
                <w:lang w:val="ru-RU"/>
              </w:rPr>
            </w:pPr>
            <w:r>
              <w:rPr>
                <w:rFonts w:cs="Times New Roman"/>
                <w:lang w:val="ru-RU" w:bidi="ar-SA"/>
              </w:rPr>
              <w:t xml:space="preserve">непосредственно за ответвлением, расстояние до ближайшей СЗ не более 5000 м</w:t>
            </w:r>
            <w:r>
              <w:rPr>
                <w:rFonts w:cs="Times New Roman"/>
                <w:lang w:val="ru-RU"/>
              </w:rPr>
            </w:r>
          </w:p>
        </w:tc>
        <w:tc>
          <w:tcPr>
            <w:tcBorders>
              <w:top w:val="single" w:color="000000" w:sz="4" w:space="0"/>
              <w:left w:val="single" w:color="000000" w:sz="4" w:space="0"/>
              <w:bottom w:val="single" w:color="000000" w:sz="4" w:space="0"/>
              <w:right w:val="single" w:color="000000" w:sz="4" w:space="0"/>
            </w:tcBorders>
            <w:tcW w:w="2343" w:type="dxa"/>
            <w:vAlign w:val="center"/>
          </w:tcPr>
          <w:p>
            <w:pPr>
              <w:pStyle w:val="12385"/>
              <w:pBdr/>
              <w:spacing w:after="0" w:before="0"/>
              <w:ind/>
              <w:rPr>
                <w:rFonts w:cs="Times New Roman"/>
                <w:lang w:val="ru-RU"/>
              </w:rPr>
            </w:pPr>
            <w:r>
              <w:rPr>
                <w:rFonts w:cs="Times New Roman"/>
                <w:lang w:val="ru-RU" w:bidi="ar-SA"/>
              </w:rPr>
              <w:t xml:space="preserve">непосредственно за местом изменения диаметра, расстояние до ближайшей СЗ в соответствии с меньшим диамет-</w:t>
            </w:r>
            <w:r>
              <w:rPr>
                <w:rFonts w:cs="Times New Roman"/>
                <w:lang w:val="ru-RU"/>
              </w:rPr>
            </w:r>
          </w:p>
          <w:p>
            <w:pPr>
              <w:pStyle w:val="12385"/>
              <w:pBdr/>
              <w:spacing w:after="0" w:before="0"/>
              <w:ind/>
              <w:rPr>
                <w:rFonts w:cs="Times New Roman"/>
                <w:lang w:val="ru-RU"/>
              </w:rPr>
            </w:pPr>
            <w:r>
              <w:rPr>
                <w:rFonts w:cs="Times New Roman"/>
                <w:lang w:val="ru-RU" w:bidi="ar-SA"/>
              </w:rPr>
              <w:t xml:space="preserve">ром (не более 1000 м, 1500 м, 3000 м)</w:t>
            </w:r>
            <w:r>
              <w:rPr>
                <w:rFonts w:cs="Times New Roman"/>
                <w:lang w:val="ru-RU"/>
              </w:rPr>
            </w:r>
          </w:p>
        </w:tc>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after="0" w:before="0"/>
              <w:ind/>
              <w:rPr>
                <w:rFonts w:cs="Times New Roman"/>
                <w:lang w:val="ru-RU"/>
              </w:rPr>
            </w:pPr>
            <w:r>
              <w:rPr>
                <w:rFonts w:cs="Times New Roman"/>
                <w:lang w:val="ru-RU" w:bidi="ar-SA"/>
              </w:rPr>
              <w:t xml:space="preserve">непосредственно за ответвлением, на теплопроводе меньшего диаметра, расстояние до ближайшей СЗ в соответствии с меньшим</w:t>
            </w:r>
            <w:r>
              <w:rPr>
                <w:rFonts w:cs="Times New Roman"/>
                <w:lang w:val="ru-RU"/>
              </w:rPr>
            </w:r>
          </w:p>
          <w:p>
            <w:pPr>
              <w:pStyle w:val="12385"/>
              <w:pBdr/>
              <w:spacing w:after="0" w:before="0"/>
              <w:ind/>
              <w:rPr>
                <w:rFonts w:cs="Times New Roman"/>
                <w:lang w:val="ru-RU"/>
              </w:rPr>
            </w:pPr>
            <w:r>
              <w:rPr>
                <w:rFonts w:cs="Times New Roman"/>
                <w:lang w:val="ru-RU" w:bidi="ar-SA"/>
              </w:rPr>
              <w:t xml:space="preserve">диаметром (не более 1000 м, 1500 м, 3000 м)</w:t>
            </w:r>
            <w:r>
              <w:rPr>
                <w:rFonts w:cs="Times New Roman"/>
                <w:lang w:val="ru-RU"/>
              </w:rPr>
            </w:r>
          </w:p>
        </w:tc>
      </w:tr>
    </w:tbl>
    <w:p>
      <w:pPr>
        <w:pStyle w:val="10533"/>
        <w:pBdr/>
        <w:spacing/>
        <w:ind/>
        <w:rPr/>
      </w:pPr>
      <w:r/>
      <w:r/>
    </w:p>
    <w:p>
      <w:pPr>
        <w:pStyle w:val="12960"/>
        <w:pBdr/>
        <w:spacing/>
        <w:ind/>
        <w:rPr/>
      </w:pPr>
      <w:r>
        <w:t xml:space="preserve">Если в результате анализа выявляется несоответствие принятым услов</w:t>
      </w:r>
      <w:r>
        <w:t xml:space="preserve">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r/>
    </w:p>
    <w:p>
      <w:pPr>
        <w:pStyle w:val="12960"/>
        <w:pBdr/>
        <w:spacing/>
        <w:ind/>
        <w:rPr>
          <w:color w:val="auto"/>
        </w:rPr>
      </w:pPr>
      <w:r>
        <w:rPr>
          <w:color w:val="auto"/>
        </w:rPr>
        <w:t xml:space="preserve">По категории отключений потребителей, инциденты на тепловых сетях классифицируются на:</w:t>
      </w:r>
      <w:r>
        <w:rPr>
          <w:color w:val="auto"/>
        </w:rPr>
      </w:r>
    </w:p>
    <w:p>
      <w:pPr>
        <w:pStyle w:val="13832"/>
        <w:numPr>
          <w:ilvl w:val="0"/>
          <w:numId w:val="61"/>
        </w:numPr>
        <w:pBdr/>
        <w:spacing/>
        <w:ind w:hanging="284" w:left="1135"/>
        <w:rPr/>
      </w:pPr>
      <w:r>
        <w:t xml:space="preserve">отказы (инциденты, которые не считаются авариями);</w:t>
      </w:r>
      <w:r/>
    </w:p>
    <w:p>
      <w:pPr>
        <w:pStyle w:val="13832"/>
        <w:numPr>
          <w:ilvl w:val="0"/>
          <w:numId w:val="61"/>
        </w:numPr>
        <w:pBdr/>
        <w:spacing/>
        <w:ind w:hanging="284" w:left="1135"/>
        <w:rPr/>
      </w:pPr>
      <w:r>
        <w:t xml:space="preserve">аварии.</w:t>
      </w:r>
      <w:r/>
    </w:p>
    <w:p>
      <w:pPr>
        <w:pStyle w:val="12960"/>
        <w:pBdr/>
        <w:spacing/>
        <w:ind/>
        <w:rPr/>
      </w:pPr>
      <w:r>
        <w:t xml:space="preserve">В соответствии с п. 2.10 Методических рекомендаций по техническому расследованию и учету технологических нарушений</w:t>
      </w:r>
      <w:r>
        <w:t xml:space="preserve"> в системах коммунального энергоснабжения и работе энергетических организаций жилищно-коммунального комплекса МДК 4-01.2001: «2.10 Авариями в тепловых сетях считаются: 2.10.1, Разрушение (повреждение) зданий, сооружений, трубопроводов тепловой сети в перио</w:t>
      </w:r>
      <w:r>
        <w:t xml:space="preserve">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Согласно сведениям теплоснабжающих организаций, за 2019- 2022 гг. аварийных ситуаций не возникало.</w:t>
      </w:r>
      <w:r/>
    </w:p>
    <w:p>
      <w:pPr>
        <w:pStyle w:val="12960"/>
        <w:pBdr/>
        <w:spacing/>
        <w:ind/>
        <w:rPr/>
      </w:pPr>
      <w: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w:t>
      </w:r>
      <w:r>
        <w:t xml:space="preserve">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 указанные в таблице 11.2.3</w:t>
      </w:r>
      <w:r/>
    </w:p>
    <w:p>
      <w:pPr>
        <w:pStyle w:val="12960"/>
        <w:pBdr/>
        <w:spacing/>
        <w:ind/>
        <w:rPr>
          <w:b/>
          <w:bCs w:val="0"/>
          <w:color w:val="auto"/>
        </w:rPr>
      </w:pPr>
      <w:r>
        <w:rPr>
          <w:b/>
          <w:bCs w:val="0"/>
          <w:color w:val="auto"/>
        </w:rPr>
        <w:t xml:space="preserve">Таблица 11.2.3 – Среднее время восстановления относительно диаметра участка трубопровода</w:t>
      </w:r>
      <w:r>
        <w:rPr>
          <w:b/>
          <w:bCs w:val="0"/>
          <w:color w:val="auto"/>
        </w:rPr>
      </w:r>
    </w:p>
    <w:tbl>
      <w:tblPr>
        <w:tblStyle w:val="13741"/>
        <w:tblInd w:w="0" w:type="dxa"/>
        <w:tblW w:w="5000" w:type="pct"/>
        <w:tblCellMar>
          <w:left w:w="5" w:type="dxa"/>
          <w:top w:w="0" w:type="dxa"/>
          <w:right w:w="5" w:type="dxa"/>
          <w:bottom w:w="0" w:type="dxa"/>
        </w:tblCellMar>
        <w:tblBorders/>
        <w:tblLayout w:type="fixed"/>
        <w:tblLook w:val="04A0" w:firstRow="1" w:lastRow="0" w:firstColumn="1" w:lastColumn="0" w:noHBand="0" w:noVBand="1"/>
      </w:tblPr>
      <w:tblGrid>
        <w:gridCol w:w="1114"/>
        <w:gridCol w:w="524"/>
        <w:gridCol w:w="524"/>
        <w:gridCol w:w="525"/>
        <w:gridCol w:w="524"/>
        <w:gridCol w:w="524"/>
        <w:gridCol w:w="523"/>
        <w:gridCol w:w="524"/>
        <w:gridCol w:w="523"/>
        <w:gridCol w:w="523"/>
        <w:gridCol w:w="524"/>
        <w:gridCol w:w="620"/>
        <w:gridCol w:w="555"/>
        <w:gridCol w:w="524"/>
        <w:gridCol w:w="521"/>
        <w:gridCol w:w="780"/>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14" w:type="dxa"/>
            <w:vAlign w:val="center"/>
          </w:tcPr>
          <w:p>
            <w:pPr>
              <w:pStyle w:val="12385"/>
              <w:pBdr/>
              <w:spacing w:after="0" w:before="0"/>
              <w:ind/>
              <w:rPr>
                <w:rFonts w:cs="Times New Roman"/>
              </w:rPr>
            </w:pPr>
            <w:r>
              <w:rPr>
                <w:rFonts w:cs="Times New Roman"/>
                <w:lang w:val="en-US" w:bidi="ar-SA"/>
              </w:rPr>
              <w:t xml:space="preserve">Диаметр труб d, м</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80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5" w:type="dxa"/>
            <w:vAlign w:val="center"/>
          </w:tcPr>
          <w:p>
            <w:pPr>
              <w:pStyle w:val="12385"/>
              <w:pBdr/>
              <w:spacing w:after="0" w:before="0"/>
              <w:ind/>
              <w:rPr>
                <w:rFonts w:cs="Times New Roman"/>
              </w:rPr>
            </w:pPr>
            <w:r>
              <w:rPr>
                <w:rFonts w:cs="Times New Roman"/>
                <w:lang w:val="en-US" w:bidi="ar-SA"/>
              </w:rPr>
              <w:t xml:space="preserve">125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150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175</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3" w:type="dxa"/>
            <w:vAlign w:val="center"/>
          </w:tcPr>
          <w:p>
            <w:pPr>
              <w:pStyle w:val="12385"/>
              <w:pBdr/>
              <w:spacing w:after="0" w:before="0"/>
              <w:ind/>
              <w:rPr>
                <w:rFonts w:cs="Times New Roman"/>
              </w:rPr>
            </w:pPr>
            <w:r>
              <w:rPr>
                <w:rFonts w:cs="Times New Roman"/>
                <w:lang w:val="en-US" w:bidi="ar-SA"/>
              </w:rPr>
              <w:t xml:space="preserve">200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250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3" w:type="dxa"/>
            <w:vAlign w:val="center"/>
          </w:tcPr>
          <w:p>
            <w:pPr>
              <w:pStyle w:val="12385"/>
              <w:pBdr/>
              <w:spacing w:after="0" w:before="0"/>
              <w:ind/>
              <w:rPr>
                <w:rFonts w:cs="Times New Roman"/>
              </w:rPr>
            </w:pPr>
            <w:r>
              <w:rPr>
                <w:rFonts w:cs="Times New Roman"/>
                <w:lang w:val="en-US" w:bidi="ar-SA"/>
              </w:rPr>
              <w:t xml:space="preserve">300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3" w:type="dxa"/>
            <w:vAlign w:val="center"/>
          </w:tcPr>
          <w:p>
            <w:pPr>
              <w:pStyle w:val="12385"/>
              <w:pBdr/>
              <w:spacing w:after="0" w:before="0"/>
              <w:ind/>
              <w:rPr>
                <w:rFonts w:cs="Times New Roman"/>
              </w:rPr>
            </w:pPr>
            <w:r>
              <w:rPr>
                <w:rFonts w:cs="Times New Roman"/>
                <w:lang w:val="en-US" w:bidi="ar-SA"/>
              </w:rPr>
              <w:t xml:space="preserve">350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400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0" w:type="dxa"/>
            <w:vAlign w:val="center"/>
          </w:tcPr>
          <w:p>
            <w:pPr>
              <w:pStyle w:val="12385"/>
              <w:pBdr/>
              <w:spacing w:after="0" w:before="0"/>
              <w:ind/>
              <w:rPr>
                <w:rFonts w:cs="Times New Roman"/>
              </w:rPr>
            </w:pPr>
            <w:r>
              <w:rPr>
                <w:rFonts w:cs="Times New Roman"/>
                <w:lang w:val="en-US" w:bidi="ar-SA"/>
              </w:rPr>
              <w:t xml:space="preserve">500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55" w:type="dxa"/>
            <w:vAlign w:val="center"/>
          </w:tcPr>
          <w:p>
            <w:pPr>
              <w:pStyle w:val="12385"/>
              <w:pBdr/>
              <w:spacing w:after="0" w:before="0"/>
              <w:ind/>
              <w:rPr>
                <w:rFonts w:cs="Times New Roman"/>
              </w:rPr>
            </w:pPr>
            <w:r>
              <w:rPr>
                <w:rFonts w:cs="Times New Roman"/>
                <w:lang w:val="en-US" w:bidi="ar-SA"/>
              </w:rPr>
              <w:t xml:space="preserve">600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700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1" w:type="dxa"/>
            <w:vAlign w:val="center"/>
          </w:tcPr>
          <w:p>
            <w:pPr>
              <w:pStyle w:val="12385"/>
              <w:pBdr/>
              <w:spacing w:after="0" w:before="0"/>
              <w:ind/>
              <w:rPr>
                <w:rFonts w:cs="Times New Roman"/>
              </w:rPr>
            </w:pPr>
            <w:r>
              <w:rPr>
                <w:rFonts w:cs="Times New Roman"/>
                <w:lang w:val="en-US" w:bidi="ar-SA"/>
              </w:rPr>
              <w:t xml:space="preserve">800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80" w:type="dxa"/>
            <w:vAlign w:val="center"/>
          </w:tcPr>
          <w:p>
            <w:pPr>
              <w:pStyle w:val="12385"/>
              <w:pBdr/>
              <w:spacing w:after="0" w:before="0"/>
              <w:ind/>
              <w:rPr>
                <w:rFonts w:cs="Times New Roman"/>
              </w:rPr>
            </w:pPr>
            <w:r>
              <w:rPr>
                <w:rFonts w:cs="Times New Roman"/>
                <w:lang w:val="en-US" w:bidi="ar-SA"/>
              </w:rPr>
              <w:t xml:space="preserve">1000</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114" w:type="dxa"/>
            <w:vAlign w:val="center"/>
          </w:tcPr>
          <w:p>
            <w:pPr>
              <w:pStyle w:val="12385"/>
              <w:pBdr/>
              <w:spacing w:after="0" w:before="0"/>
              <w:ind/>
              <w:rPr>
                <w:rFonts w:cs="Times New Roman"/>
                <w:lang w:val="ru-RU"/>
              </w:rPr>
            </w:pPr>
            <w:r>
              <w:rPr>
                <w:rFonts w:cs="Times New Roman"/>
                <w:lang w:val="ru-RU" w:bidi="ar-SA"/>
              </w:rPr>
              <w:t xml:space="preserve">Среднее время восстановл</w:t>
            </w:r>
            <w:r>
              <w:rPr>
                <w:rFonts w:cs="Times New Roman"/>
                <w:lang w:val="ru-RU"/>
              </w:rPr>
            </w:r>
          </w:p>
          <w:p>
            <w:pPr>
              <w:pStyle w:val="12385"/>
              <w:pBdr/>
              <w:spacing w:after="0" w:before="0"/>
              <w:ind/>
              <w:rPr>
                <w:rFonts w:cs="Times New Roman"/>
                <w:lang w:val="ru-RU"/>
              </w:rPr>
            </w:pPr>
            <w:r>
              <w:rPr>
                <w:rFonts w:cs="Times New Roman"/>
                <w:lang w:val="ru-RU" w:bidi="ar-SA"/>
              </w:rPr>
              <w:t xml:space="preserve">ения </w:t>
            </w:r>
            <w:r>
              <w:rPr>
                <w:rFonts w:cs="Times New Roman"/>
                <w:lang w:val="en-US" w:bidi="ar-SA"/>
              </w:rPr>
              <w:t xml:space="preserve">z</w:t>
            </w:r>
            <w:r>
              <w:rPr>
                <w:rFonts w:cs="Times New Roman"/>
                <w:lang w:val="ru-RU" w:bidi="ar-SA"/>
              </w:rPr>
              <w:t xml:space="preserve">р, ч</w:t>
            </w:r>
            <w:r>
              <w:rPr>
                <w:rFonts w:cs="Times New Roman"/>
                <w:lang w:val="ru-RU"/>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9,5</w:t>
            </w:r>
            <w:r>
              <w:rPr>
                <w:rFonts w:cs="Times New Roman"/>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10,0</w:t>
            </w:r>
            <w:r>
              <w:rPr>
                <w:rFonts w:cs="Times New Roman"/>
              </w:rPr>
            </w:r>
          </w:p>
        </w:tc>
        <w:tc>
          <w:tcPr>
            <w:tcBorders>
              <w:top w:val="single" w:color="000000" w:sz="4" w:space="0"/>
              <w:left w:val="single" w:color="000000" w:sz="4" w:space="0"/>
              <w:bottom w:val="single" w:color="000000" w:sz="4" w:space="0"/>
              <w:right w:val="single" w:color="000000" w:sz="4" w:space="0"/>
            </w:tcBorders>
            <w:tcW w:w="525" w:type="dxa"/>
            <w:vAlign w:val="center"/>
          </w:tcPr>
          <w:p>
            <w:pPr>
              <w:pStyle w:val="12385"/>
              <w:pBdr/>
              <w:spacing w:after="0" w:before="0"/>
              <w:ind/>
              <w:rPr>
                <w:rFonts w:cs="Times New Roman"/>
              </w:rPr>
            </w:pPr>
            <w:r>
              <w:rPr>
                <w:rFonts w:cs="Times New Roman"/>
                <w:lang w:val="en-US" w:bidi="ar-SA"/>
              </w:rPr>
              <w:t xml:space="preserve">10,8</w:t>
            </w:r>
            <w:r>
              <w:rPr>
                <w:rFonts w:cs="Times New Roman"/>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11,3</w:t>
            </w:r>
            <w:r>
              <w:rPr>
                <w:rFonts w:cs="Times New Roman"/>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11,9</w:t>
            </w:r>
            <w:r>
              <w:rPr>
                <w:rFonts w:cs="Times New Roman"/>
              </w:rPr>
            </w:r>
          </w:p>
        </w:tc>
        <w:tc>
          <w:tcPr>
            <w:tcBorders>
              <w:top w:val="single" w:color="000000" w:sz="4" w:space="0"/>
              <w:left w:val="single" w:color="000000" w:sz="4" w:space="0"/>
              <w:bottom w:val="single" w:color="000000" w:sz="4" w:space="0"/>
              <w:right w:val="single" w:color="000000" w:sz="4" w:space="0"/>
            </w:tcBorders>
            <w:tcW w:w="523" w:type="dxa"/>
            <w:vAlign w:val="center"/>
          </w:tcPr>
          <w:p>
            <w:pPr>
              <w:pStyle w:val="12385"/>
              <w:pBdr/>
              <w:spacing w:after="0" w:before="0"/>
              <w:ind/>
              <w:rPr>
                <w:rFonts w:cs="Times New Roman"/>
              </w:rPr>
            </w:pPr>
            <w:r>
              <w:rPr>
                <w:rFonts w:cs="Times New Roman"/>
                <w:lang w:val="en-US" w:bidi="ar-SA"/>
              </w:rPr>
              <w:t xml:space="preserve">12,5</w:t>
            </w:r>
            <w:r>
              <w:rPr>
                <w:rFonts w:cs="Times New Roman"/>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13,8</w:t>
            </w:r>
            <w:r>
              <w:rPr>
                <w:rFonts w:cs="Times New Roman"/>
              </w:rPr>
            </w:r>
          </w:p>
        </w:tc>
        <w:tc>
          <w:tcPr>
            <w:tcBorders>
              <w:top w:val="single" w:color="000000" w:sz="4" w:space="0"/>
              <w:left w:val="single" w:color="000000" w:sz="4" w:space="0"/>
              <w:bottom w:val="single" w:color="000000" w:sz="4" w:space="0"/>
              <w:right w:val="single" w:color="000000" w:sz="4" w:space="0"/>
            </w:tcBorders>
            <w:tcW w:w="523" w:type="dxa"/>
            <w:vAlign w:val="center"/>
          </w:tcPr>
          <w:p>
            <w:pPr>
              <w:pStyle w:val="12385"/>
              <w:pBdr/>
              <w:spacing w:after="0" w:before="0"/>
              <w:ind/>
              <w:rPr>
                <w:rFonts w:cs="Times New Roman"/>
              </w:rPr>
            </w:pPr>
            <w:r>
              <w:rPr>
                <w:rFonts w:cs="Times New Roman"/>
                <w:lang w:val="en-US" w:bidi="ar-SA"/>
              </w:rPr>
              <w:t xml:space="preserve">15,0</w:t>
            </w:r>
            <w:r>
              <w:rPr>
                <w:rFonts w:cs="Times New Roman"/>
              </w:rPr>
            </w:r>
          </w:p>
        </w:tc>
        <w:tc>
          <w:tcPr>
            <w:tcBorders>
              <w:top w:val="single" w:color="000000" w:sz="4" w:space="0"/>
              <w:left w:val="single" w:color="000000" w:sz="4" w:space="0"/>
              <w:bottom w:val="single" w:color="000000" w:sz="4" w:space="0"/>
              <w:right w:val="single" w:color="000000" w:sz="4" w:space="0"/>
            </w:tcBorders>
            <w:tcW w:w="523" w:type="dxa"/>
            <w:vAlign w:val="center"/>
          </w:tcPr>
          <w:p>
            <w:pPr>
              <w:pStyle w:val="12385"/>
              <w:pBdr/>
              <w:spacing w:after="0" w:before="0"/>
              <w:ind/>
              <w:rPr>
                <w:rFonts w:cs="Times New Roman"/>
              </w:rPr>
            </w:pPr>
            <w:r>
              <w:rPr>
                <w:rFonts w:cs="Times New Roman"/>
                <w:lang w:val="en-US" w:bidi="ar-SA"/>
              </w:rPr>
              <w:t xml:space="preserve">16,3</w:t>
            </w:r>
            <w:r>
              <w:rPr>
                <w:rFonts w:cs="Times New Roman"/>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17,5</w:t>
            </w:r>
            <w:r>
              <w:rPr>
                <w:rFonts w:cs="Times New Roman"/>
              </w:rPr>
            </w:r>
          </w:p>
        </w:tc>
        <w:tc>
          <w:tcPr>
            <w:tcBorders>
              <w:top w:val="single" w:color="000000" w:sz="4" w:space="0"/>
              <w:left w:val="single" w:color="000000" w:sz="4" w:space="0"/>
              <w:bottom w:val="single" w:color="000000" w:sz="4" w:space="0"/>
              <w:right w:val="single" w:color="000000" w:sz="4" w:space="0"/>
            </w:tcBorders>
            <w:tcW w:w="620" w:type="dxa"/>
            <w:vAlign w:val="center"/>
          </w:tcPr>
          <w:p>
            <w:pPr>
              <w:pStyle w:val="12385"/>
              <w:pBdr/>
              <w:spacing w:after="0" w:before="0"/>
              <w:ind/>
              <w:rPr>
                <w:rFonts w:cs="Times New Roman"/>
              </w:rPr>
            </w:pPr>
            <w:r>
              <w:rPr>
                <w:rFonts w:cs="Times New Roman"/>
                <w:lang w:val="en-US" w:bidi="ar-SA"/>
              </w:rPr>
              <w:t xml:space="preserve">20,0</w:t>
            </w:r>
            <w:r>
              <w:rPr>
                <w:rFonts w:cs="Times New Roman"/>
              </w:rPr>
            </w:r>
          </w:p>
        </w:tc>
        <w:tc>
          <w:tcPr>
            <w:tcBorders>
              <w:top w:val="single" w:color="000000" w:sz="4" w:space="0"/>
              <w:left w:val="single" w:color="000000" w:sz="4" w:space="0"/>
              <w:bottom w:val="single" w:color="000000" w:sz="4" w:space="0"/>
              <w:right w:val="single" w:color="000000" w:sz="4" w:space="0"/>
            </w:tcBorders>
            <w:tcW w:w="555" w:type="dxa"/>
            <w:vAlign w:val="center"/>
          </w:tcPr>
          <w:p>
            <w:pPr>
              <w:pStyle w:val="12385"/>
              <w:pBdr/>
              <w:spacing w:after="0" w:before="0"/>
              <w:ind/>
              <w:rPr>
                <w:rFonts w:cs="Times New Roman"/>
              </w:rPr>
            </w:pPr>
            <w:r>
              <w:rPr>
                <w:rFonts w:cs="Times New Roman"/>
                <w:lang w:val="en-US" w:bidi="ar-SA"/>
              </w:rPr>
              <w:t xml:space="preserve">22,0</w:t>
            </w:r>
            <w:r>
              <w:rPr>
                <w:rFonts w:cs="Times New Roman"/>
              </w:rPr>
            </w:r>
          </w:p>
        </w:tc>
        <w:tc>
          <w:tcPr>
            <w:tcBorders>
              <w:top w:val="single" w:color="000000" w:sz="4" w:space="0"/>
              <w:left w:val="single" w:color="000000" w:sz="4" w:space="0"/>
              <w:bottom w:val="single" w:color="000000" w:sz="4" w:space="0"/>
              <w:right w:val="single" w:color="000000" w:sz="4" w:space="0"/>
            </w:tcBorders>
            <w:tcW w:w="524" w:type="dxa"/>
            <w:vAlign w:val="center"/>
          </w:tcPr>
          <w:p>
            <w:pPr>
              <w:pStyle w:val="12385"/>
              <w:pBdr/>
              <w:spacing w:after="0" w:before="0"/>
              <w:ind/>
              <w:rPr>
                <w:rFonts w:cs="Times New Roman"/>
              </w:rPr>
            </w:pPr>
            <w:r>
              <w:rPr>
                <w:rFonts w:cs="Times New Roman"/>
                <w:lang w:val="en-US" w:bidi="ar-SA"/>
              </w:rPr>
              <w:t xml:space="preserve">25,0</w:t>
            </w:r>
            <w:r>
              <w:rPr>
                <w:rFonts w:cs="Times New Roman"/>
              </w:rPr>
            </w:r>
          </w:p>
        </w:tc>
        <w:tc>
          <w:tcPr>
            <w:tcBorders>
              <w:top w:val="single" w:color="000000" w:sz="4" w:space="0"/>
              <w:left w:val="single" w:color="000000" w:sz="4" w:space="0"/>
              <w:bottom w:val="single" w:color="000000" w:sz="4" w:space="0"/>
              <w:right w:val="single" w:color="000000" w:sz="4" w:space="0"/>
            </w:tcBorders>
            <w:tcW w:w="521" w:type="dxa"/>
            <w:vAlign w:val="center"/>
          </w:tcPr>
          <w:p>
            <w:pPr>
              <w:pStyle w:val="12385"/>
              <w:pBdr/>
              <w:spacing w:after="0" w:before="0"/>
              <w:ind/>
              <w:rPr>
                <w:rFonts w:cs="Times New Roman"/>
              </w:rPr>
            </w:pPr>
            <w:r>
              <w:rPr>
                <w:rFonts w:cs="Times New Roman"/>
                <w:lang w:val="en-US" w:bidi="ar-SA"/>
              </w:rPr>
              <w:t xml:space="preserve">28,3</w:t>
            </w:r>
            <w:r>
              <w:rPr>
                <w:rFonts w:cs="Times New Roman"/>
              </w:rPr>
            </w:r>
          </w:p>
        </w:tc>
        <w:tc>
          <w:tcPr>
            <w:tcBorders>
              <w:top w:val="single" w:color="000000" w:sz="4" w:space="0"/>
              <w:left w:val="single" w:color="000000" w:sz="4" w:space="0"/>
              <w:bottom w:val="single" w:color="000000" w:sz="4" w:space="0"/>
              <w:right w:val="single" w:color="000000" w:sz="4" w:space="0"/>
            </w:tcBorders>
            <w:tcW w:w="780" w:type="dxa"/>
            <w:vAlign w:val="center"/>
          </w:tcPr>
          <w:p>
            <w:pPr>
              <w:pStyle w:val="12385"/>
              <w:pBdr/>
              <w:spacing w:after="0" w:before="0"/>
              <w:ind/>
              <w:rPr>
                <w:rFonts w:cs="Times New Roman"/>
              </w:rPr>
            </w:pPr>
            <w:r>
              <w:rPr>
                <w:rFonts w:cs="Times New Roman"/>
                <w:lang w:val="en-US" w:bidi="ar-SA"/>
              </w:rPr>
              <w:t xml:space="preserve">35,0</w:t>
            </w:r>
            <w:r>
              <w:rPr>
                <w:rFonts w:cs="Times New Roman"/>
              </w:rPr>
            </w:r>
          </w:p>
        </w:tc>
      </w:tr>
    </w:tbl>
    <w:p>
      <w:pPr>
        <w:pStyle w:val="10533"/>
        <w:pBdr/>
        <w:spacing/>
        <w:ind/>
        <w:rPr/>
      </w:pPr>
      <w:r/>
      <w:r/>
    </w:p>
    <w:p>
      <w:pPr>
        <w:pStyle w:val="12960"/>
        <w:pBdr/>
        <w:spacing/>
        <w:ind/>
        <w:rPr/>
      </w:pPr>
      <w:r>
        <w:t xml:space="preserve">Существующая статистика учета отказов теплосетевыми организациями не позволяет проанализировать поток (частоту) и время восстановления теплоснабжения потребителей после отключений, т</w:t>
      </w:r>
      <w:r>
        <w:t xml:space="preserve">.к. в базах данных не указывается начало и окончание аварийно-восстановительных работ. Согласно сведениям теплоснабжающих организаций, фактическое время восстановления работоспособности тепловых сетей в целом, соответствует нормативам, представленным выше.</w:t>
      </w:r>
      <w:r/>
    </w:p>
    <w:p>
      <w:pPr>
        <w:pStyle w:val="12960"/>
        <w:pBdr/>
        <w:spacing/>
        <w:ind/>
        <w:rPr>
          <w:b/>
        </w:rPr>
      </w:pPr>
      <w:r>
        <w:rPr>
          <w:b/>
        </w:rPr>
        <w:t xml:space="preserve">Таблица 11.2.4 - Динамика изменения отказов и восстановлений магистральных тепловых сетей</w:t>
      </w:r>
      <w:r>
        <w:rPr>
          <w:b/>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1375"/>
        <w:gridCol w:w="2073"/>
        <w:gridCol w:w="1670"/>
        <w:gridCol w:w="2712"/>
        <w:gridCol w:w="1525"/>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Год актуализации (разработки)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73" w:type="dxa"/>
            <w:vAlign w:val="center"/>
          </w:tcPr>
          <w:p>
            <w:pPr>
              <w:pStyle w:val="12385"/>
              <w:pBdr/>
              <w:spacing/>
              <w:ind/>
              <w:rPr>
                <w:rFonts w:cs="Times New Roman"/>
              </w:rPr>
            </w:pPr>
            <w:r>
              <w:rPr>
                <w:rFonts w:cs="Times New Roman"/>
              </w:rPr>
              <w:t xml:space="preserve">Количество отказов в тепловых сетях в отопительный период, 1/км/год</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70" w:type="dxa"/>
            <w:vAlign w:val="center"/>
          </w:tcPr>
          <w:p>
            <w:pPr>
              <w:pStyle w:val="12385"/>
              <w:pBdr/>
              <w:spacing/>
              <w:ind/>
              <w:rPr>
                <w:rFonts w:cs="Times New Roman"/>
              </w:rPr>
            </w:pPr>
            <w:r>
              <w:rPr>
                <w:rFonts w:cs="Times New Roman"/>
              </w:rPr>
              <w:t xml:space="preserve">Среднее время восстановления теплоснабжения, час</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712" w:type="dxa"/>
            <w:vAlign w:val="center"/>
          </w:tcPr>
          <w:p>
            <w:pPr>
              <w:pStyle w:val="12385"/>
              <w:pBdr/>
              <w:spacing/>
              <w:ind/>
              <w:rPr>
                <w:rFonts w:cs="Times New Roman"/>
              </w:rPr>
            </w:pPr>
            <w:r>
              <w:rPr>
                <w:rFonts w:cs="Times New Roman"/>
              </w:rPr>
              <w:t xml:space="preserve">Удельное (отнесенное к протяженности тепловых сетей) количество отказов в тепловых сетях в период испытаний, 1/км/год</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rFonts w:cs="Times New Roman"/>
              </w:rPr>
            </w:pPr>
            <w:r>
              <w:rPr>
                <w:rFonts w:cs="Times New Roman"/>
              </w:rPr>
              <w:t xml:space="preserve">Средний недоотпуск тепловой энергии, Гкал/отказ</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2020</w:t>
            </w:r>
            <w:r>
              <w:rPr>
                <w:rFonts w:cs="Times New Roman"/>
              </w:rPr>
            </w:r>
          </w:p>
        </w:tc>
        <w:tc>
          <w:tcPr>
            <w:tcBorders>
              <w:top w:val="single" w:color="000000" w:sz="4" w:space="0"/>
              <w:left w:val="single" w:color="000000" w:sz="4" w:space="0"/>
              <w:bottom w:val="single" w:color="000000" w:sz="4" w:space="0"/>
              <w:right w:val="single" w:color="000000" w:sz="4" w:space="0"/>
            </w:tcBorders>
            <w:tcW w:w="2073"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71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525" w:type="dxa"/>
          </w:tcPr>
          <w:p>
            <w:pPr>
              <w:pStyle w:val="12385"/>
              <w:pBdr/>
              <w:spacing/>
              <w:ind/>
              <w:rPr>
                <w:rFonts w:cs="Times New Roman"/>
              </w:rPr>
            </w:pPr>
            <w:r>
              <w:rPr>
                <w:rFonts w:cs="Times New Roman"/>
              </w:rPr>
              <w:t xml:space="preserve">-</w:t>
            </w:r>
            <w:r>
              <w:rPr>
                <w:rFonts w:cs="Times New Roman"/>
              </w:rPr>
            </w:r>
          </w:p>
        </w:tc>
      </w:tr>
      <w:tr>
        <w:trPr>
          <w:trHeight w:val="361"/>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2021</w:t>
            </w:r>
            <w:r>
              <w:rPr>
                <w:rFonts w:cs="Times New Roman"/>
              </w:rPr>
            </w:r>
          </w:p>
        </w:tc>
        <w:tc>
          <w:tcPr>
            <w:tcBorders>
              <w:top w:val="single" w:color="000000" w:sz="4" w:space="0"/>
              <w:left w:val="single" w:color="000000" w:sz="4" w:space="0"/>
              <w:bottom w:val="single" w:color="000000" w:sz="4" w:space="0"/>
              <w:right w:val="single" w:color="000000" w:sz="4" w:space="0"/>
            </w:tcBorders>
            <w:tcW w:w="2073"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71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525"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2022</w:t>
            </w:r>
            <w:r>
              <w:rPr>
                <w:rFonts w:cs="Times New Roman"/>
              </w:rPr>
            </w:r>
          </w:p>
        </w:tc>
        <w:tc>
          <w:tcPr>
            <w:tcBorders>
              <w:top w:val="single" w:color="000000" w:sz="4" w:space="0"/>
              <w:left w:val="single" w:color="000000" w:sz="4" w:space="0"/>
              <w:bottom w:val="single" w:color="000000" w:sz="4" w:space="0"/>
              <w:right w:val="single" w:color="000000" w:sz="4" w:space="0"/>
            </w:tcBorders>
            <w:tcW w:w="2073"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71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525"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2023</w:t>
            </w:r>
            <w:r>
              <w:rPr>
                <w:rFonts w:cs="Times New Roman"/>
              </w:rPr>
            </w:r>
          </w:p>
        </w:tc>
        <w:tc>
          <w:tcPr>
            <w:tcBorders>
              <w:top w:val="single" w:color="000000" w:sz="4" w:space="0"/>
              <w:left w:val="single" w:color="000000" w:sz="4" w:space="0"/>
              <w:bottom w:val="single" w:color="000000" w:sz="4" w:space="0"/>
              <w:right w:val="single" w:color="000000" w:sz="4" w:space="0"/>
            </w:tcBorders>
            <w:tcW w:w="2073"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71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525"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2025</w:t>
            </w:r>
            <w:r>
              <w:rPr>
                <w:rFonts w:cs="Times New Roman"/>
              </w:rPr>
            </w:r>
          </w:p>
        </w:tc>
        <w:tc>
          <w:tcPr>
            <w:tcBorders>
              <w:top w:val="single" w:color="000000" w:sz="4" w:space="0"/>
              <w:left w:val="single" w:color="000000" w:sz="4" w:space="0"/>
              <w:bottom w:val="single" w:color="000000" w:sz="4" w:space="0"/>
              <w:right w:val="single" w:color="000000" w:sz="4" w:space="0"/>
            </w:tcBorders>
            <w:tcW w:w="2073"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0"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71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525" w:type="dxa"/>
          </w:tcPr>
          <w:p>
            <w:pPr>
              <w:pStyle w:val="12385"/>
              <w:pBdr/>
              <w:spacing/>
              <w:ind/>
              <w:rPr>
                <w:rFonts w:cs="Times New Roman"/>
              </w:rPr>
            </w:pPr>
            <w:r>
              <w:rPr>
                <w:rFonts w:cs="Times New Roman"/>
              </w:rPr>
              <w:t xml:space="preserve">-</w:t>
            </w:r>
            <w:r>
              <w:rPr>
                <w:rFonts w:cs="Times New Roman"/>
              </w:rPr>
            </w:r>
          </w:p>
        </w:tc>
      </w:tr>
    </w:tbl>
    <w:p>
      <w:pPr>
        <w:pStyle w:val="12960"/>
        <w:pBdr/>
        <w:spacing/>
        <w:ind/>
        <w:rPr>
          <w:b/>
        </w:rPr>
      </w:pPr>
      <w:r>
        <w:rPr>
          <w:b/>
        </w:rPr>
      </w:r>
      <w:r>
        <w:rPr>
          <w:b/>
        </w:rPr>
      </w:r>
    </w:p>
    <w:p>
      <w:pPr>
        <w:pStyle w:val="12960"/>
        <w:pBdr/>
        <w:spacing/>
        <w:ind/>
        <w:rPr>
          <w:b/>
        </w:rPr>
      </w:pPr>
      <w:r>
        <w:rPr>
          <w:b/>
        </w:rPr>
      </w:r>
      <w:r>
        <w:rPr>
          <w:b/>
        </w:rPr>
      </w:r>
    </w:p>
    <w:p>
      <w:pPr>
        <w:pStyle w:val="12960"/>
        <w:pBdr/>
        <w:spacing/>
        <w:ind/>
        <w:rPr>
          <w:b/>
        </w:rPr>
      </w:pPr>
      <w:r>
        <w:rPr>
          <w:b/>
        </w:rPr>
        <w:t xml:space="preserve">Таблица 11.2.5 - Динамика изменения отказов и восстановлений в распределительных тепловых сетях</w:t>
      </w:r>
      <w:r>
        <w:rPr>
          <w:b/>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1375"/>
        <w:gridCol w:w="2686"/>
        <w:gridCol w:w="1671"/>
        <w:gridCol w:w="2427"/>
        <w:gridCol w:w="1196"/>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Год актуализации (разработки)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686" w:type="dxa"/>
            <w:vAlign w:val="center"/>
          </w:tcPr>
          <w:p>
            <w:pPr>
              <w:pStyle w:val="12385"/>
              <w:pBdr/>
              <w:spacing/>
              <w:ind/>
              <w:rPr>
                <w:rFonts w:cs="Times New Roman"/>
              </w:rPr>
            </w:pPr>
            <w:r>
              <w:rPr>
                <w:rFonts w:cs="Times New Roman"/>
              </w:rPr>
              <w:t xml:space="preserve">Удельное (отнесенное к протяженности тепловых сетей) количество отказов в тепловых сетях в отопительный период, 1/км/год</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71" w:type="dxa"/>
            <w:vAlign w:val="center"/>
          </w:tcPr>
          <w:p>
            <w:pPr>
              <w:pStyle w:val="12385"/>
              <w:pBdr/>
              <w:spacing/>
              <w:ind/>
              <w:rPr>
                <w:rFonts w:cs="Times New Roman"/>
              </w:rPr>
            </w:pPr>
            <w:r>
              <w:rPr>
                <w:rFonts w:cs="Times New Roman"/>
              </w:rPr>
              <w:t xml:space="preserve">Среднее время восстановления теплоснабжения, час</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427" w:type="dxa"/>
            <w:vAlign w:val="center"/>
          </w:tcPr>
          <w:p>
            <w:pPr>
              <w:pStyle w:val="12385"/>
              <w:pBdr/>
              <w:spacing/>
              <w:ind/>
              <w:rPr>
                <w:rFonts w:cs="Times New Roman"/>
              </w:rPr>
            </w:pPr>
            <w:r>
              <w:rPr>
                <w:rFonts w:cs="Times New Roman"/>
              </w:rPr>
              <w:t xml:space="preserve">Удельное (отнесенное к протяженности тепловых сетей) количество отказов в тепловых сетях в период испытаний, 1/км/год</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96" w:type="dxa"/>
            <w:vAlign w:val="center"/>
          </w:tcPr>
          <w:p>
            <w:pPr>
              <w:pStyle w:val="12385"/>
              <w:pBdr/>
              <w:spacing/>
              <w:ind/>
              <w:rPr>
                <w:rFonts w:cs="Times New Roman"/>
              </w:rPr>
            </w:pPr>
            <w:r>
              <w:rPr>
                <w:rFonts w:cs="Times New Roman"/>
              </w:rPr>
              <w:t xml:space="preserve">Средний недоотпуск тепловой энергии, Гкал/отказ</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2020</w:t>
            </w:r>
            <w:r>
              <w:rPr>
                <w:rFonts w:cs="Times New Roman"/>
              </w:rPr>
            </w:r>
          </w:p>
        </w:tc>
        <w:tc>
          <w:tcPr>
            <w:tcBorders>
              <w:top w:val="single" w:color="000000" w:sz="4" w:space="0"/>
              <w:left w:val="single" w:color="000000" w:sz="4" w:space="0"/>
              <w:bottom w:val="single" w:color="000000" w:sz="4" w:space="0"/>
              <w:right w:val="single" w:color="000000" w:sz="4" w:space="0"/>
            </w:tcBorders>
            <w:tcW w:w="268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42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196"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2021</w:t>
            </w:r>
            <w:r>
              <w:rPr>
                <w:rFonts w:cs="Times New Roman"/>
              </w:rPr>
            </w:r>
          </w:p>
        </w:tc>
        <w:tc>
          <w:tcPr>
            <w:tcBorders>
              <w:top w:val="single" w:color="000000" w:sz="4" w:space="0"/>
              <w:left w:val="single" w:color="000000" w:sz="4" w:space="0"/>
              <w:bottom w:val="single" w:color="000000" w:sz="4" w:space="0"/>
              <w:right w:val="single" w:color="000000" w:sz="4" w:space="0"/>
            </w:tcBorders>
            <w:tcW w:w="268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42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196"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2022</w:t>
            </w:r>
            <w:r>
              <w:rPr>
                <w:rFonts w:cs="Times New Roman"/>
              </w:rPr>
            </w:r>
          </w:p>
        </w:tc>
        <w:tc>
          <w:tcPr>
            <w:tcBorders>
              <w:top w:val="single" w:color="000000" w:sz="4" w:space="0"/>
              <w:left w:val="single" w:color="000000" w:sz="4" w:space="0"/>
              <w:bottom w:val="single" w:color="000000" w:sz="4" w:space="0"/>
              <w:right w:val="single" w:color="000000" w:sz="4" w:space="0"/>
            </w:tcBorders>
            <w:tcW w:w="268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42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196"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2023</w:t>
            </w:r>
            <w:r>
              <w:rPr>
                <w:rFonts w:cs="Times New Roman"/>
              </w:rPr>
            </w:r>
          </w:p>
        </w:tc>
        <w:tc>
          <w:tcPr>
            <w:tcBorders>
              <w:top w:val="single" w:color="000000" w:sz="4" w:space="0"/>
              <w:left w:val="single" w:color="000000" w:sz="4" w:space="0"/>
              <w:bottom w:val="single" w:color="000000" w:sz="4" w:space="0"/>
              <w:right w:val="single" w:color="000000" w:sz="4" w:space="0"/>
            </w:tcBorders>
            <w:tcW w:w="268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42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196" w:type="dxa"/>
          </w:tcPr>
          <w:p>
            <w:pPr>
              <w:pStyle w:val="12385"/>
              <w:pBdr/>
              <w:spacing/>
              <w:ind/>
              <w:rPr>
                <w:rFonts w:cs="Times New Roman"/>
              </w:rPr>
            </w:pPr>
            <w:r>
              <w:rPr>
                <w:rFonts w:cs="Times New Roman"/>
              </w:rPr>
              <w:t xml:space="preserve">-</w:t>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1375" w:type="dxa"/>
            <w:vAlign w:val="center"/>
          </w:tcPr>
          <w:p>
            <w:pPr>
              <w:pStyle w:val="12385"/>
              <w:pBdr/>
              <w:spacing/>
              <w:ind/>
              <w:rPr>
                <w:rFonts w:cs="Times New Roman"/>
              </w:rPr>
            </w:pPr>
            <w:r>
              <w:rPr>
                <w:rFonts w:cs="Times New Roman"/>
              </w:rPr>
              <w:t xml:space="preserve">2025</w:t>
            </w:r>
            <w:r>
              <w:rPr>
                <w:rFonts w:cs="Times New Roman"/>
              </w:rPr>
            </w:r>
          </w:p>
        </w:tc>
        <w:tc>
          <w:tcPr>
            <w:tcBorders>
              <w:top w:val="single" w:color="000000" w:sz="4" w:space="0"/>
              <w:left w:val="single" w:color="000000" w:sz="4" w:space="0"/>
              <w:bottom w:val="single" w:color="000000" w:sz="4" w:space="0"/>
              <w:right w:val="single" w:color="000000" w:sz="4" w:space="0"/>
            </w:tcBorders>
            <w:tcW w:w="268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67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242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1196" w:type="dxa"/>
          </w:tcPr>
          <w:p>
            <w:pPr>
              <w:pStyle w:val="12385"/>
              <w:pBdr/>
              <w:spacing/>
              <w:ind/>
              <w:rPr>
                <w:rFonts w:cs="Times New Roman"/>
              </w:rPr>
            </w:pPr>
            <w:r>
              <w:rPr>
                <w:rFonts w:cs="Times New Roman"/>
              </w:rPr>
              <w:t xml:space="preserve">-</w:t>
            </w:r>
            <w:r>
              <w:rPr>
                <w:rFonts w:cs="Times New Roman"/>
              </w:rPr>
            </w:r>
          </w:p>
        </w:tc>
      </w:tr>
    </w:tbl>
    <w:p>
      <w:pPr>
        <w:pStyle w:val="10533"/>
        <w:pBdr/>
        <w:spacing/>
        <w:ind/>
        <w:rPr/>
      </w:pPr>
      <w:r/>
      <w:r/>
    </w:p>
    <w:p>
      <w:pPr>
        <w:pStyle w:val="12960"/>
        <w:pBdr/>
        <w:spacing/>
        <w:ind/>
        <w:rPr>
          <w:b/>
        </w:rPr>
      </w:pPr>
      <w:r>
        <w:rPr>
          <w:b/>
        </w:rPr>
        <w:t xml:space="preserve">Таблица 11.2.6 - Показатели повреждаемости системы теплоснабжения </w:t>
      </w:r>
      <w:r>
        <w:rPr>
          <w:b/>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5250"/>
        <w:gridCol w:w="822"/>
        <w:gridCol w:w="821"/>
        <w:gridCol w:w="821"/>
        <w:gridCol w:w="821"/>
        <w:gridCol w:w="819"/>
      </w:tblGrid>
      <w:tr>
        <w:trPr>
          <w:trHeight w:val="227"/>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250" w:type="dxa"/>
            <w:vAlign w:val="center"/>
          </w:tcPr>
          <w:p>
            <w:pPr>
              <w:pStyle w:val="12385"/>
              <w:pBdr/>
              <w:spacing/>
              <w:ind/>
              <w:rPr>
                <w:rFonts w:cs="Times New Roman"/>
              </w:rPr>
            </w:pPr>
            <w:r>
              <w:rPr>
                <w:rFonts w:cs="Times New Roman"/>
              </w:rPr>
              <w:t xml:space="preserve">Наименование показателя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22" w:type="dxa"/>
            <w:vAlign w:val="center"/>
          </w:tcPr>
          <w:p>
            <w:pPr>
              <w:pStyle w:val="12385"/>
              <w:pBdr/>
              <w:spacing/>
              <w:ind/>
              <w:rPr>
                <w:rFonts w:cs="Times New Roman"/>
              </w:rPr>
            </w:pPr>
            <w:r>
              <w:rPr>
                <w:rFonts w:cs="Times New Roman"/>
              </w:rPr>
              <w:t xml:space="preserve">2020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21" w:type="dxa"/>
            <w:vAlign w:val="center"/>
          </w:tcPr>
          <w:p>
            <w:pPr>
              <w:pStyle w:val="12385"/>
              <w:pBdr/>
              <w:spacing/>
              <w:ind/>
              <w:rPr>
                <w:rFonts w:cs="Times New Roman"/>
              </w:rPr>
            </w:pPr>
            <w:r>
              <w:rPr>
                <w:rFonts w:cs="Times New Roman"/>
              </w:rPr>
              <w:t xml:space="preserve">2021</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21" w:type="dxa"/>
            <w:vAlign w:val="center"/>
          </w:tcPr>
          <w:p>
            <w:pPr>
              <w:pStyle w:val="12385"/>
              <w:pBdr/>
              <w:spacing/>
              <w:ind/>
              <w:rPr>
                <w:rFonts w:cs="Times New Roman"/>
              </w:rPr>
            </w:pPr>
            <w:r>
              <w:rPr>
                <w:rFonts w:cs="Times New Roman"/>
              </w:rPr>
              <w:t xml:space="preserve">2022</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21" w:type="dxa"/>
            <w:vAlign w:val="center"/>
          </w:tcPr>
          <w:p>
            <w:pPr>
              <w:pStyle w:val="12385"/>
              <w:pBdr/>
              <w:spacing/>
              <w:ind/>
              <w:rPr>
                <w:rFonts w:cs="Times New Roman"/>
              </w:rPr>
            </w:pPr>
            <w:r>
              <w:rPr>
                <w:rFonts w:cs="Times New Roman"/>
              </w:rPr>
              <w:t xml:space="preserve">2023</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19" w:type="dxa"/>
            <w:vAlign w:val="center"/>
          </w:tcPr>
          <w:p>
            <w:pPr>
              <w:pStyle w:val="12385"/>
              <w:pBdr/>
              <w:spacing/>
              <w:ind/>
              <w:rPr>
                <w:rFonts w:cs="Times New Roman"/>
              </w:rPr>
            </w:pPr>
            <w:r>
              <w:rPr>
                <w:rFonts w:cs="Times New Roman"/>
              </w:rPr>
              <w:t xml:space="preserve">2025</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Повреждения в магистральных тепловых сетях, 1/км/год в том числе:</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в отопительный период, 1/км/год</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в период испытаний на плотность и прочность, 1/км/год</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Повреждения в распределительных тепловых сетях систем отопления, 1/км/год, в том числе:</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в отопительный период, 1/км/год</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в период испытаний на плотность и прочность, 1/км/год</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Повреждения в сетях горячего водоснабжения (в случае их наличия), 1/км/год</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5250" w:type="dxa"/>
          </w:tcPr>
          <w:p>
            <w:pPr>
              <w:pStyle w:val="12385"/>
              <w:pBdr/>
              <w:spacing/>
              <w:ind/>
              <w:rPr>
                <w:rFonts w:cs="Times New Roman"/>
              </w:rPr>
            </w:pPr>
            <w:r>
              <w:rPr>
                <w:rFonts w:cs="Times New Roman"/>
              </w:rPr>
              <w:t xml:space="preserve">Всего повреждения в тепловых сетях, 1/км/год</w:t>
            </w:r>
            <w:r>
              <w:rPr>
                <w:rFonts w:cs="Times New Roman"/>
              </w:rPr>
            </w:r>
          </w:p>
        </w:tc>
        <w:tc>
          <w:tcPr>
            <w:tcBorders>
              <w:top w:val="single" w:color="000000" w:sz="4" w:space="0"/>
              <w:left w:val="single" w:color="000000" w:sz="4" w:space="0"/>
              <w:bottom w:val="single" w:color="000000" w:sz="4" w:space="0"/>
              <w:right w:val="single" w:color="000000" w:sz="4" w:space="0"/>
            </w:tcBorders>
            <w:tcW w:w="822"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21"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819" w:type="dxa"/>
          </w:tcPr>
          <w:p>
            <w:pPr>
              <w:pStyle w:val="12385"/>
              <w:pBdr/>
              <w:spacing/>
              <w:ind/>
              <w:rPr>
                <w:rFonts w:cs="Times New Roman"/>
              </w:rPr>
            </w:pPr>
            <w:r>
              <w:rPr>
                <w:rFonts w:cs="Times New Roman"/>
              </w:rPr>
              <w:t xml:space="preserve">-</w:t>
            </w:r>
            <w:r>
              <w:rPr>
                <w:rFonts w:cs="Times New Roman"/>
              </w:rPr>
            </w:r>
          </w:p>
        </w:tc>
      </w:tr>
    </w:tbl>
    <w:p>
      <w:pPr>
        <w:pStyle w:val="12960"/>
        <w:pBdr/>
        <w:spacing/>
        <w:ind/>
        <w:rPr/>
      </w:pPr>
      <w:r/>
      <w:r/>
    </w:p>
    <w:p>
      <w:pPr>
        <w:pStyle w:val="12960"/>
        <w:pBdr/>
        <w:spacing/>
        <w:ind/>
        <w:rPr>
          <w:b/>
        </w:rPr>
      </w:pPr>
      <w:r>
        <w:rPr>
          <w:b/>
        </w:rPr>
        <w:t xml:space="preserve">Таблица 11.2.7 - Показатели восстановления в системе теплоснабжения </w:t>
      </w:r>
      <w:r>
        <w:rPr>
          <w:b/>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6270"/>
        <w:gridCol w:w="617"/>
        <w:gridCol w:w="616"/>
        <w:gridCol w:w="617"/>
        <w:gridCol w:w="618"/>
        <w:gridCol w:w="616"/>
      </w:tblGrid>
      <w:tr>
        <w:trPr>
          <w:trHeight w:val="227"/>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70" w:type="dxa"/>
            <w:vAlign w:val="center"/>
          </w:tcPr>
          <w:p>
            <w:pPr>
              <w:pStyle w:val="12385"/>
              <w:pBdr/>
              <w:spacing/>
              <w:ind/>
              <w:rPr>
                <w:rFonts w:cs="Times New Roman"/>
              </w:rPr>
            </w:pPr>
            <w:r>
              <w:rPr>
                <w:rFonts w:cs="Times New Roman"/>
              </w:rPr>
              <w:t xml:space="preserve">Наименование показателя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rPr>
            </w:pPr>
            <w:r>
              <w:rPr>
                <w:rFonts w:cs="Times New Roman"/>
              </w:rPr>
              <w:t xml:space="preserve">2020</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t xml:space="preserve">2021</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rPr>
            </w:pPr>
            <w:r>
              <w:rPr>
                <w:rFonts w:cs="Times New Roman"/>
              </w:rPr>
              <w:t xml:space="preserve">2022</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8" w:type="dxa"/>
            <w:vAlign w:val="center"/>
          </w:tcPr>
          <w:p>
            <w:pPr>
              <w:pStyle w:val="12385"/>
              <w:pBdr/>
              <w:spacing/>
              <w:ind/>
              <w:rPr>
                <w:rFonts w:cs="Times New Roman"/>
              </w:rPr>
            </w:pPr>
            <w:r>
              <w:rPr>
                <w:rFonts w:cs="Times New Roman"/>
              </w:rPr>
              <w:t xml:space="preserve">2023</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t xml:space="preserve">2025</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6270" w:type="dxa"/>
          </w:tcPr>
          <w:p>
            <w:pPr>
              <w:pStyle w:val="12385"/>
              <w:pBdr/>
              <w:spacing/>
              <w:ind/>
              <w:rPr>
                <w:rFonts w:cs="Times New Roman"/>
              </w:rPr>
            </w:pPr>
            <w:r>
              <w:rPr>
                <w:rFonts w:cs="Times New Roman"/>
              </w:rPr>
              <w:t xml:space="preserve">Среднее время восстановления теплоснабжения после повреждения в магистральных тепловых сетях в отопительный период, час</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6270" w:type="dxa"/>
          </w:tcPr>
          <w:p>
            <w:pPr>
              <w:pStyle w:val="12385"/>
              <w:pBdr/>
              <w:spacing/>
              <w:ind/>
              <w:rPr>
                <w:rFonts w:cs="Times New Roman"/>
              </w:rPr>
            </w:pPr>
            <w:r>
              <w:rPr>
                <w:rFonts w:cs="Times New Roman"/>
              </w:rPr>
              <w:t xml:space="preserve">Среднее время восстановления отопления после повреждения в распределительных тепловых сетях систем отопления, час:</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r>
      <w:tr>
        <w:trPr>
          <w:trHeight w:val="227"/>
        </w:trPr>
        <w:tc>
          <w:tcPr>
            <w:tcBorders>
              <w:top w:val="single" w:color="000000" w:sz="4" w:space="0"/>
              <w:left w:val="single" w:color="000000" w:sz="4" w:space="0"/>
              <w:bottom w:val="single" w:color="000000" w:sz="4" w:space="0"/>
              <w:right w:val="single" w:color="000000" w:sz="4" w:space="0"/>
            </w:tcBorders>
            <w:tcW w:w="6270" w:type="dxa"/>
          </w:tcPr>
          <w:p>
            <w:pPr>
              <w:pStyle w:val="12385"/>
              <w:pBdr/>
              <w:spacing/>
              <w:ind/>
              <w:rPr>
                <w:rFonts w:cs="Times New Roman"/>
              </w:rPr>
            </w:pPr>
            <w:r>
              <w:rPr>
                <w:rFonts w:cs="Times New Roman"/>
              </w:rPr>
              <w:t xml:space="preserve">Среднее время восстановления горячего водоснабжения поле повреждения в сетях горячего водоснабжения (в случае их наличия), час</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r>
      <w:tr>
        <w:trPr>
          <w:trHeight w:val="510"/>
        </w:trPr>
        <w:tc>
          <w:tcPr>
            <w:tcBorders>
              <w:top w:val="single" w:color="000000" w:sz="4" w:space="0"/>
              <w:left w:val="single" w:color="000000" w:sz="4" w:space="0"/>
              <w:bottom w:val="single" w:color="000000" w:sz="4" w:space="0"/>
              <w:right w:val="single" w:color="000000" w:sz="4" w:space="0"/>
            </w:tcBorders>
            <w:tcW w:w="6270" w:type="dxa"/>
          </w:tcPr>
          <w:p>
            <w:pPr>
              <w:pStyle w:val="12385"/>
              <w:pBdr/>
              <w:spacing/>
              <w:ind/>
              <w:rPr>
                <w:rFonts w:cs="Times New Roman"/>
              </w:rPr>
            </w:pPr>
            <w:r>
              <w:rPr>
                <w:rFonts w:cs="Times New Roman"/>
              </w:rPr>
              <w:t xml:space="preserve">Всего среднее время восстановления отопления после повреждения в магистральных и распределительных тепловых сетях, час</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8" w:type="dxa"/>
          </w:tcPr>
          <w:p>
            <w:pPr>
              <w:pStyle w:val="12385"/>
              <w:pBdr/>
              <w:spacing/>
              <w:ind/>
              <w:rPr>
                <w:rFonts w:cs="Times New Roman"/>
              </w:rPr>
            </w:pPr>
            <w:r>
              <w:rPr>
                <w:rFonts w:cs="Times New Roman"/>
              </w:rPr>
              <w:t xml:space="preserve">-</w:t>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tcPr>
          <w:p>
            <w:pPr>
              <w:pStyle w:val="12385"/>
              <w:pBdr/>
              <w:spacing/>
              <w:ind/>
              <w:rPr>
                <w:rFonts w:cs="Times New Roman"/>
              </w:rPr>
            </w:pPr>
            <w:r>
              <w:rPr>
                <w:rFonts w:cs="Times New Roman"/>
              </w:rPr>
              <w:t xml:space="preserve">-</w:t>
            </w:r>
            <w:r>
              <w:rPr>
                <w:rFonts w:cs="Times New Roman"/>
              </w:rPr>
            </w:r>
          </w:p>
        </w:tc>
      </w:tr>
    </w:tbl>
    <w:p>
      <w:pPr>
        <w:pStyle w:val="10533"/>
        <w:pBdr/>
        <w:spacing/>
        <w:ind/>
        <w:rPr/>
        <w:sectPr>
          <w:headerReference w:type="default" r:id="rId174"/>
          <w:headerReference w:type="first" r:id="rId175"/>
          <w:footerReference w:type="default" r:id="rId442"/>
          <w:footerReference w:type="first" r:id="rId443"/>
          <w:footnotePr/>
          <w:endnotePr/>
          <w:type w:val="nextPage"/>
          <w:pgSz w:h="16838" w:orient="portrait" w:w="11906"/>
          <w:pgMar w:top="1134" w:right="850" w:bottom="1134" w:left="1701" w:header="708" w:footer="708" w:gutter="0"/>
          <w:cols w:num="1" w:sep="0" w:space="1701" w:equalWidth="1"/>
        </w:sectPr>
      </w:pPr>
      <w:r/>
      <w:r/>
    </w:p>
    <w:p>
      <w:pPr>
        <w:pStyle w:val="12960"/>
        <w:pBdr/>
        <w:spacing/>
        <w:ind/>
        <w:rPr>
          <w:b/>
          <w:bCs w:val="0"/>
        </w:rPr>
      </w:pPr>
      <w:r>
        <w:rPr>
          <w:b/>
          <w:bCs w:val="0"/>
        </w:rPr>
        <w:t xml:space="preserve">Таблица 11.1.8 -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838"/>
        <w:gridCol w:w="1840"/>
        <w:gridCol w:w="2071"/>
        <w:gridCol w:w="1151"/>
        <w:gridCol w:w="1815"/>
        <w:gridCol w:w="1816"/>
        <w:gridCol w:w="2019"/>
        <w:gridCol w:w="2018"/>
      </w:tblGrid>
      <w:tr>
        <w:trPr>
          <w:trHeight w:val="20"/>
          <w:tblHeader/>
        </w:trPr>
        <w:tc>
          <w:tcPr>
            <w:shd w:val="clear" w:color="auto" w:fill="d9d9d9"/>
            <w:tcBorders>
              <w:top w:val="single" w:color="000000" w:sz="4" w:space="0"/>
              <w:left w:val="single" w:color="000000" w:sz="4" w:space="0"/>
              <w:bottom w:val="single" w:color="000000" w:sz="4" w:space="0"/>
              <w:right w:val="single" w:color="000000" w:sz="4" w:space="0"/>
            </w:tcBorders>
            <w:tcW w:w="183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Источники</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1840"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Наименование начала участка</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07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Наименование конца участка</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115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Длина участка, м</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181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Диаметр подающего тpубопpовода, м</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1816"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Диаметр обратного трубопровода, м</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019"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Время восстановления, ч</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01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Интенсивность восстановления, 1/ч</w:t>
            </w:r>
            <w:r>
              <w:rPr>
                <w:rFonts w:eastAsia="Calibri" w:cs="Calibri"/>
                <w:bCs/>
                <w:sz w:val="20"/>
                <w:szCs w:val="26"/>
                <w:lang w:eastAsia="ru-RU"/>
              </w:rPr>
            </w:r>
          </w:p>
        </w:tc>
      </w:tr>
      <w:tr>
        <w:trPr>
          <w:trHeight w:val="20"/>
        </w:trPr>
        <w:tc>
          <w:tcPr>
            <w:shd w:val="clear" w:color="000000" w:fill="ffffff"/>
            <w:tcBorders>
              <w:left w:val="single" w:color="000000" w:sz="4" w:space="0"/>
              <w:bottom w:val="single" w:color="000000" w:sz="4" w:space="0"/>
              <w:right w:val="single" w:color="000000" w:sz="4" w:space="0"/>
            </w:tcBorders>
            <w:tcW w:w="183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№7 с. Белый Колодезь</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40"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№7 с. Белый Колодезь</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7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Белоколодезская школа</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15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1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16"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19"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4,1102430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1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0,2432950</w:t>
            </w:r>
            <w:r>
              <w:rPr>
                <w:rFonts w:eastAsia="Calibri" w:cs="Calibri"/>
                <w:bCs/>
                <w:sz w:val="20"/>
                <w:szCs w:val="26"/>
                <w:lang w:eastAsia="ru-RU"/>
              </w:rPr>
            </w:r>
          </w:p>
        </w:tc>
      </w:tr>
      <w:tr>
        <w:trPr>
          <w:trHeight w:val="20"/>
        </w:trPr>
        <w:tc>
          <w:tcPr>
            <w:shd w:val="clear" w:color="000000" w:fill="ffffff"/>
            <w:tcBorders>
              <w:left w:val="single" w:color="000000" w:sz="4" w:space="0"/>
              <w:bottom w:val="single" w:color="000000" w:sz="4" w:space="0"/>
              <w:right w:val="single" w:color="000000" w:sz="4" w:space="0"/>
            </w:tcBorders>
            <w:tcW w:w="183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№5 д. Ясенки</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40"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№5 д. Ясенки</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7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Ясенковская ООШ</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15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1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16"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19"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4,1102430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1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0,2432950</w:t>
            </w:r>
            <w:r>
              <w:rPr>
                <w:rFonts w:eastAsia="Calibri" w:cs="Calibri"/>
                <w:bCs/>
                <w:sz w:val="20"/>
                <w:szCs w:val="26"/>
                <w:lang w:eastAsia="ru-RU"/>
              </w:rPr>
            </w:r>
          </w:p>
        </w:tc>
      </w:tr>
      <w:tr>
        <w:trPr>
          <w:trHeight w:val="20"/>
        </w:trPr>
        <w:tc>
          <w:tcPr>
            <w:shd w:val="clear" w:color="000000" w:fill="ffffff"/>
            <w:tcBorders>
              <w:left w:val="single" w:color="000000" w:sz="4" w:space="0"/>
              <w:bottom w:val="single" w:color="000000" w:sz="4" w:space="0"/>
              <w:right w:val="single" w:color="000000" w:sz="4" w:space="0"/>
            </w:tcBorders>
            <w:tcW w:w="183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№6 п. Первомайский</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40"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№6 п. Первомайский</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7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МБОУ Первомайская СОШ</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151"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70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1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816"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19"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4,1069980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018"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0,2434870</w:t>
            </w:r>
            <w:r>
              <w:rPr>
                <w:rFonts w:eastAsia="Calibri" w:cs="Calibri"/>
                <w:bCs/>
                <w:sz w:val="20"/>
                <w:szCs w:val="26"/>
                <w:lang w:eastAsia="ru-RU"/>
              </w:rPr>
            </w:r>
          </w:p>
        </w:tc>
      </w:tr>
    </w:tbl>
    <w:p>
      <w:pPr>
        <w:pBdr/>
        <w:spacing/>
        <w:ind/>
        <w:rPr/>
        <w:sectPr>
          <w:headerReference w:type="default" r:id="rId176"/>
          <w:headerReference w:type="first" r:id="rId177"/>
          <w:footerReference w:type="default" r:id="rId444"/>
          <w:footerReference w:type="first" r:id="rId445"/>
          <w:footnotePr/>
          <w:endnotePr/>
          <w:type w:val="nextPage"/>
          <w:pgSz w:h="11906" w:orient="landscape" w:w="16838"/>
          <w:pgMar w:top="1701" w:right="1134" w:bottom="851" w:left="1134" w:header="709" w:footer="709" w:gutter="0"/>
          <w:cols w:num="1" w:sep="0" w:space="1701" w:equalWidth="1"/>
        </w:sectPr>
      </w:pPr>
      <w:r/>
      <w:r/>
    </w:p>
    <w:p>
      <w:pPr>
        <w:pStyle w:val="10534"/>
        <w:numPr>
          <w:ilvl w:val="0"/>
          <w:numId w:val="169"/>
        </w:numPr>
        <w:pBdr/>
        <w:spacing/>
        <w:ind/>
        <w:rPr>
          <w:rFonts w:ascii="Times New Roman" w:hAnsi="Times New Roman" w:eastAsia="Times New Roman" w:cs="Times New Roman"/>
          <w:b/>
          <w:smallCaps/>
          <w:spacing w:val="0"/>
          <w:sz w:val="28"/>
          <w:szCs w:val="36"/>
          <w:lang w:eastAsia="en-US" w:bidi="en-US"/>
        </w:rPr>
      </w:pPr>
      <w:r/>
      <w:bookmarkStart w:id="1047" w:name="_Toc84971071"/>
      <w:r/>
      <w:bookmarkStart w:id="1048" w:name="_Toc198483630"/>
      <w:r/>
      <w:bookmarkStart w:id="1049" w:name="_Toc9154925"/>
      <w:r/>
      <w:bookmarkStart w:id="1050" w:name="_Toc166767290"/>
      <w:r>
        <w:rPr>
          <w:rFonts w:eastAsia="Times New Roman" w:cs="Times New Roman"/>
          <w:b/>
          <w:smallCaps/>
          <w:spacing w:val="0"/>
          <w:sz w:val="28"/>
          <w:szCs w:val="36"/>
          <w:lang w:eastAsia="en-US" w:bidi="en-US"/>
        </w:rPr>
        <w:t xml:space="preserve">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047"/>
      <w:r/>
      <w:bookmarkEnd w:id="1048"/>
      <w:r/>
      <w:bookmarkEnd w:id="1049"/>
      <w:r/>
      <w:bookmarkEnd w:id="1050"/>
      <w:r/>
      <w:r>
        <w:rPr>
          <w:rFonts w:ascii="Times New Roman" w:hAnsi="Times New Roman" w:eastAsia="Times New Roman" w:cs="Times New Roman"/>
          <w:b/>
          <w:smallCaps/>
          <w:spacing w:val="0"/>
          <w:sz w:val="28"/>
          <w:szCs w:val="36"/>
          <w:lang w:eastAsia="en-US" w:bidi="en-US"/>
        </w:rPr>
      </w:r>
    </w:p>
    <w:p>
      <w:pPr>
        <w:pStyle w:val="10533"/>
        <w:widowControl w:val="false"/>
        <w:pBdr/>
        <w:spacing w:line="360" w:lineRule="auto"/>
        <w:ind w:right="269" w:firstLine="566" w:left="102"/>
        <w:jc w:val="both"/>
        <w:rPr>
          <w:lang w:eastAsia="en-US"/>
        </w:rPr>
      </w:pPr>
      <w:r>
        <w:rPr>
          <w:lang w:eastAsia="en-US"/>
        </w:rPr>
        <w:t xml:space="preserve">Результаты рас</w:t>
      </w:r>
      <w:r>
        <w:rPr>
          <w:lang w:eastAsia="en-US"/>
        </w:rPr>
        <w:t xml:space="preserve">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w:t>
      </w:r>
      <w:r>
        <w:rPr>
          <w:lang w:eastAsia="en-US"/>
        </w:rPr>
      </w:r>
    </w:p>
    <w:p>
      <w:pPr>
        <w:pStyle w:val="10533"/>
        <w:widowControl w:val="false"/>
        <w:numPr>
          <w:ilvl w:val="0"/>
          <w:numId w:val="91"/>
        </w:numPr>
        <w:pBdr/>
        <w:tabs>
          <w:tab w:val="clear" w:leader="none" w:pos="708"/>
          <w:tab w:val="left" w:leader="none" w:pos="959"/>
        </w:tabs>
        <w:spacing w:line="360" w:lineRule="auto"/>
        <w:ind w:right="268" w:firstLine="566" w:left="102"/>
        <w:jc w:val="both"/>
        <w:rPr>
          <w:lang w:eastAsia="en-US"/>
        </w:rPr>
      </w:pPr>
      <w:r>
        <w:rPr>
          <w:lang w:eastAsia="en-US"/>
        </w:rPr>
        <w:t xml:space="preserve">рекомендуется при условии соблюдения нормативной надежности на расчетный срок и предусматривает:</w:t>
      </w:r>
      <w:r>
        <w:rPr>
          <w:lang w:eastAsia="en-US"/>
        </w:rPr>
      </w:r>
    </w:p>
    <w:p>
      <w:pPr>
        <w:pStyle w:val="10533"/>
        <w:widowControl w:val="false"/>
        <w:numPr>
          <w:ilvl w:val="0"/>
          <w:numId w:val="92"/>
        </w:numPr>
        <w:pBdr/>
        <w:tabs>
          <w:tab w:val="clear" w:leader="none" w:pos="708"/>
          <w:tab w:val="left" w:leader="none" w:pos="808"/>
        </w:tabs>
        <w:spacing w:line="360" w:lineRule="auto"/>
        <w:ind w:hanging="140" w:left="807"/>
        <w:jc w:val="both"/>
        <w:rPr>
          <w:lang w:eastAsia="en-US"/>
        </w:rPr>
      </w:pPr>
      <w:r>
        <w:rPr>
          <w:lang w:eastAsia="en-US"/>
        </w:rPr>
        <w:t xml:space="preserve">контроль исправного состояния и безопасной эксплуатации трубопроводов;</w:t>
      </w:r>
      <w:r>
        <w:rPr>
          <w:lang w:eastAsia="en-US"/>
        </w:rPr>
      </w:r>
    </w:p>
    <w:p>
      <w:pPr>
        <w:pStyle w:val="10533"/>
        <w:widowControl w:val="false"/>
        <w:numPr>
          <w:ilvl w:val="0"/>
          <w:numId w:val="92"/>
        </w:numPr>
        <w:pBdr/>
        <w:tabs>
          <w:tab w:val="clear" w:leader="none" w:pos="708"/>
          <w:tab w:val="left" w:leader="none" w:pos="827"/>
        </w:tabs>
        <w:spacing w:line="360" w:lineRule="auto"/>
        <w:ind w:right="270" w:firstLine="566" w:left="102"/>
        <w:jc w:val="both"/>
        <w:rPr>
          <w:lang w:eastAsia="en-US"/>
        </w:rPr>
      </w:pPr>
      <w:r>
        <w:rPr>
          <w:lang w:eastAsia="en-US"/>
        </w:rPr>
        <w:t xml:space="preserve">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r>
        <w:rPr>
          <w:lang w:eastAsia="en-US"/>
        </w:rPr>
      </w:r>
    </w:p>
    <w:p>
      <w:pPr>
        <w:pStyle w:val="10533"/>
        <w:widowControl w:val="false"/>
        <w:numPr>
          <w:ilvl w:val="0"/>
          <w:numId w:val="91"/>
        </w:numPr>
        <w:pBdr/>
        <w:tabs>
          <w:tab w:val="clear" w:leader="none" w:pos="708"/>
          <w:tab w:val="left" w:leader="none" w:pos="929"/>
        </w:tabs>
        <w:spacing w:line="360" w:lineRule="auto"/>
        <w:ind w:right="273" w:firstLine="566" w:left="102"/>
        <w:jc w:val="both"/>
        <w:rPr>
          <w:lang w:eastAsia="en-US"/>
        </w:rPr>
      </w:pPr>
      <w:r>
        <w:rPr>
          <w:lang w:eastAsia="en-US"/>
        </w:rPr>
        <w:t xml:space="preserve">рекомендуется при условии несоблюдения нормативной надежности на расчетный срок и предусматривает:</w:t>
      </w:r>
      <w:r>
        <w:rPr>
          <w:lang w:eastAsia="en-US"/>
        </w:rPr>
      </w:r>
    </w:p>
    <w:p>
      <w:pPr>
        <w:pStyle w:val="10533"/>
        <w:widowControl w:val="false"/>
        <w:numPr>
          <w:ilvl w:val="0"/>
          <w:numId w:val="92"/>
        </w:numPr>
        <w:pBdr/>
        <w:tabs>
          <w:tab w:val="clear" w:leader="none" w:pos="708"/>
          <w:tab w:val="left" w:leader="none" w:pos="827"/>
        </w:tabs>
        <w:spacing w:line="360" w:lineRule="auto"/>
        <w:ind w:right="265" w:firstLine="566" w:left="102"/>
        <w:jc w:val="both"/>
        <w:rPr>
          <w:lang w:eastAsia="en-US"/>
        </w:rPr>
      </w:pPr>
      <w:r>
        <w:rPr>
          <w:lang w:eastAsia="en-US"/>
        </w:rPr>
        <w:t xml:space="preserve">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r>
        <w:rPr>
          <w:lang w:eastAsia="en-US"/>
        </w:rPr>
      </w:r>
    </w:p>
    <w:p>
      <w:pPr>
        <w:pStyle w:val="12960"/>
        <w:pBdr/>
        <w:spacing/>
        <w:ind/>
        <w:rPr>
          <w:rFonts w:eastAsia="Times New Roman"/>
          <w:bCs w:val="0"/>
          <w:iCs w:val="0"/>
          <w:color w:val="auto"/>
        </w:rPr>
        <w:sectPr>
          <w:headerReference w:type="default" r:id="rId178"/>
          <w:headerReference w:type="first" r:id="rId179"/>
          <w:footerReference w:type="default" r:id="rId446"/>
          <w:footerReference w:type="first" r:id="rId447"/>
          <w:footnotePr/>
          <w:endnotePr/>
          <w:type w:val="nextPage"/>
          <w:pgSz w:h="16838" w:orient="portrait" w:w="11906"/>
          <w:pgMar w:top="1134" w:right="850" w:bottom="1134" w:left="1701" w:header="708" w:footer="708" w:gutter="0"/>
          <w:cols w:num="1" w:sep="0" w:space="1701" w:equalWidth="1"/>
        </w:sectPr>
      </w:pPr>
      <w:r>
        <w:rPr>
          <w:rFonts w:eastAsia="Times New Roman"/>
          <w:bCs w:val="0"/>
          <w:iCs w:val="0"/>
          <w:color w:val="auto"/>
        </w:rPr>
        <w:t xml:space="preserve">- реконструкцию ветхих участков тепловых сетей, определяемых по результатам экспертного обследования технического состояния трубопроводов.</w:t>
      </w:r>
      <w:r>
        <w:rPr>
          <w:rFonts w:eastAsia="Times New Roman"/>
          <w:bCs w:val="0"/>
          <w:iCs w:val="0"/>
          <w:color w:val="auto"/>
        </w:rPr>
      </w:r>
    </w:p>
    <w:p>
      <w:pPr>
        <w:pStyle w:val="12960"/>
        <w:pBdr/>
        <w:spacing/>
        <w:ind/>
        <w:rPr>
          <w:rFonts w:eastAsia="Times New Roman"/>
          <w:b/>
          <w:iCs w:val="0"/>
          <w:color w:val="auto"/>
        </w:rPr>
      </w:pPr>
      <w:r>
        <w:rPr>
          <w:rFonts w:eastAsia="Times New Roman"/>
          <w:b/>
          <w:iCs w:val="0"/>
          <w:color w:val="auto"/>
        </w:rPr>
        <w:t xml:space="preserve">Таблица 11.3.1 -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eastAsia="Times New Roman"/>
          <w:b/>
          <w:iCs w:val="0"/>
          <w:color w:val="auto"/>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202"/>
        <w:gridCol w:w="2205"/>
        <w:gridCol w:w="2485"/>
        <w:gridCol w:w="1382"/>
        <w:gridCol w:w="2175"/>
        <w:gridCol w:w="2177"/>
        <w:gridCol w:w="1943"/>
      </w:tblGrid>
      <w:tr>
        <w:trPr>
          <w:trHeight w:val="20"/>
          <w:tblHeader/>
        </w:trPr>
        <w:tc>
          <w:tcPr>
            <w:shd w:val="clear" w:color="auto" w:fill="d9d9d9"/>
            <w:tcBorders>
              <w:top w:val="single" w:color="000000" w:sz="4" w:space="0"/>
              <w:left w:val="single" w:color="000000" w:sz="4" w:space="0"/>
              <w:bottom w:val="single" w:color="000000" w:sz="4" w:space="0"/>
              <w:right w:val="single" w:color="000000" w:sz="4" w:space="0"/>
            </w:tcBorders>
            <w:tcW w:w="220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Источники</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20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Наименование начала участка</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48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Наименование конца участка</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138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Длина участка, м</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17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Диаметр подающего тpубопpовода, м</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2177"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Диаметр обратного трубопровода, м</w:t>
            </w:r>
            <w:r>
              <w:rPr>
                <w:rFonts w:eastAsia="Calibri" w:cs="Calibri"/>
                <w:bCs/>
                <w:sz w:val="20"/>
                <w:szCs w:val="26"/>
                <w:lang w:eastAsia="ru-RU"/>
              </w:rPr>
            </w:r>
          </w:p>
        </w:tc>
        <w:tc>
          <w:tcPr>
            <w:shd w:val="clear" w:color="auto" w:fill="d9d9d9"/>
            <w:tcBorders>
              <w:top w:val="single" w:color="000000" w:sz="4" w:space="0"/>
              <w:bottom w:val="single" w:color="000000" w:sz="4" w:space="0"/>
              <w:right w:val="single" w:color="000000" w:sz="4" w:space="0"/>
            </w:tcBorders>
            <w:tcW w:w="1943"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Вероятность отказа</w:t>
            </w:r>
            <w:r>
              <w:rPr>
                <w:rFonts w:eastAsia="Calibri" w:cs="Calibri"/>
                <w:bCs/>
                <w:sz w:val="20"/>
                <w:szCs w:val="26"/>
                <w:lang w:eastAsia="ru-RU"/>
              </w:rPr>
            </w:r>
          </w:p>
        </w:tc>
      </w:tr>
      <w:tr>
        <w:trPr>
          <w:trHeight w:val="20"/>
        </w:trPr>
        <w:tc>
          <w:tcPr>
            <w:shd w:val="clear" w:color="000000" w:fill="ffffff"/>
            <w:tcBorders>
              <w:left w:val="single" w:color="000000" w:sz="4" w:space="0"/>
              <w:bottom w:val="single" w:color="000000" w:sz="4" w:space="0"/>
              <w:right w:val="single" w:color="000000" w:sz="4" w:space="0"/>
            </w:tcBorders>
            <w:tcW w:w="220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№7 с. Белый Колодезь</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20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№7 с. Белый Колодезь</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48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Белоколодезская школа</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38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17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177"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943"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0,0162661</w:t>
            </w:r>
            <w:r>
              <w:rPr>
                <w:rFonts w:eastAsia="Calibri" w:cs="Calibri"/>
                <w:bCs/>
                <w:sz w:val="20"/>
                <w:szCs w:val="26"/>
                <w:lang w:eastAsia="ru-RU"/>
              </w:rPr>
            </w:r>
          </w:p>
        </w:tc>
      </w:tr>
      <w:tr>
        <w:trPr>
          <w:trHeight w:val="20"/>
        </w:trPr>
        <w:tc>
          <w:tcPr>
            <w:shd w:val="clear" w:color="000000" w:fill="ffffff"/>
            <w:tcBorders>
              <w:left w:val="single" w:color="000000" w:sz="4" w:space="0"/>
              <w:bottom w:val="single" w:color="000000" w:sz="4" w:space="0"/>
              <w:right w:val="single" w:color="000000" w:sz="4" w:space="0"/>
            </w:tcBorders>
            <w:tcW w:w="220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№5 д. Ясенки</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20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№5 д. Ясенки</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48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Ясенковская ООШ</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38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40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17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177"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943"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0,0162661</w:t>
            </w:r>
            <w:r>
              <w:rPr>
                <w:rFonts w:eastAsia="Calibri" w:cs="Calibri"/>
                <w:bCs/>
                <w:sz w:val="20"/>
                <w:szCs w:val="26"/>
                <w:lang w:eastAsia="ru-RU"/>
              </w:rPr>
            </w:r>
          </w:p>
        </w:tc>
      </w:tr>
      <w:tr>
        <w:trPr>
          <w:trHeight w:val="20"/>
        </w:trPr>
        <w:tc>
          <w:tcPr>
            <w:shd w:val="clear" w:color="000000" w:fill="ffffff"/>
            <w:tcBorders>
              <w:left w:val="single" w:color="000000" w:sz="4" w:space="0"/>
              <w:bottom w:val="single" w:color="000000" w:sz="4" w:space="0"/>
              <w:right w:val="single" w:color="000000" w:sz="4" w:space="0"/>
            </w:tcBorders>
            <w:tcW w:w="220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№6 п. Первомайский</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20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Котельная №6 п. Первомайский</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48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МБОУ Первомайская СОШ</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382"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70</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175"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2177"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0,04</w:t>
            </w:r>
            <w:r>
              <w:rPr>
                <w:rFonts w:eastAsia="Calibri" w:cs="Calibri"/>
                <w:bCs/>
                <w:sz w:val="20"/>
                <w:szCs w:val="26"/>
                <w:lang w:eastAsia="ru-RU"/>
              </w:rPr>
            </w:r>
          </w:p>
        </w:tc>
        <w:tc>
          <w:tcPr>
            <w:shd w:val="clear" w:color="000000" w:fill="ffffff"/>
            <w:tcBorders>
              <w:bottom w:val="single" w:color="000000" w:sz="4" w:space="0"/>
              <w:right w:val="single" w:color="000000" w:sz="4" w:space="0"/>
            </w:tcBorders>
            <w:tcW w:w="1943" w:type="dxa"/>
            <w:vAlign w:val="center"/>
          </w:tcPr>
          <w:p>
            <w:pPr>
              <w:pStyle w:val="10533"/>
              <w:widowControl w:val="false"/>
              <w:pBdr/>
              <w:spacing/>
              <w:ind/>
              <w:jc w:val="center"/>
              <w:rPr>
                <w:rFonts w:eastAsia="Calibri" w:cs="Calibri"/>
                <w:bCs/>
                <w:sz w:val="20"/>
                <w:szCs w:val="26"/>
                <w:lang w:eastAsia="ru-RU"/>
              </w:rPr>
            </w:pPr>
            <w:r>
              <w:rPr>
                <w:rFonts w:eastAsia="Calibri" w:cs="Calibri"/>
                <w:bCs/>
                <w:sz w:val="20"/>
                <w:szCs w:val="26"/>
                <w:lang w:eastAsia="ru-RU"/>
              </w:rPr>
              <w:t xml:space="preserve">0,0281010</w:t>
            </w:r>
            <w:r>
              <w:rPr>
                <w:rFonts w:eastAsia="Calibri" w:cs="Calibri"/>
                <w:bCs/>
                <w:sz w:val="20"/>
                <w:szCs w:val="26"/>
                <w:lang w:eastAsia="ru-RU"/>
              </w:rPr>
            </w:r>
          </w:p>
        </w:tc>
      </w:tr>
    </w:tbl>
    <w:p>
      <w:pPr>
        <w:pStyle w:val="12960"/>
        <w:pBdr/>
        <w:spacing/>
        <w:ind/>
        <w:rPr>
          <w:rFonts w:eastAsia="Times New Roman"/>
          <w:b/>
          <w:iCs w:val="0"/>
          <w:color w:val="auto"/>
        </w:rPr>
      </w:pPr>
      <w:r>
        <w:rPr>
          <w:rFonts w:eastAsia="Times New Roman"/>
          <w:b/>
          <w:iCs w:val="0"/>
          <w:color w:val="auto"/>
        </w:rPr>
      </w:r>
      <w:r>
        <w:rPr>
          <w:rFonts w:eastAsia="Times New Roman"/>
          <w:b/>
          <w:iCs w:val="0"/>
          <w:color w:val="auto"/>
        </w:rPr>
      </w:r>
    </w:p>
    <w:p>
      <w:pPr>
        <w:pStyle w:val="12960"/>
        <w:pBdr/>
        <w:spacing/>
        <w:ind/>
        <w:rPr>
          <w:rFonts w:eastAsia="Times New Roman"/>
          <w:bCs w:val="0"/>
          <w:iCs w:val="0"/>
          <w:color w:val="auto"/>
        </w:rPr>
        <w:sectPr>
          <w:headerReference w:type="default" r:id="rId180"/>
          <w:headerReference w:type="first" r:id="rId181"/>
          <w:footerReference w:type="default" r:id="rId448"/>
          <w:footerReference w:type="first" r:id="rId449"/>
          <w:footnotePr/>
          <w:endnotePr/>
          <w:type w:val="nextPage"/>
          <w:pgSz w:h="11906" w:orient="landscape" w:w="16838"/>
          <w:pgMar w:top="1701" w:right="1134" w:bottom="851" w:left="1134" w:header="709" w:footer="709" w:gutter="0"/>
          <w:cols w:num="1" w:sep="0" w:space="1701" w:equalWidth="1"/>
        </w:sectPr>
      </w:pPr>
      <w:r>
        <w:rPr>
          <w:rFonts w:eastAsia="Times New Roman"/>
          <w:bCs w:val="0"/>
          <w:iCs w:val="0"/>
          <w:color w:val="auto"/>
        </w:rPr>
      </w:r>
      <w:r>
        <w:rPr>
          <w:rFonts w:eastAsia="Times New Roman"/>
          <w:bCs w:val="0"/>
          <w:iCs w:val="0"/>
          <w:color w:val="auto"/>
        </w:rPr>
      </w:r>
    </w:p>
    <w:p>
      <w:pPr>
        <w:pStyle w:val="10534"/>
        <w:numPr>
          <w:ilvl w:val="0"/>
          <w:numId w:val="170"/>
        </w:numPr>
        <w:pBdr/>
        <w:spacing/>
        <w:ind/>
        <w:rPr>
          <w:rFonts w:ascii="Times New Roman" w:hAnsi="Times New Roman" w:eastAsia="Times New Roman" w:cs="Times New Roman"/>
          <w:b/>
          <w:smallCaps/>
          <w:spacing w:val="0"/>
          <w:sz w:val="28"/>
          <w:szCs w:val="36"/>
          <w:lang w:eastAsia="en-US" w:bidi="en-US"/>
        </w:rPr>
      </w:pPr>
      <w:r/>
      <w:bookmarkStart w:id="1051" w:name="_Toc198483631"/>
      <w:r/>
      <w:bookmarkStart w:id="1052" w:name="_Toc166767291"/>
      <w:r/>
      <w:bookmarkStart w:id="1053" w:name="_Toc84971072"/>
      <w:r/>
      <w:bookmarkStart w:id="1054" w:name="_Toc9154926"/>
      <w:r>
        <w:rPr>
          <w:rFonts w:eastAsia="Times New Roman" w:cs="Times New Roman"/>
          <w:b/>
          <w:smallCaps/>
          <w:spacing w:val="0"/>
          <w:sz w:val="28"/>
          <w:szCs w:val="36"/>
          <w:lang w:eastAsia="en-US" w:bidi="en-US"/>
        </w:rPr>
        <w:t xml:space="preserve">Обоснование результатов оценки коэффициентов готовности теплопроводов к несению тепловой нагрузки</w:t>
      </w:r>
      <w:bookmarkEnd w:id="1051"/>
      <w:r/>
      <w:bookmarkEnd w:id="1052"/>
      <w:r/>
      <w:bookmarkEnd w:id="1053"/>
      <w:r/>
      <w:bookmarkEnd w:id="1054"/>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При условии реализации мероприя</w:t>
      </w:r>
      <w:r>
        <w:t xml:space="preserve">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74.13330.2023 Тепловые сети. Актуализированная редакция СНиП 41-02-2003 норматив - 0,97.</w:t>
      </w:r>
      <w:r/>
    </w:p>
    <w:p>
      <w:pPr>
        <w:pStyle w:val="12960"/>
        <w:pBdr/>
        <w:spacing/>
        <w:ind/>
        <w:rPr/>
      </w:pPr>
      <w:r>
        <w:t xml:space="preserve">Для снижения подачи тепловой энергии на нужды горячего водоснабжения необходимо изменение следующих технологических факторов:</w:t>
      </w:r>
      <w:r/>
    </w:p>
    <w:p>
      <w:pPr>
        <w:pStyle w:val="12960"/>
        <w:pBdr/>
        <w:spacing/>
        <w:ind/>
        <w:rPr/>
      </w:pPr>
      <w:r>
        <w:t xml:space="preserve">- снижение количества систем с централизованным приготовлением горячей воды до минимального технически и экономически оправданного уровня; </w:t>
      </w:r>
      <w:r/>
    </w:p>
    <w:p>
      <w:pPr>
        <w:pStyle w:val="12960"/>
        <w:pBdr/>
        <w:spacing/>
        <w:ind/>
        <w:rPr/>
      </w:pPr>
      <w:r>
        <w:t xml:space="preserve">-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r/>
    </w:p>
    <w:p>
      <w:pPr>
        <w:pStyle w:val="12960"/>
        <w:pBdr/>
        <w:spacing/>
        <w:ind/>
        <w:rPr>
          <w:b/>
          <w:bCs w:val="0"/>
        </w:rPr>
      </w:pPr>
      <w:r>
        <w:rPr>
          <w:b/>
          <w:bCs w:val="0"/>
        </w:rPr>
        <w:t xml:space="preserve">Таблица 11.1.1 – Результаты расчетов коэффициентов готовности </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066"/>
        <w:gridCol w:w="4288"/>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066" w:type="dxa"/>
            <w:vAlign w:val="center"/>
          </w:tcPr>
          <w:p>
            <w:pPr>
              <w:pStyle w:val="12385"/>
              <w:pBdr/>
              <w:spacing/>
              <w:ind/>
              <w:rPr/>
            </w:pPr>
            <w:r>
              <w:t xml:space="preserve">Наименование узла</w:t>
            </w:r>
            <w:r/>
          </w:p>
        </w:tc>
        <w:tc>
          <w:tcPr>
            <w:shd w:val="clear" w:color="auto" w:fill="d9d9d9" w:themeFill="background1" w:themeFillShade="D9"/>
            <w:tcBorders>
              <w:top w:val="single" w:color="000000" w:sz="4" w:space="0"/>
              <w:bottom w:val="single" w:color="000000" w:sz="4" w:space="0"/>
              <w:right w:val="single" w:color="000000" w:sz="4" w:space="0"/>
            </w:tcBorders>
            <w:tcW w:w="4288" w:type="dxa"/>
            <w:vAlign w:val="center"/>
          </w:tcPr>
          <w:p>
            <w:pPr>
              <w:pStyle w:val="12385"/>
              <w:pBdr/>
              <w:spacing/>
              <w:ind/>
              <w:rPr/>
            </w:pPr>
            <w:r>
              <w:t xml:space="preserve">Коэффициент готовности</w:t>
            </w:r>
            <w:r/>
          </w:p>
        </w:tc>
      </w:tr>
      <w:tr>
        <w:trPr>
          <w:trHeight w:val="20"/>
        </w:trPr>
        <w:tc>
          <w:tcPr>
            <w:shd w:val="clear" w:color="000000" w:fill="ffffff"/>
            <w:tcBorders>
              <w:left w:val="single" w:color="000000" w:sz="4" w:space="0"/>
              <w:bottom w:val="single" w:color="000000" w:sz="4" w:space="0"/>
              <w:right w:val="single" w:color="000000" w:sz="4" w:space="0"/>
            </w:tcBorders>
            <w:tcW w:w="5066" w:type="dxa"/>
            <w:vAlign w:val="center"/>
          </w:tcPr>
          <w:p>
            <w:pPr>
              <w:pStyle w:val="12385"/>
              <w:pBdr/>
              <w:spacing/>
              <w:ind/>
              <w:rPr/>
            </w:pPr>
            <w:r>
              <w:t xml:space="preserve">Белоколодезская школа</w:t>
            </w:r>
            <w:r/>
          </w:p>
        </w:tc>
        <w:tc>
          <w:tcPr>
            <w:shd w:val="clear" w:color="000000" w:fill="ffffff"/>
            <w:tcBorders>
              <w:bottom w:val="single" w:color="000000" w:sz="4" w:space="0"/>
              <w:right w:val="single" w:color="000000" w:sz="4" w:space="0"/>
            </w:tcBorders>
            <w:tcW w:w="4288" w:type="dxa"/>
            <w:vAlign w:val="center"/>
          </w:tcPr>
          <w:p>
            <w:pPr>
              <w:pStyle w:val="12385"/>
              <w:pBdr/>
              <w:spacing/>
              <w:ind/>
              <w:rPr/>
            </w:pPr>
            <w:r>
              <w:t xml:space="preserve">0,98</w:t>
            </w:r>
            <w:r/>
          </w:p>
        </w:tc>
      </w:tr>
      <w:tr>
        <w:trPr>
          <w:trHeight w:val="20"/>
        </w:trPr>
        <w:tc>
          <w:tcPr>
            <w:shd w:val="clear" w:color="000000" w:fill="ffffff"/>
            <w:tcBorders>
              <w:left w:val="single" w:color="000000" w:sz="4" w:space="0"/>
              <w:bottom w:val="single" w:color="000000" w:sz="4" w:space="0"/>
              <w:right w:val="single" w:color="000000" w:sz="4" w:space="0"/>
            </w:tcBorders>
            <w:tcW w:w="5066" w:type="dxa"/>
            <w:vAlign w:val="center"/>
          </w:tcPr>
          <w:p>
            <w:pPr>
              <w:pStyle w:val="12385"/>
              <w:pBdr/>
              <w:spacing/>
              <w:ind/>
              <w:rPr/>
            </w:pPr>
            <w:r>
              <w:t xml:space="preserve">Ясенковская ООШ</w:t>
            </w:r>
            <w:r/>
          </w:p>
        </w:tc>
        <w:tc>
          <w:tcPr>
            <w:shd w:val="clear" w:color="000000" w:fill="ffffff"/>
            <w:tcBorders>
              <w:bottom w:val="single" w:color="000000" w:sz="4" w:space="0"/>
              <w:right w:val="single" w:color="000000" w:sz="4" w:space="0"/>
            </w:tcBorders>
            <w:tcW w:w="4288" w:type="dxa"/>
            <w:vAlign w:val="center"/>
          </w:tcPr>
          <w:p>
            <w:pPr>
              <w:pStyle w:val="12385"/>
              <w:pBdr/>
              <w:spacing/>
              <w:ind/>
              <w:rPr/>
            </w:pPr>
            <w:r>
              <w:t xml:space="preserve">0,98</w:t>
            </w:r>
            <w:r/>
          </w:p>
        </w:tc>
      </w:tr>
      <w:tr>
        <w:trPr>
          <w:trHeight w:val="20"/>
        </w:trPr>
        <w:tc>
          <w:tcPr>
            <w:shd w:val="clear" w:color="000000" w:fill="ffffff"/>
            <w:tcBorders>
              <w:left w:val="single" w:color="000000" w:sz="4" w:space="0"/>
              <w:bottom w:val="single" w:color="000000" w:sz="4" w:space="0"/>
              <w:right w:val="single" w:color="000000" w:sz="4" w:space="0"/>
            </w:tcBorders>
            <w:tcW w:w="5066" w:type="dxa"/>
            <w:vAlign w:val="center"/>
          </w:tcPr>
          <w:p>
            <w:pPr>
              <w:pStyle w:val="12385"/>
              <w:pBdr/>
              <w:spacing/>
              <w:ind/>
              <w:rPr/>
            </w:pPr>
            <w:r>
              <w:t xml:space="preserve">МБОУ Первомайская СОШ</w:t>
            </w:r>
            <w:r/>
          </w:p>
        </w:tc>
        <w:tc>
          <w:tcPr>
            <w:shd w:val="clear" w:color="000000" w:fill="ffffff"/>
            <w:tcBorders>
              <w:bottom w:val="single" w:color="000000" w:sz="4" w:space="0"/>
              <w:right w:val="single" w:color="000000" w:sz="4" w:space="0"/>
            </w:tcBorders>
            <w:tcW w:w="4288" w:type="dxa"/>
            <w:vAlign w:val="center"/>
          </w:tcPr>
          <w:p>
            <w:pPr>
              <w:pStyle w:val="12385"/>
              <w:pBdr/>
              <w:spacing/>
              <w:ind/>
              <w:rPr/>
            </w:pPr>
            <w:r>
              <w:t xml:space="preserve">0,97</w:t>
            </w:r>
            <w:r/>
          </w:p>
        </w:tc>
      </w:tr>
    </w:tbl>
    <w:p>
      <w:pPr>
        <w:pStyle w:val="12960"/>
        <w:pBdr/>
        <w:spacing/>
        <w:ind/>
        <w:rPr/>
      </w:pPr>
      <w:r/>
      <w:r/>
    </w:p>
    <w:p>
      <w:pPr>
        <w:pStyle w:val="12960"/>
        <w:pBdr/>
        <w:spacing/>
        <w:ind/>
        <w:rPr/>
      </w:pPr>
      <w:r/>
      <w:r>
        <w:br w:type="page" w:clear="all"/>
      </w:r>
      <w:r/>
    </w:p>
    <w:p>
      <w:pPr>
        <w:pStyle w:val="10534"/>
        <w:numPr>
          <w:ilvl w:val="0"/>
          <w:numId w:val="171"/>
        </w:numPr>
        <w:pBdr/>
        <w:spacing/>
        <w:ind/>
        <w:rPr>
          <w:rFonts w:ascii="Times New Roman" w:hAnsi="Times New Roman" w:eastAsia="Times New Roman" w:cs="Times New Roman"/>
          <w:b/>
          <w:smallCaps/>
          <w:spacing w:val="0"/>
          <w:sz w:val="28"/>
          <w:szCs w:val="36"/>
          <w:lang w:eastAsia="en-US" w:bidi="en-US"/>
        </w:rPr>
      </w:pPr>
      <w:r/>
      <w:bookmarkStart w:id="1055" w:name="_Toc198483632"/>
      <w:r/>
      <w:bookmarkStart w:id="1056" w:name="_Toc166767292"/>
      <w:r/>
      <w:bookmarkStart w:id="1057" w:name="_Toc84971073"/>
      <w:r/>
      <w:bookmarkStart w:id="1058" w:name="_Toc9154927"/>
      <w:r>
        <w:rPr>
          <w:rFonts w:eastAsia="Times New Roman" w:cs="Times New Roman"/>
          <w:b/>
          <w:smallCaps/>
          <w:spacing w:val="0"/>
          <w:sz w:val="28"/>
          <w:szCs w:val="36"/>
          <w:lang w:eastAsia="en-US" w:bidi="en-US"/>
        </w:rPr>
        <w:t xml:space="preserve">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1055"/>
      <w:r/>
      <w:bookmarkEnd w:id="1056"/>
      <w:r/>
      <w:bookmarkEnd w:id="1057"/>
      <w:r/>
      <w:bookmarkEnd w:id="1058"/>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Оценочная величина недоотпуска тепловой энергии на котельной по причине отказов (аварийных ситуаций) и простоев тепловых сетей и источников тепловой энергии составляет не более 220 Гкал/год.</w:t>
      </w:r>
      <w:r/>
    </w:p>
    <w:p>
      <w:pPr>
        <w:pStyle w:val="12960"/>
        <w:pBdr/>
        <w:spacing/>
        <w:ind/>
        <w:rPr/>
      </w:pPr>
      <w:r>
        <w:t xml:space="preserve">Поскольку рассматриваемая тепловая сеть имеет небо</w:t>
      </w:r>
      <w:r>
        <w:t xml:space="preserve">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 Результаты оценки вероятности аварийных ситуа</w:t>
      </w:r>
      <w:r>
        <w:t xml:space="preserve">ций в системах теплоснабжения (потенциальных угроз) Наиболее вероятными причинами возникновения аварийных ситуаций в работе системы теплоснабжения могут послужить: неблагоприятные погодно-климатические явления (ураганы, смерчи, бури, сильные ветры, сильные</w:t>
      </w:r>
      <w:r>
        <w:t xml:space="preserve"> морозы, снегопады и метели, обледенение и гололед); человеческий фактор (неправильные действия персонала); прекращение подачи электрической энергии, холодной воды, топлива на источник тепловой энергии,; внеплановый останов (выход из строя) оборудования на</w:t>
      </w:r>
      <w:r>
        <w:t xml:space="preserve"> объектах системы теплоснабжения. К перечню возможных последствий аварийных ситуаций (ЧС) на тепловых сетях и источниках тепловой энергии относятся: кратковременное нарушение теплоснабжения населения, объектов социальной сферы; полное ограничение режима по</w:t>
      </w:r>
      <w:r>
        <w:t xml:space="preserve">требления тепловой энергии для населения, объектов социальной сферы; причинение вреда третьим лицам; разрушение объектов теплоснабжения (котлов, ТС, котельных); отсутствие теплоснабжения более 24 часов (одни сутки); отсутствие теплоснабжения более 3 суток.</w:t>
      </w:r>
      <w:r>
        <w:br w:type="page" w:clear="all"/>
      </w:r>
      <w:r/>
    </w:p>
    <w:p>
      <w:pPr>
        <w:pStyle w:val="10534"/>
        <w:numPr>
          <w:ilvl w:val="0"/>
          <w:numId w:val="172"/>
        </w:numPr>
        <w:pBdr/>
        <w:spacing/>
        <w:ind/>
        <w:rPr>
          <w:rFonts w:ascii="Times New Roman" w:hAnsi="Times New Roman" w:eastAsia="Times New Roman" w:cs="Times New Roman"/>
          <w:b/>
          <w:smallCaps/>
          <w:spacing w:val="0"/>
          <w:sz w:val="28"/>
          <w:szCs w:val="36"/>
          <w:lang w:eastAsia="en-US" w:bidi="en-US"/>
        </w:rPr>
      </w:pPr>
      <w:r/>
      <w:bookmarkStart w:id="1059" w:name="_Toc166767293"/>
      <w:r/>
      <w:bookmarkStart w:id="1060" w:name="_Toc198483633"/>
      <w:r>
        <w:rPr>
          <w:rFonts w:eastAsia="Times New Roman" w:cs="Times New Roman"/>
          <w:b/>
          <w:smallCaps/>
          <w:spacing w:val="0"/>
          <w:sz w:val="28"/>
          <w:szCs w:val="36"/>
          <w:lang w:eastAsia="en-US" w:bidi="en-US"/>
        </w:rPr>
        <w:t xml:space="preserve">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059"/>
      <w:r/>
      <w:bookmarkEnd w:id="1060"/>
      <w:r/>
      <w:r>
        <w:rPr>
          <w:rFonts w:ascii="Times New Roman" w:hAnsi="Times New Roman" w:eastAsia="Times New Roman" w:cs="Times New Roman"/>
          <w:b/>
          <w:smallCaps/>
          <w:spacing w:val="0"/>
          <w:sz w:val="28"/>
          <w:szCs w:val="36"/>
          <w:lang w:eastAsia="en-US" w:bidi="en-US"/>
        </w:rPr>
      </w:r>
    </w:p>
    <w:p>
      <w:pPr>
        <w:pStyle w:val="12960"/>
        <w:pBdr/>
        <w:spacing/>
        <w:ind/>
        <w:rPr>
          <w:lang w:bidi="en-US"/>
        </w:rPr>
        <w:sectPr>
          <w:headerReference w:type="default" r:id="rId182"/>
          <w:headerReference w:type="first" r:id="rId183"/>
          <w:footerReference w:type="default" r:id="rId450"/>
          <w:footerReference w:type="first" r:id="rId451"/>
          <w:footnotePr/>
          <w:endnotePr/>
          <w:type w:val="nextPage"/>
          <w:pgSz w:h="16838" w:orient="portrait" w:w="11906"/>
          <w:pgMar w:top="1134" w:right="850" w:bottom="1134" w:left="1701" w:header="708" w:footer="708" w:gutter="0"/>
          <w:cols w:num="1" w:sep="0" w:space="1701" w:equalWidth="1"/>
        </w:sectPr>
      </w:pPr>
      <w:r>
        <w:rPr>
          <w:lang w:bidi="en-US"/>
        </w:rPr>
        <w:t xml:space="preserve">Во 2 варианте варианта развития системы централизованного теплоснабжения муниципального образования Астаповское (Глава 5. Мастер-план развития системы теплоснабжения поселения) предусмотрено</w:t>
      </w:r>
      <w:r>
        <w:rPr>
          <w:lang w:bidi="en-US"/>
        </w:rPr>
        <w:t xml:space="preserve"> строительство и перекладка сетей, резервных трубопроводных связей, в тепловых сетях одного района теплоснабжения для возможности аварийного переключения потребителей от одного участка к другому, на случай выхода из строя одного из участков тепловых сетей.</w:t>
      </w:r>
      <w:r>
        <w:rPr>
          <w:lang w:bidi="en-US"/>
        </w:rPr>
      </w:r>
    </w:p>
    <w:p>
      <w:pPr>
        <w:pStyle w:val="10534"/>
        <w:numPr>
          <w:ilvl w:val="0"/>
          <w:numId w:val="173"/>
        </w:numPr>
        <w:pBdr/>
        <w:spacing/>
        <w:ind w:hanging="357" w:left="1066"/>
        <w:rPr>
          <w:spacing w:val="0"/>
        </w:rPr>
      </w:pPr>
      <w:r/>
      <w:bookmarkStart w:id="1061" w:name="_Toc198483634"/>
      <w:r/>
      <w:bookmarkStart w:id="1062" w:name="_Toc166767294"/>
      <w:r>
        <w:rPr>
          <w:spacing w:val="0"/>
        </w:rPr>
        <w:t xml:space="preserve">Установка резервного оборудования</w:t>
      </w:r>
      <w:bookmarkEnd w:id="1061"/>
      <w:r/>
      <w:bookmarkEnd w:id="1062"/>
      <w:r/>
      <w:r>
        <w:rPr>
          <w:spacing w:val="0"/>
        </w:rPr>
      </w:r>
    </w:p>
    <w:p>
      <w:pPr>
        <w:pStyle w:val="12960"/>
        <w:pBdr/>
        <w:spacing/>
        <w:ind/>
        <w:rPr>
          <w:lang w:bidi="en-US"/>
        </w:rPr>
        <w:sectPr>
          <w:headerReference w:type="default" r:id="rId184"/>
          <w:headerReference w:type="first" r:id="rId185"/>
          <w:footerReference w:type="default" r:id="rId452"/>
          <w:footerReference w:type="first" r:id="rId453"/>
          <w:footnotePr/>
          <w:endnotePr/>
          <w:type w:val="nextPage"/>
          <w:pgSz w:h="16838" w:orient="portrait" w:w="11906"/>
          <w:pgMar w:top="1134" w:right="850" w:bottom="1134" w:left="1701" w:header="567" w:footer="454" w:gutter="0"/>
          <w:cols w:num="1" w:sep="0" w:space="1701" w:equalWidth="1"/>
        </w:sectPr>
      </w:pPr>
      <w:r>
        <w:rPr>
          <w:lang w:bidi="en-US"/>
        </w:rPr>
        <w:t xml:space="preserve">В вариантах развития системы централизованного теплоснабжения муниципального образования Астаповское (Глава 5. Мастер-план развития системы теплоснабжения поселения) установки резервного оборудования не предусмотрено.</w:t>
      </w:r>
      <w:r>
        <w:rPr>
          <w:lang w:bidi="en-US"/>
        </w:rPr>
      </w:r>
    </w:p>
    <w:p>
      <w:pPr>
        <w:pStyle w:val="10534"/>
        <w:numPr>
          <w:ilvl w:val="0"/>
          <w:numId w:val="174"/>
        </w:numPr>
        <w:pBdr/>
        <w:spacing/>
        <w:ind/>
        <w:rPr>
          <w:rFonts w:ascii="Times New Roman" w:hAnsi="Times New Roman" w:eastAsia="Times New Roman" w:cs="Times New Roman"/>
          <w:b/>
          <w:smallCaps/>
          <w:spacing w:val="0"/>
          <w:sz w:val="28"/>
          <w:szCs w:val="36"/>
          <w:lang w:eastAsia="en-US" w:bidi="en-US"/>
        </w:rPr>
      </w:pPr>
      <w:r/>
      <w:bookmarkStart w:id="1063" w:name="_Toc198483635"/>
      <w:r/>
      <w:bookmarkStart w:id="1064" w:name="_Toc166767295"/>
      <w:r>
        <w:rPr>
          <w:rFonts w:eastAsia="Times New Roman" w:cs="Times New Roman"/>
          <w:b/>
          <w:smallCaps/>
          <w:spacing w:val="0"/>
          <w:sz w:val="28"/>
          <w:szCs w:val="36"/>
          <w:lang w:eastAsia="en-US" w:bidi="en-US"/>
        </w:rPr>
        <w:t xml:space="preserve">Организация совместной работы нескольких источников тепловой энергии на единую тепловую сеть</w:t>
      </w:r>
      <w:bookmarkEnd w:id="1063"/>
      <w:r/>
      <w:bookmarkEnd w:id="1064"/>
      <w:r/>
      <w:r>
        <w:rPr>
          <w:rFonts w:ascii="Times New Roman" w:hAnsi="Times New Roman" w:eastAsia="Times New Roman" w:cs="Times New Roman"/>
          <w:b/>
          <w:smallCaps/>
          <w:spacing w:val="0"/>
          <w:sz w:val="28"/>
          <w:szCs w:val="36"/>
          <w:lang w:eastAsia="en-US" w:bidi="en-US"/>
        </w:rPr>
      </w:r>
    </w:p>
    <w:p>
      <w:pPr>
        <w:pStyle w:val="12960"/>
        <w:pBdr/>
        <w:spacing/>
        <w:ind/>
        <w:rPr>
          <w:lang w:bidi="en-US"/>
        </w:rPr>
      </w:pPr>
      <w:r>
        <w:rPr>
          <w:lang w:bidi="en-US"/>
        </w:rPr>
        <w:t xml:space="preserve">Совместной работы нескольких источников тепловой энергии на единую тепловую сеть не предусматривается.</w:t>
      </w:r>
      <w:r>
        <w:br w:type="page" w:clear="all"/>
      </w:r>
      <w:r>
        <w:rPr>
          <w:lang w:bidi="en-US"/>
        </w:rPr>
      </w:r>
    </w:p>
    <w:p>
      <w:pPr>
        <w:pStyle w:val="10534"/>
        <w:numPr>
          <w:ilvl w:val="0"/>
          <w:numId w:val="175"/>
        </w:numPr>
        <w:pBdr/>
        <w:spacing/>
        <w:ind/>
        <w:rPr>
          <w:rFonts w:ascii="Times New Roman" w:hAnsi="Times New Roman" w:eastAsia="Times New Roman" w:cs="Times New Roman"/>
          <w:b/>
          <w:smallCaps/>
          <w:spacing w:val="0"/>
          <w:sz w:val="28"/>
          <w:szCs w:val="36"/>
          <w:lang w:eastAsia="en-US" w:bidi="en-US"/>
        </w:rPr>
      </w:pPr>
      <w:r/>
      <w:bookmarkStart w:id="1065" w:name="_Toc198483636"/>
      <w:r/>
      <w:bookmarkStart w:id="1066" w:name="_Toc166767296"/>
      <w:r>
        <w:rPr>
          <w:rFonts w:eastAsia="Times New Roman" w:cs="Times New Roman"/>
          <w:b/>
          <w:smallCaps/>
          <w:spacing w:val="0"/>
          <w:sz w:val="28"/>
          <w:szCs w:val="36"/>
          <w:lang w:eastAsia="en-US" w:bidi="en-US"/>
        </w:rPr>
        <w:t xml:space="preserve">Резервирование тепловых сетей смежных районов посeления, горoдского поселения, горoда федерального значения</w:t>
      </w:r>
      <w:bookmarkEnd w:id="1065"/>
      <w:r/>
      <w:bookmarkEnd w:id="1066"/>
      <w:r/>
      <w:r>
        <w:rPr>
          <w:rFonts w:ascii="Times New Roman" w:hAnsi="Times New Roman" w:eastAsia="Times New Roman" w:cs="Times New Roman"/>
          <w:b/>
          <w:smallCaps/>
          <w:spacing w:val="0"/>
          <w:sz w:val="28"/>
          <w:szCs w:val="36"/>
          <w:lang w:eastAsia="en-US" w:bidi="en-US"/>
        </w:rPr>
      </w:r>
    </w:p>
    <w:p>
      <w:pPr>
        <w:pStyle w:val="10533"/>
        <w:pBdr/>
        <w:spacing w:line="360" w:lineRule="auto"/>
        <w:ind w:firstLine="709"/>
        <w:jc w:val="both"/>
        <w:rPr>
          <w:rFonts w:eastAsia="Calibri"/>
          <w:lang w:eastAsia="en-US"/>
        </w:rPr>
      </w:pPr>
      <w:r>
        <w:rPr>
          <w:rFonts w:eastAsia="Calibri"/>
          <w:lang w:eastAsia="en-US"/>
        </w:rPr>
        <w:t xml:space="preserve">В аварийных ситуациях, с учетом положений, изложен</w:t>
      </w:r>
      <w:r>
        <w:rPr>
          <w:rFonts w:eastAsia="Calibri"/>
          <w:lang w:eastAsia="en-US"/>
        </w:rPr>
        <w:t xml:space="preserve">ных в СП 74.13330.2023, система теплоснабжения и тепловые сети при подземной прокладке в непроходных каналах и бесканальной прокладке должны обеспечивать подачу минимально допустимого количества тепла (таблица 2) при расчетной температуре на отопление =-10</w:t>
      </w:r>
      <w:r>
        <w:rPr>
          <w:rStyle w:val="11000"/>
          <w:vertAlign w:val="superscript"/>
        </w:rPr>
        <w:t xml:space="preserve">о</w:t>
      </w:r>
      <w:r>
        <w:rPr>
          <w:rFonts w:eastAsia="Calibri"/>
          <w:lang w:eastAsia="en-US"/>
        </w:rPr>
        <w:t xml:space="preserve">С и ниже.</w:t>
      </w:r>
      <w:r>
        <w:rPr>
          <w:rFonts w:eastAsia="Calibri"/>
          <w:lang w:eastAsia="en-US"/>
        </w:rPr>
      </w:r>
    </w:p>
    <w:p>
      <w:pPr>
        <w:pStyle w:val="10533"/>
        <w:pBdr/>
        <w:spacing w:line="360" w:lineRule="auto"/>
        <w:ind w:firstLine="709"/>
        <w:jc w:val="both"/>
        <w:rPr>
          <w:rFonts w:eastAsia="Calibri"/>
          <w:lang w:eastAsia="en-US"/>
        </w:rPr>
      </w:pPr>
      <w:r>
        <w:rPr>
          <w:rFonts w:eastAsia="Calibri"/>
          <w:lang w:eastAsia="en-US"/>
        </w:rPr>
        <w:t xml:space="preserve">Период проведения ремонтных работ повышает</w:t>
      </w:r>
      <w:r>
        <w:rPr>
          <w:rFonts w:eastAsia="Calibri"/>
          <w:lang w:eastAsia="en-US"/>
        </w:rPr>
        <w:t xml:space="preserve">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w:t>
      </w:r>
      <w:r>
        <w:rPr>
          <w:rFonts w:eastAsia="Calibri"/>
          <w:lang w:eastAsia="en-US"/>
        </w:rPr>
        <w:t xml:space="preserve">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С другой стороны, вероятность возникновения аварии заметно уменьшается при сн</w:t>
      </w:r>
      <w:r>
        <w:rPr>
          <w:rFonts w:eastAsia="Calibri"/>
          <w:lang w:eastAsia="en-US"/>
        </w:rPr>
        <w:t xml:space="preserve">ижении протяженности и увеличении диаметра и толщины стенок теплопроводов. Исходя из вышеизложенного, в положениях СП 74.13330.2023 (Актуализированная 16 редакция СНиП 41-02-2003) резервирование тепловых сетей принято необязательным для следующих случаев: </w:t>
      </w:r>
      <w:r>
        <w:rPr>
          <w:rFonts w:eastAsia="Calibri"/>
          <w:lang w:eastAsia="en-US"/>
        </w:rPr>
      </w:r>
    </w:p>
    <w:p>
      <w:pPr>
        <w:pStyle w:val="10533"/>
        <w:numPr>
          <w:ilvl w:val="0"/>
          <w:numId w:val="94"/>
        </w:numPr>
        <w:pBdr/>
        <w:spacing w:after="0" w:before="0" w:line="360" w:lineRule="auto"/>
        <w:ind/>
        <w:contextualSpacing w:val="true"/>
        <w:jc w:val="both"/>
        <w:rPr>
          <w:rFonts w:eastAsia="Calibri"/>
          <w:lang w:eastAsia="en-US"/>
        </w:rPr>
      </w:pPr>
      <w:r>
        <w:rPr>
          <w:rFonts w:eastAsia="Calibri"/>
          <w:lang w:eastAsia="en-US"/>
        </w:rPr>
        <w:t xml:space="preserve">при наличии у потребителей местного резервного источника тепла; </w:t>
      </w:r>
      <w:r>
        <w:rPr>
          <w:rFonts w:eastAsia="Calibri"/>
          <w:lang w:eastAsia="en-US"/>
        </w:rPr>
      </w:r>
    </w:p>
    <w:p>
      <w:pPr>
        <w:pStyle w:val="10533"/>
        <w:numPr>
          <w:ilvl w:val="0"/>
          <w:numId w:val="94"/>
        </w:numPr>
        <w:pBdr/>
        <w:spacing w:after="0" w:before="0" w:line="360" w:lineRule="auto"/>
        <w:ind/>
        <w:contextualSpacing w:val="true"/>
        <w:jc w:val="both"/>
        <w:rPr>
          <w:rFonts w:eastAsia="Calibri"/>
          <w:lang w:eastAsia="en-US"/>
        </w:rPr>
      </w:pPr>
      <w:r>
        <w:rPr>
          <w:rFonts w:eastAsia="Calibri"/>
          <w:lang w:eastAsia="en-US"/>
        </w:rPr>
        <w:t xml:space="preserve">для участков надземной прокладки протяженностью менее 5 км (при соответствующем обосновании расстояние может быть увеличено); </w:t>
      </w:r>
      <w:r>
        <w:rPr>
          <w:rFonts w:eastAsia="Calibri"/>
          <w:lang w:eastAsia="en-US"/>
        </w:rPr>
      </w:r>
    </w:p>
    <w:p>
      <w:pPr>
        <w:pStyle w:val="10533"/>
        <w:numPr>
          <w:ilvl w:val="0"/>
          <w:numId w:val="94"/>
        </w:numPr>
        <w:pBdr/>
        <w:spacing w:after="0" w:before="0" w:line="360" w:lineRule="auto"/>
        <w:ind/>
        <w:contextualSpacing w:val="true"/>
        <w:jc w:val="both"/>
        <w:rPr>
          <w:rFonts w:eastAsia="Calibri"/>
          <w:lang w:eastAsia="en-US"/>
        </w:rPr>
      </w:pPr>
      <w:r>
        <w:rPr>
          <w:rFonts w:eastAsia="Calibri"/>
          <w:lang w:eastAsia="en-US"/>
        </w:rPr>
        <w:t xml:space="preserve">для теплопроводов, прокладываемых в тоннелях и проходных каналах; </w:t>
      </w:r>
      <w:r>
        <w:rPr>
          <w:rFonts w:eastAsia="Calibri"/>
          <w:lang w:eastAsia="en-US"/>
        </w:rPr>
      </w:r>
    </w:p>
    <w:p>
      <w:pPr>
        <w:pStyle w:val="10533"/>
        <w:numPr>
          <w:ilvl w:val="0"/>
          <w:numId w:val="94"/>
        </w:numPr>
        <w:pBdr/>
        <w:spacing w:after="0" w:before="0" w:line="360" w:lineRule="auto"/>
        <w:ind/>
        <w:contextualSpacing w:val="true"/>
        <w:jc w:val="both"/>
        <w:rPr>
          <w:rFonts w:eastAsia="Calibri"/>
          <w:lang w:eastAsia="en-US"/>
        </w:rPr>
      </w:pPr>
      <w:r>
        <w:rPr>
          <w:rFonts w:eastAsia="Calibri"/>
          <w:lang w:eastAsia="en-US"/>
        </w:rPr>
        <w:t xml:space="preserve">для тепловых сетей диаметром 250 мм и менее (при отсутствии потребителей 1-й категории). </w:t>
      </w:r>
      <w:r>
        <w:rPr>
          <w:rFonts w:eastAsia="Calibri"/>
          <w:lang w:eastAsia="en-US"/>
        </w:rPr>
      </w:r>
    </w:p>
    <w:p>
      <w:pPr>
        <w:pStyle w:val="10533"/>
        <w:pBdr/>
        <w:spacing w:line="360" w:lineRule="auto"/>
        <w:ind w:firstLine="709"/>
        <w:jc w:val="both"/>
        <w:rPr>
          <w:rFonts w:eastAsia="Calibri"/>
          <w:lang w:eastAsia="en-US"/>
        </w:rPr>
      </w:pPr>
      <w:r>
        <w:rPr>
          <w:rFonts w:eastAsia="Calibri"/>
          <w:lang w:eastAsia="en-US"/>
        </w:rPr>
        <w:t xml:space="preserve">При этом для потребителей 1-й категории в зав</w:t>
      </w:r>
      <w:r>
        <w:rPr>
          <w:rFonts w:eastAsia="Calibri"/>
          <w:lang w:eastAsia="en-US"/>
        </w:rPr>
        <w:t xml:space="preserve">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w:t>
      </w:r>
      <w:r>
        <w:rPr>
          <w:rFonts w:eastAsia="Calibri"/>
          <w:lang w:eastAsia="en-US"/>
        </w:rPr>
        <w:t xml:space="preserve">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w:t>
      </w:r>
      <w:r>
        <w:rPr>
          <w:rFonts w:eastAsia="Calibri"/>
          <w:lang w:eastAsia="en-US"/>
        </w:rPr>
        <w:t xml:space="preserve">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r>
        <w:rPr>
          <w:rFonts w:eastAsia="Calibri"/>
          <w:lang w:eastAsia="en-US"/>
        </w:rPr>
      </w:r>
    </w:p>
    <w:p>
      <w:pPr>
        <w:pStyle w:val="10533"/>
        <w:pBdr/>
        <w:spacing w:line="360" w:lineRule="auto"/>
        <w:ind w:firstLine="709"/>
        <w:jc w:val="both"/>
        <w:rPr>
          <w:rFonts w:eastAsia="Calibri"/>
          <w:lang w:eastAsia="en-US"/>
        </w:rPr>
      </w:pPr>
      <w:r>
        <w:rPr>
          <w:rFonts w:eastAsia="Calibri"/>
          <w:lang w:eastAsia="en-US"/>
        </w:rPr>
        <w:t xml:space="preserve">Основными мероприятиями по резервированию и повышению надежности тепловых сетей является применение следующих технических решений: </w:t>
      </w:r>
      <w:r>
        <w:rPr>
          <w:rFonts w:eastAsia="Calibri"/>
          <w:lang w:eastAsia="en-US"/>
        </w:rPr>
      </w:r>
    </w:p>
    <w:p>
      <w:pPr>
        <w:pStyle w:val="10533"/>
        <w:widowControl w:val="true"/>
        <w:numPr>
          <w:ilvl w:val="0"/>
          <w:numId w:val="95"/>
        </w:numPr>
        <w:pBdr/>
        <w:bidi w:val="false"/>
        <w:spacing w:after="0" w:before="0" w:line="360" w:lineRule="auto"/>
        <w:ind w:right="0" w:firstLine="567" w:left="0"/>
        <w:contextualSpacing w:val="true"/>
        <w:jc w:val="both"/>
        <w:rPr>
          <w:rFonts w:eastAsia="Calibri"/>
          <w:lang w:eastAsia="en-US"/>
        </w:rPr>
      </w:pPr>
      <w:r>
        <w:rPr>
          <w:rFonts w:eastAsia="Calibri"/>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r>
        <w:rPr>
          <w:rFonts w:eastAsia="Calibri"/>
          <w:lang w:eastAsia="en-US"/>
        </w:rPr>
      </w:r>
    </w:p>
    <w:p>
      <w:pPr>
        <w:pStyle w:val="10533"/>
        <w:widowControl w:val="true"/>
        <w:numPr>
          <w:ilvl w:val="0"/>
          <w:numId w:val="95"/>
        </w:numPr>
        <w:pBdr/>
        <w:bidi w:val="false"/>
        <w:spacing w:after="0" w:before="0" w:line="360" w:lineRule="auto"/>
        <w:ind w:right="0" w:firstLine="567" w:left="0"/>
        <w:contextualSpacing w:val="true"/>
        <w:jc w:val="both"/>
        <w:rPr>
          <w:rFonts w:eastAsia="Calibri"/>
          <w:lang w:eastAsia="en-US"/>
        </w:rPr>
      </w:pPr>
      <w:r>
        <w:rPr>
          <w:rFonts w:eastAsia="Calibri"/>
          <w:lang w:eastAsia="en-US"/>
        </w:rPr>
        <w:t xml:space="preserve">прокладка резервных перемычек между тепловыми сетями двух и более источников тепла (закольцовка тепловых районов); </w:t>
      </w:r>
      <w:r>
        <w:rPr>
          <w:rFonts w:eastAsia="Calibri"/>
          <w:lang w:eastAsia="en-US"/>
        </w:rPr>
      </w:r>
    </w:p>
    <w:p>
      <w:pPr>
        <w:pStyle w:val="10533"/>
        <w:widowControl w:val="true"/>
        <w:numPr>
          <w:ilvl w:val="0"/>
          <w:numId w:val="95"/>
        </w:numPr>
        <w:pBdr/>
        <w:bidi w:val="false"/>
        <w:spacing w:after="0" w:before="0" w:line="360" w:lineRule="auto"/>
        <w:ind w:right="0" w:firstLine="567" w:left="0"/>
        <w:contextualSpacing w:val="true"/>
        <w:jc w:val="both"/>
        <w:rPr>
          <w:rFonts w:eastAsia="Calibri"/>
          <w:lang w:eastAsia="en-US"/>
        </w:rPr>
      </w:pPr>
      <w:r>
        <w:rPr>
          <w:rFonts w:eastAsia="Calibri"/>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r>
        <w:rPr>
          <w:rFonts w:eastAsia="Calibri"/>
          <w:lang w:eastAsia="en-US"/>
        </w:rPr>
      </w:r>
    </w:p>
    <w:p>
      <w:pPr>
        <w:pStyle w:val="10533"/>
        <w:numPr>
          <w:ilvl w:val="0"/>
          <w:numId w:val="95"/>
        </w:numPr>
        <w:pBdr/>
        <w:spacing w:after="0" w:before="0" w:line="360" w:lineRule="auto"/>
        <w:ind/>
        <w:contextualSpacing w:val="true"/>
        <w:jc w:val="both"/>
        <w:rPr>
          <w:rFonts w:eastAsia="Calibri"/>
          <w:lang w:eastAsia="en-US"/>
        </w:rPr>
      </w:pPr>
      <w:r>
        <w:rPr>
          <w:rFonts w:eastAsia="Calibri"/>
          <w:lang w:eastAsia="en-US"/>
        </w:rPr>
        <w:t xml:space="preserve">прокладка до абонентов двух резервных теплопроводов; </w:t>
      </w:r>
      <w:r>
        <w:rPr>
          <w:rFonts w:eastAsia="Calibri"/>
          <w:lang w:eastAsia="en-US"/>
        </w:rPr>
      </w:r>
    </w:p>
    <w:p>
      <w:pPr>
        <w:pStyle w:val="10533"/>
        <w:numPr>
          <w:ilvl w:val="0"/>
          <w:numId w:val="95"/>
        </w:numPr>
        <w:pBdr/>
        <w:spacing w:after="0" w:before="0" w:line="360" w:lineRule="auto"/>
        <w:ind/>
        <w:contextualSpacing w:val="true"/>
        <w:jc w:val="both"/>
        <w:rPr>
          <w:rFonts w:eastAsia="Calibri"/>
          <w:lang w:eastAsia="en-US"/>
        </w:rPr>
      </w:pPr>
      <w:r>
        <w:rPr>
          <w:rFonts w:eastAsia="Calibri"/>
          <w:lang w:eastAsia="en-US"/>
        </w:rPr>
        <w:t xml:space="preserve">прокладка до абонентов реверсивного (третьего) теплопровода; </w:t>
      </w:r>
      <w:r>
        <w:rPr>
          <w:rFonts w:eastAsia="Calibri"/>
          <w:lang w:eastAsia="en-US"/>
        </w:rPr>
      </w:r>
    </w:p>
    <w:p>
      <w:pPr>
        <w:pStyle w:val="10533"/>
        <w:numPr>
          <w:ilvl w:val="0"/>
          <w:numId w:val="95"/>
        </w:numPr>
        <w:pBdr/>
        <w:spacing w:after="0" w:before="0" w:line="360" w:lineRule="auto"/>
        <w:ind/>
        <w:contextualSpacing w:val="true"/>
        <w:jc w:val="both"/>
        <w:rPr>
          <w:rFonts w:eastAsia="Calibri"/>
          <w:lang w:eastAsia="en-US"/>
        </w:rPr>
      </w:pPr>
      <w:r>
        <w:rPr>
          <w:rFonts w:eastAsia="Calibri"/>
          <w:lang w:eastAsia="en-US"/>
        </w:rPr>
        <w:t xml:space="preserve">уменьшение протяженности участка между секционирующими задвижками; </w:t>
      </w:r>
      <w:r>
        <w:rPr>
          <w:rFonts w:eastAsia="Calibri"/>
          <w:lang w:eastAsia="en-US"/>
        </w:rPr>
      </w:r>
    </w:p>
    <w:p>
      <w:pPr>
        <w:pStyle w:val="10533"/>
        <w:widowControl w:val="true"/>
        <w:numPr>
          <w:ilvl w:val="0"/>
          <w:numId w:val="95"/>
        </w:numPr>
        <w:pBdr/>
        <w:bidi w:val="false"/>
        <w:spacing w:after="0" w:before="0" w:line="360" w:lineRule="auto"/>
        <w:ind w:right="0" w:firstLine="567" w:left="0"/>
        <w:contextualSpacing w:val="true"/>
        <w:jc w:val="both"/>
        <w:rPr>
          <w:rFonts w:eastAsia="Calibri"/>
          <w:lang w:eastAsia="en-US"/>
        </w:rPr>
      </w:pPr>
      <w:r>
        <w:rPr>
          <w:rFonts w:eastAsia="Calibri"/>
          <w:lang w:eastAsia="en-US"/>
        </w:rPr>
        <w:t xml:space="preserve">монтаж секционирующих задвижек по ходу потока сетевой воды после врезки ответвлений; </w:t>
      </w:r>
      <w:r>
        <w:rPr>
          <w:rFonts w:eastAsia="Calibri"/>
          <w:lang w:eastAsia="en-US"/>
        </w:rPr>
      </w:r>
    </w:p>
    <w:p>
      <w:pPr>
        <w:pStyle w:val="10533"/>
        <w:widowControl w:val="true"/>
        <w:numPr>
          <w:ilvl w:val="0"/>
          <w:numId w:val="95"/>
        </w:numPr>
        <w:pBdr/>
        <w:bidi w:val="false"/>
        <w:spacing w:after="0" w:before="0" w:line="360" w:lineRule="auto"/>
        <w:ind w:right="0" w:firstLine="567" w:left="0"/>
        <w:contextualSpacing w:val="true"/>
        <w:jc w:val="both"/>
        <w:rPr>
          <w:rFonts w:eastAsia="Calibri"/>
          <w:lang w:eastAsia="en-US"/>
        </w:rPr>
      </w:pPr>
      <w:r>
        <w:rPr>
          <w:rFonts w:eastAsia="Calibri"/>
          <w:lang w:eastAsia="en-US"/>
        </w:rPr>
        <w:t xml:space="preserve">обеспечение минимальной циркуляции сетевой воды в аварийных перемычках; </w:t>
      </w:r>
      <w:r>
        <w:rPr>
          <w:rFonts w:eastAsia="Calibri"/>
          <w:lang w:eastAsia="en-US"/>
        </w:rPr>
      </w:r>
    </w:p>
    <w:p>
      <w:pPr>
        <w:pStyle w:val="10533"/>
        <w:widowControl w:val="true"/>
        <w:numPr>
          <w:ilvl w:val="0"/>
          <w:numId w:val="95"/>
        </w:numPr>
        <w:pBdr/>
        <w:bidi w:val="false"/>
        <w:spacing w:after="0" w:before="0" w:line="360" w:lineRule="auto"/>
        <w:ind w:right="0" w:firstLine="567" w:left="0"/>
        <w:contextualSpacing w:val="true"/>
        <w:jc w:val="both"/>
        <w:rPr>
          <w:rFonts w:eastAsia="Calibri"/>
          <w:lang w:eastAsia="en-US"/>
        </w:rPr>
      </w:pPr>
      <w:r>
        <w:rPr>
          <w:rFonts w:eastAsia="Calibri"/>
          <w:lang w:eastAsia="en-US"/>
        </w:rPr>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r>
        <w:rPr>
          <w:rFonts w:eastAsia="Calibri"/>
          <w:lang w:eastAsia="en-US"/>
        </w:rPr>
      </w:r>
    </w:p>
    <w:p>
      <w:pPr>
        <w:pStyle w:val="10533"/>
        <w:pBdr/>
        <w:spacing w:line="360" w:lineRule="auto"/>
        <w:ind w:firstLine="709"/>
        <w:jc w:val="both"/>
        <w:rPr>
          <w:rFonts w:eastAsia="Calibri"/>
          <w:lang w:eastAsia="en-US"/>
        </w:rPr>
      </w:pPr>
      <w:r>
        <w:rPr>
          <w:rFonts w:eastAsia="Calibri"/>
          <w:lang w:eastAsia="en-US"/>
        </w:rPr>
        <w:t xml:space="preserve">Прокладка резервных перемычек и дополнительных теплопроводов позволяет отключать аварийные участки без прекращения подачи </w:t>
      </w:r>
      <w:r>
        <w:rPr>
          <w:rFonts w:eastAsia="Calibri"/>
          <w:lang w:eastAsia="en-US"/>
        </w:rPr>
        <w:t xml:space="preserve">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w:t>
      </w:r>
      <w:r>
        <w:rPr>
          <w:rFonts w:eastAsia="Calibri"/>
          <w:lang w:eastAsia="en-US"/>
        </w:rPr>
        <w:t xml:space="preserve">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w:t>
      </w:r>
      <w:r>
        <w:rPr>
          <w:rFonts w:eastAsia="Calibri"/>
          <w:lang w:eastAsia="en-US"/>
        </w:rPr>
        <w:t xml:space="preserve">плопроводов 2Ду600 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r>
        <w:rPr>
          <w:rFonts w:eastAsia="Calibri"/>
          <w:lang w:eastAsia="en-US"/>
        </w:rPr>
      </w:r>
    </w:p>
    <w:p>
      <w:pPr>
        <w:pStyle w:val="10533"/>
        <w:numPr>
          <w:ilvl w:val="0"/>
          <w:numId w:val="93"/>
        </w:numPr>
        <w:pBdr/>
        <w:spacing w:after="0" w:before="0" w:line="360" w:lineRule="auto"/>
        <w:ind/>
        <w:contextualSpacing w:val="true"/>
        <w:jc w:val="both"/>
        <w:rPr>
          <w:rFonts w:eastAsia="Calibri"/>
          <w:lang w:eastAsia="en-US"/>
        </w:rPr>
      </w:pPr>
      <w:r>
        <w:rPr>
          <w:rFonts w:eastAsia="Calibri"/>
          <w:lang w:eastAsia="en-US"/>
        </w:rPr>
        <w:t xml:space="preserve">для теплопроводов 2Ду1400-1000 мм - до 400 м; </w:t>
      </w:r>
      <w:r>
        <w:rPr>
          <w:rFonts w:eastAsia="Calibri"/>
          <w:lang w:eastAsia="en-US"/>
        </w:rPr>
      </w:r>
    </w:p>
    <w:p>
      <w:pPr>
        <w:pStyle w:val="10533"/>
        <w:numPr>
          <w:ilvl w:val="0"/>
          <w:numId w:val="93"/>
        </w:numPr>
        <w:pBdr/>
        <w:spacing w:after="0" w:before="0" w:line="360" w:lineRule="auto"/>
        <w:ind/>
        <w:contextualSpacing w:val="true"/>
        <w:jc w:val="both"/>
        <w:rPr>
          <w:rFonts w:eastAsia="Calibri"/>
          <w:lang w:eastAsia="en-US"/>
        </w:rPr>
      </w:pPr>
      <w:r>
        <w:rPr>
          <w:rFonts w:eastAsia="Calibri"/>
          <w:lang w:eastAsia="en-US"/>
        </w:rPr>
        <w:t xml:space="preserve">для теплопроводов 2Ду900-800 мм - до 350 м; </w:t>
      </w:r>
      <w:r>
        <w:rPr>
          <w:rFonts w:eastAsia="Calibri"/>
          <w:lang w:eastAsia="en-US"/>
        </w:rPr>
      </w:r>
    </w:p>
    <w:p>
      <w:pPr>
        <w:pStyle w:val="10533"/>
        <w:numPr>
          <w:ilvl w:val="0"/>
          <w:numId w:val="93"/>
        </w:numPr>
        <w:pBdr/>
        <w:spacing w:after="0" w:before="0" w:line="360" w:lineRule="auto"/>
        <w:ind/>
        <w:contextualSpacing w:val="true"/>
        <w:jc w:val="both"/>
        <w:rPr>
          <w:rFonts w:eastAsia="Calibri"/>
          <w:lang w:eastAsia="en-US"/>
        </w:rPr>
      </w:pPr>
      <w:r>
        <w:rPr>
          <w:rFonts w:eastAsia="Calibri"/>
          <w:lang w:eastAsia="en-US"/>
        </w:rPr>
        <w:t xml:space="preserve">для теплопроводов 2Ду600-700 мм - до 300 м; </w:t>
      </w:r>
      <w:r>
        <w:rPr>
          <w:rFonts w:eastAsia="Calibri"/>
          <w:lang w:eastAsia="en-US"/>
        </w:rPr>
      </w:r>
    </w:p>
    <w:p>
      <w:pPr>
        <w:pStyle w:val="10533"/>
        <w:numPr>
          <w:ilvl w:val="0"/>
          <w:numId w:val="93"/>
        </w:numPr>
        <w:pBdr/>
        <w:spacing w:after="0" w:before="0" w:line="360" w:lineRule="auto"/>
        <w:ind/>
        <w:contextualSpacing w:val="true"/>
        <w:jc w:val="both"/>
        <w:rPr>
          <w:rFonts w:eastAsia="Calibri"/>
          <w:lang w:eastAsia="en-US"/>
        </w:rPr>
      </w:pPr>
      <w:r>
        <w:rPr>
          <w:rFonts w:eastAsia="Calibri"/>
          <w:lang w:eastAsia="en-US"/>
        </w:rPr>
        <w:t xml:space="preserve">для теплопроводов 2Ду500 мм и менее - до 250 м. </w:t>
      </w:r>
      <w:r>
        <w:rPr>
          <w:rFonts w:eastAsia="Calibri"/>
          <w:lang w:eastAsia="en-US"/>
        </w:rPr>
      </w:r>
    </w:p>
    <w:p>
      <w:pPr>
        <w:pStyle w:val="10533"/>
        <w:pBdr/>
        <w:spacing w:line="360" w:lineRule="auto"/>
        <w:ind w:firstLine="709"/>
        <w:jc w:val="both"/>
        <w:rPr>
          <w:rFonts w:eastAsia="Calibri"/>
          <w:lang w:eastAsia="en-US"/>
        </w:rPr>
      </w:pPr>
      <w:r>
        <w:rPr>
          <w:rFonts w:eastAsia="Calibri"/>
          <w:lang w:eastAsia="en-US"/>
        </w:rPr>
        <w:t xml:space="preserve">При этом в закольцованных тепловых сетях ответвления, присоединенные </w:t>
      </w:r>
      <w:r>
        <w:rPr>
          <w:rFonts w:eastAsia="Calibri"/>
          <w:lang w:eastAsia="en-US"/>
        </w:rPr>
        <w:t xml:space="preserve">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w:t>
      </w:r>
      <w:r>
        <w:rPr>
          <w:rFonts w:eastAsia="Calibri"/>
          <w:lang w:eastAsia="en-US"/>
        </w:rPr>
        <w:t xml:space="preserve">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w:t>
      </w:r>
      <w:r>
        <w:rPr>
          <w:rFonts w:eastAsia="Calibri"/>
          <w:lang w:eastAsia="en-US"/>
        </w:rPr>
        <w:t xml:space="preserve">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w:t>
      </w:r>
      <w:r>
        <w:rPr>
          <w:rFonts w:eastAsia="Calibri"/>
          <w:lang w:eastAsia="en-US"/>
        </w:rPr>
        <w:t xml:space="preserve">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w:t>
      </w:r>
      <w:r>
        <w:rPr>
          <w:rFonts w:eastAsia="Calibri"/>
          <w:lang w:eastAsia="en-US"/>
        </w:rPr>
        <w:t xml:space="preserve">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w:t>
      </w:r>
      <w:r>
        <w:rPr>
          <w:rFonts w:eastAsia="Calibri"/>
          <w:lang w:eastAsia="en-US"/>
        </w:rPr>
        <w:t xml:space="preserve">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w:t>
      </w:r>
      <w:r>
        <w:rPr>
          <w:rFonts w:eastAsia="Calibri"/>
          <w:lang w:eastAsia="en-US"/>
        </w:rPr>
        <w:t xml:space="preserve">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r>
        <w:rPr>
          <w:rFonts w:eastAsia="Calibri"/>
          <w:lang w:eastAsia="en-US"/>
        </w:rPr>
      </w:r>
    </w:p>
    <w:p>
      <w:pPr>
        <w:pStyle w:val="10533"/>
        <w:pBdr/>
        <w:spacing w:line="360" w:lineRule="auto"/>
        <w:ind w:firstLine="709"/>
        <w:jc w:val="both"/>
        <w:rPr>
          <w:rFonts w:eastAsia="Calibri"/>
          <w:lang w:eastAsia="en-US"/>
        </w:rPr>
      </w:pPr>
      <w:r>
        <w:rPr>
          <w:rFonts w:eastAsia="Calibri"/>
          <w:lang w:eastAsia="en-US"/>
        </w:rPr>
        <w:t xml:space="preserve">1) использовать сложившуюся схему тепловых сетей при отсутствии необходимости увеличения диаметров существующих тепломагистралей; </w:t>
      </w:r>
      <w:r>
        <w:rPr>
          <w:rFonts w:eastAsia="Calibri"/>
          <w:lang w:eastAsia="en-US"/>
        </w:rPr>
      </w:r>
    </w:p>
    <w:p>
      <w:pPr>
        <w:pStyle w:val="12960"/>
        <w:pBdr/>
        <w:spacing/>
        <w:ind/>
        <w:rPr>
          <w:bCs w:val="0"/>
          <w:iCs w:val="0"/>
          <w:color w:val="auto"/>
        </w:rPr>
        <w:sectPr>
          <w:headerReference w:type="default" r:id="rId186"/>
          <w:headerReference w:type="first" r:id="rId187"/>
          <w:footerReference w:type="default" r:id="rId454"/>
          <w:footerReference w:type="first" r:id="rId455"/>
          <w:footnotePr/>
          <w:endnotePr/>
          <w:type w:val="nextPage"/>
          <w:pgSz w:h="16838" w:orient="portrait" w:w="11906"/>
          <w:pgMar w:top="1134" w:right="850" w:bottom="1134" w:left="1701" w:header="708" w:footer="708" w:gutter="0"/>
          <w:cols w:num="1" w:sep="0" w:space="1701" w:equalWidth="1"/>
        </w:sectPr>
      </w:pPr>
      <w:r>
        <w:rPr>
          <w:bCs w:val="0"/>
          <w:iCs w:val="0"/>
          <w:color w:val="auto"/>
        </w:rPr>
        <w:t xml:space="preserve">2) 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r>
        <w:rPr>
          <w:bCs w:val="0"/>
          <w:iCs w:val="0"/>
          <w:color w:val="auto"/>
        </w:rPr>
      </w:r>
    </w:p>
    <w:p>
      <w:pPr>
        <w:pStyle w:val="10534"/>
        <w:numPr>
          <w:ilvl w:val="0"/>
          <w:numId w:val="176"/>
        </w:numPr>
        <w:pBdr/>
        <w:spacing/>
        <w:ind w:hanging="357" w:left="1066"/>
        <w:rPr>
          <w:spacing w:val="0"/>
        </w:rPr>
      </w:pPr>
      <w:r/>
      <w:bookmarkStart w:id="1067" w:name="_Toc198483637"/>
      <w:r/>
      <w:bookmarkStart w:id="1068" w:name="_Toc166767297"/>
      <w:r>
        <w:rPr>
          <w:spacing w:val="0"/>
        </w:rPr>
        <w:t xml:space="preserve"> </w:t>
      </w:r>
      <w:r>
        <w:rPr>
          <w:spacing w:val="0"/>
        </w:rPr>
        <w:t xml:space="preserve">Устройство резервных насосных станций</w:t>
      </w:r>
      <w:bookmarkEnd w:id="1067"/>
      <w:r/>
      <w:bookmarkEnd w:id="1068"/>
      <w:r/>
      <w:r>
        <w:rPr>
          <w:spacing w:val="0"/>
        </w:rPr>
      </w:r>
    </w:p>
    <w:p>
      <w:pPr>
        <w:pStyle w:val="12960"/>
        <w:pBdr/>
        <w:spacing/>
        <w:ind/>
        <w:rPr>
          <w:lang w:bidi="en-US"/>
        </w:rPr>
        <w:sectPr>
          <w:headerReference w:type="default" r:id="rId188"/>
          <w:headerReference w:type="first" r:id="rId189"/>
          <w:footerReference w:type="default" r:id="rId456"/>
          <w:footerReference w:type="first" r:id="rId457"/>
          <w:footnotePr/>
          <w:endnotePr/>
          <w:type w:val="nextPage"/>
          <w:pgSz w:h="16838" w:orient="portrait" w:w="11906"/>
          <w:pgMar w:top="1134" w:right="850" w:bottom="1134" w:left="1701" w:header="567" w:footer="454" w:gutter="0"/>
          <w:cols w:num="1" w:sep="0" w:space="1701" w:equalWidth="1"/>
        </w:sectPr>
      </w:pPr>
      <w:r>
        <w:rPr>
          <w:lang w:bidi="en-US"/>
        </w:rPr>
        <w:t xml:space="preserve">Устройство резервных насосных станций не требуется.</w:t>
      </w:r>
      <w:r>
        <w:rPr>
          <w:lang w:bidi="en-US"/>
        </w:rPr>
      </w:r>
    </w:p>
    <w:p>
      <w:pPr>
        <w:pStyle w:val="10534"/>
        <w:widowControl w:val="true"/>
        <w:numPr>
          <w:ilvl w:val="0"/>
          <w:numId w:val="177"/>
        </w:numPr>
        <w:pBdr/>
        <w:bidi w:val="false"/>
        <w:spacing w:after="240" w:before="120" w:line="276" w:lineRule="auto"/>
        <w:ind w:right="0" w:hanging="340" w:left="397"/>
        <w:contextualSpacing w:val="true"/>
        <w:jc w:val="center"/>
        <w:rPr>
          <w:spacing w:val="0"/>
        </w:rPr>
      </w:pPr>
      <w:r/>
      <w:bookmarkStart w:id="1069" w:name="_Toc198483638"/>
      <w:r/>
      <w:bookmarkStart w:id="1070" w:name="_Toc166767298"/>
      <w:r>
        <w:rPr>
          <w:spacing w:val="0"/>
        </w:rPr>
        <w:t xml:space="preserve"> </w:t>
      </w:r>
      <w:r>
        <w:rPr>
          <w:rFonts w:eastAsia="Times New Roman" w:cs="Times New Roman"/>
          <w:b/>
          <w:smallCaps/>
          <w:spacing w:val="0"/>
          <w:sz w:val="28"/>
          <w:szCs w:val="36"/>
          <w:lang w:eastAsia="en-US" w:bidi="en-US"/>
        </w:rPr>
        <w:t xml:space="preserve">Установка баков-аккумуляторов.</w:t>
      </w:r>
      <w:bookmarkEnd w:id="1069"/>
      <w:r/>
      <w:bookmarkEnd w:id="1070"/>
      <w:r/>
      <w:r>
        <w:rPr>
          <w:spacing w:val="0"/>
        </w:rPr>
      </w:r>
    </w:p>
    <w:p>
      <w:pPr>
        <w:pStyle w:val="12960"/>
        <w:pBdr/>
        <w:spacing/>
        <w:ind/>
        <w:rPr>
          <w:lang w:bidi="en-US"/>
        </w:rPr>
      </w:pPr>
      <w:r>
        <w:rPr>
          <w:lang w:bidi="en-US"/>
        </w:rPr>
        <w:t xml:space="preserve">Установка баков-аккумуляторов не требуется.</w:t>
      </w:r>
      <w:r>
        <w:rPr>
          <w:lang w:bidi="en-US"/>
        </w:rPr>
      </w:r>
    </w:p>
    <w:p>
      <w:pPr>
        <w:pStyle w:val="10533"/>
        <w:pBdr/>
        <w:spacing w:line="360" w:lineRule="auto"/>
        <w:ind w:firstLine="709"/>
        <w:jc w:val="both"/>
        <w:rPr>
          <w:rFonts w:eastAsia="Calibri"/>
          <w:lang w:eastAsia="en-US"/>
        </w:rPr>
      </w:pPr>
      <w:r>
        <w:rPr>
          <w:rFonts w:eastAsia="Calibri"/>
          <w:lang w:eastAsia="en-US"/>
        </w:rPr>
        <w:t xml:space="preserve">Повышению надежности функционирования систем теплоснабжения в определенной мере способствует применение тепло гидроаккумулирующих установок, наличие которых позволяет оптимизировать тепловые и гидравлические режимы тепловых сетей, а также использовать акк</w:t>
      </w:r>
      <w:r>
        <w:rPr>
          <w:rFonts w:eastAsia="Calibri"/>
          <w:lang w:eastAsia="en-US"/>
        </w:rPr>
        <w:t xml:space="preserve">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w:t>
      </w:r>
      <w:r>
        <w:rPr>
          <w:rFonts w:eastAsia="Calibri"/>
          <w:lang w:val="en-US" w:eastAsia="en-US"/>
        </w:rPr>
        <w:t xml:space="preserve">o</w:t>
      </w:r>
      <w:r>
        <w:rPr>
          <w:rFonts w:eastAsia="Calibri"/>
          <w:lang w:eastAsia="en-US"/>
        </w:rPr>
        <w:t xml:space="preserve">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w:t>
      </w:r>
      <w:r>
        <w:rPr>
          <w:rFonts w:eastAsia="Calibri"/>
          <w:lang w:eastAsia="en-US"/>
        </w:rPr>
        <w:t xml:space="preserve">ывания зданий при авариях. 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w:t>
      </w:r>
      <w:r>
        <w:rPr>
          <w:rFonts w:eastAsia="Calibri"/>
          <w:lang w:eastAsia="en-US"/>
        </w:rPr>
        <w:t xml:space="preserve">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Для открытых систем теплоснабжения, а также при отдельных тепловых сетях на горячее водоснабжение </w:t>
      </w:r>
      <w:r>
        <w:rPr>
          <w:rFonts w:eastAsia="Calibri"/>
          <w:lang w:eastAsia="en-US"/>
        </w:rPr>
        <w:t xml:space="preserve">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В закрытых системах теплоснабжения на источниках теплот</w:t>
      </w:r>
      <w:r>
        <w:rPr>
          <w:rFonts w:eastAsia="Calibri"/>
          <w:lang w:eastAsia="en-US"/>
        </w:rPr>
        <w:t xml:space="preserve">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Число баков независимо от </w:t>
      </w:r>
      <w:r>
        <w:rPr>
          <w:rFonts w:eastAsia="Calibri"/>
          <w:lang w:eastAsia="en-US"/>
        </w:rPr>
        <w:t xml:space="preserve">системы теплоснабжения принимается не менее двух по 50 % рабочего объема. 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w:t>
      </w:r>
      <w:r>
        <w:rPr>
          <w:rFonts w:eastAsia="Calibri"/>
          <w:lang w:eastAsia="en-US"/>
        </w:rPr>
      </w:r>
    </w:p>
    <w:p>
      <w:pPr>
        <w:pStyle w:val="10533"/>
        <w:pBdr/>
        <w:spacing w:line="360" w:lineRule="auto"/>
        <w:ind w:firstLine="709"/>
        <w:jc w:val="both"/>
        <w:rPr/>
      </w:pPr>
      <w:r/>
      <w:r>
        <w:br w:type="page" w:clear="all"/>
      </w:r>
      <w:r/>
    </w:p>
    <w:p>
      <w:pPr>
        <w:pStyle w:val="10534"/>
        <w:widowControl w:val="true"/>
        <w:numPr>
          <w:ilvl w:val="0"/>
          <w:numId w:val="178"/>
        </w:numPr>
        <w:pBdr/>
        <w:bidi w:val="false"/>
        <w:spacing w:after="240" w:before="120" w:line="276" w:lineRule="auto"/>
        <w:ind w:right="0" w:hanging="340" w:left="340"/>
        <w:contextualSpacing w:val="true"/>
        <w:jc w:val="center"/>
        <w:rPr>
          <w:spacing w:val="0"/>
        </w:rPr>
      </w:pPr>
      <w:r/>
      <w:bookmarkStart w:id="1071" w:name="_Toc198483639"/>
      <w:r/>
      <w:bookmarkStart w:id="1072" w:name="_Toc166767299"/>
      <w:r>
        <w:rPr>
          <w:spacing w:val="0"/>
        </w:rPr>
        <w:t xml:space="preserve"> </w:t>
      </w:r>
      <w:r>
        <w:rPr>
          <w:rFonts w:eastAsia="Times New Roman" w:cs="Times New Roman"/>
          <w:b/>
          <w:smallCaps/>
          <w:spacing w:val="0"/>
          <w:sz w:val="28"/>
          <w:szCs w:val="36"/>
          <w:lang w:eastAsia="en-US" w:bidi="en-US"/>
        </w:rPr>
        <w:t xml:space="preserve">Сведения о сценари</w:t>
      </w:r>
      <w:r>
        <w:rPr>
          <w:rFonts w:eastAsia="Times New Roman" w:cs="Times New Roman"/>
          <w:b/>
          <w:smallCaps/>
          <w:spacing w:val="0"/>
          <w:sz w:val="28"/>
          <w:szCs w:val="36"/>
          <w:lang w:eastAsia="en-US" w:bidi="en-US"/>
        </w:rPr>
        <w:t xml:space="preserve">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1071"/>
      <w:r/>
      <w:bookmarkEnd w:id="1072"/>
      <w:r/>
      <w:r>
        <w:rPr>
          <w:spacing w:val="0"/>
        </w:rPr>
      </w:r>
    </w:p>
    <w:p>
      <w:pPr>
        <w:pStyle w:val="12960"/>
        <w:pBdr/>
        <w:spacing/>
        <w:ind/>
        <w:rPr/>
      </w:pPr>
      <w:r>
        <w:t xml:space="preserve">Возможные сценарии развития аварий в системах теплоснабжения: выход из строя всех насосов сетевой группы;</w:t>
      </w:r>
      <w:r/>
    </w:p>
    <w:p>
      <w:pPr>
        <w:pStyle w:val="13832"/>
        <w:numPr>
          <w:ilvl w:val="0"/>
          <w:numId w:val="61"/>
        </w:numPr>
        <w:pBdr/>
        <w:spacing/>
        <w:ind w:hanging="284" w:left="1135"/>
        <w:rPr>
          <w:rFonts w:eastAsia="Calibri"/>
        </w:rPr>
      </w:pPr>
      <w:r>
        <w:rPr>
          <w:rFonts w:eastAsia="Calibri"/>
        </w:rPr>
        <w:t xml:space="preserve">Прорыв на тепловых сетях, аварийный останов котлов, аварийный останов</w:t>
      </w:r>
      <w:r>
        <w:rPr>
          <w:rFonts w:eastAsia="Calibri"/>
        </w:rPr>
      </w:r>
    </w:p>
    <w:p>
      <w:pPr>
        <w:pStyle w:val="13832"/>
        <w:numPr>
          <w:ilvl w:val="0"/>
          <w:numId w:val="61"/>
        </w:numPr>
        <w:pBdr/>
        <w:spacing/>
        <w:ind w:hanging="284" w:left="1135"/>
        <w:rPr>
          <w:rFonts w:eastAsia="Calibri"/>
        </w:rPr>
      </w:pPr>
      <w:r>
        <w:rPr>
          <w:rFonts w:eastAsia="Calibri"/>
        </w:rPr>
        <w:t xml:space="preserve">Выход из строя котельного оборудования</w:t>
      </w:r>
      <w:r>
        <w:rPr>
          <w:rFonts w:eastAsia="Calibri"/>
        </w:rPr>
      </w:r>
    </w:p>
    <w:p>
      <w:pPr>
        <w:pStyle w:val="13832"/>
        <w:numPr>
          <w:ilvl w:val="0"/>
          <w:numId w:val="61"/>
        </w:numPr>
        <w:pBdr/>
        <w:spacing/>
        <w:ind w:hanging="284" w:left="1135"/>
        <w:rPr>
          <w:rFonts w:eastAsia="Calibri"/>
        </w:rPr>
      </w:pPr>
      <w:r>
        <w:rPr>
          <w:rFonts w:eastAsia="Calibri"/>
        </w:rPr>
        <w:t xml:space="preserve">Выход из строя насосов сетевой группы.</w:t>
      </w:r>
      <w:r>
        <w:rPr>
          <w:rFonts w:eastAsia="Calibri"/>
        </w:rPr>
      </w:r>
    </w:p>
    <w:p>
      <w:pPr>
        <w:pStyle w:val="13832"/>
        <w:numPr>
          <w:ilvl w:val="0"/>
          <w:numId w:val="61"/>
        </w:numPr>
        <w:pBdr/>
        <w:spacing/>
        <w:ind w:hanging="284" w:left="1135"/>
        <w:rPr>
          <w:rFonts w:eastAsia="Calibri"/>
        </w:rPr>
        <w:sectPr>
          <w:headerReference w:type="default" r:id="rId190"/>
          <w:headerReference w:type="first" r:id="rId191"/>
          <w:footerReference w:type="default" r:id="rId458"/>
          <w:footerReference w:type="first" r:id="rId459"/>
          <w:footnotePr/>
          <w:endnotePr/>
          <w:type w:val="nextPage"/>
          <w:pgSz w:h="16838" w:orient="portrait" w:w="11906"/>
          <w:pgMar w:top="1134" w:right="850" w:bottom="1134" w:left="1701" w:header="708" w:footer="708" w:gutter="0"/>
          <w:cols w:num="1" w:sep="0" w:space="1701" w:equalWidth="1"/>
        </w:sectPr>
      </w:pPr>
      <w:r>
        <w:rPr>
          <w:rFonts w:eastAsia="Calibri"/>
        </w:rPr>
        <w:t xml:space="preserve">Прекращение подачи электроэнергии.</w:t>
      </w:r>
      <w:r>
        <w:rPr>
          <w:rFonts w:eastAsia="Calibri"/>
        </w:rPr>
      </w:r>
    </w:p>
    <w:p>
      <w:pPr>
        <w:pStyle w:val="12960"/>
        <w:pBdr/>
        <w:spacing/>
        <w:ind/>
        <w:rPr>
          <w:b/>
        </w:rPr>
      </w:pPr>
      <w:r>
        <w:rPr>
          <w:b/>
        </w:rPr>
        <w:t xml:space="preserve">Таблица 11.12.1 Риски возникновения аварий, масштабы и последствия</w:t>
      </w:r>
      <w:r>
        <w:rPr>
          <w:b/>
        </w:rPr>
      </w:r>
    </w:p>
    <w:tbl>
      <w:tblPr>
        <w:jc w:val="center"/>
        <w:tblInd w:w="0" w:type="dxa"/>
        <w:tblW w:w="5000" w:type="pct"/>
        <w:tblCellMar>
          <w:left w:w="108" w:type="dxa"/>
          <w:top w:w="0" w:type="dxa"/>
          <w:right w:w="108" w:type="dxa"/>
          <w:bottom w:w="0" w:type="dxa"/>
        </w:tblCellMar>
        <w:tblBorders/>
        <w:tblLayout w:type="fixed"/>
        <w:tblLook w:val="01E0" w:firstRow="1" w:lastRow="1" w:firstColumn="1" w:lastColumn="1" w:noHBand="0" w:noVBand="0"/>
      </w:tblPr>
      <w:tblGrid>
        <w:gridCol w:w="2528"/>
        <w:gridCol w:w="1643"/>
        <w:gridCol w:w="2918"/>
        <w:gridCol w:w="1528"/>
        <w:gridCol w:w="5670"/>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ind/>
              <w:rPr>
                <w:rFonts w:cs="Times New Roman"/>
                <w:lang w:eastAsia="en-US"/>
              </w:rPr>
            </w:pPr>
            <w:r>
              <w:rPr>
                <w:rFonts w:cs="Times New Roman"/>
                <w:lang w:eastAsia="en-US"/>
              </w:rPr>
            </w:r>
            <w:r>
              <w:rPr>
                <w:rFonts w:cs="Times New Roman"/>
                <w:lang w:eastAsia="en-US"/>
              </w:rPr>
            </w:r>
          </w:p>
          <w:p>
            <w:pPr>
              <w:pStyle w:val="12385"/>
              <w:pBdr/>
              <w:spacing/>
              <w:ind/>
              <w:rPr>
                <w:rFonts w:cs="Times New Roman"/>
                <w:lang w:val="en-US" w:eastAsia="en-US"/>
              </w:rPr>
            </w:pPr>
            <w:r>
              <w:rPr>
                <w:rFonts w:cs="Times New Roman"/>
                <w:lang w:val="en-US" w:eastAsia="en-US"/>
              </w:rPr>
              <w:t xml:space="preserve">Вид аварии</w:t>
            </w:r>
            <w:r>
              <w:rPr>
                <w:rFonts w:cs="Times New Roman"/>
                <w:lang w:val="en-US"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43" w:type="dxa"/>
            <w:vAlign w:val="center"/>
          </w:tcPr>
          <w:p>
            <w:pPr>
              <w:pStyle w:val="12385"/>
              <w:pBdr/>
              <w:spacing/>
              <w:ind/>
              <w:rPr>
                <w:rFonts w:cs="Times New Roman"/>
                <w:lang w:val="en-US" w:eastAsia="en-US"/>
              </w:rPr>
            </w:pPr>
            <w:r>
              <w:rPr>
                <w:rFonts w:cs="Times New Roman"/>
                <w:lang w:val="en-US" w:eastAsia="en-US"/>
              </w:rPr>
              <w:t xml:space="preserve">Возможная причина возникновения аварии</w:t>
            </w:r>
            <w:r>
              <w:rPr>
                <w:rFonts w:cs="Times New Roman"/>
                <w:lang w:val="en-US"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918" w:type="dxa"/>
            <w:vAlign w:val="center"/>
          </w:tcPr>
          <w:p>
            <w:pPr>
              <w:pStyle w:val="12385"/>
              <w:pBdr/>
              <w:spacing/>
              <w:ind/>
              <w:rPr>
                <w:rFonts w:cs="Times New Roman"/>
                <w:lang w:val="en-US" w:eastAsia="en-US"/>
              </w:rPr>
            </w:pPr>
            <w:r>
              <w:rPr>
                <w:rFonts w:cs="Times New Roman"/>
                <w:lang w:val="en-US" w:eastAsia="en-US"/>
              </w:rPr>
            </w:r>
            <w:r>
              <w:rPr>
                <w:rFonts w:cs="Times New Roman"/>
                <w:lang w:val="en-US" w:eastAsia="en-US"/>
              </w:rPr>
            </w:r>
          </w:p>
          <w:p>
            <w:pPr>
              <w:pStyle w:val="12385"/>
              <w:pBdr/>
              <w:spacing/>
              <w:ind/>
              <w:rPr>
                <w:rFonts w:cs="Times New Roman"/>
                <w:lang w:val="en-US" w:eastAsia="en-US"/>
              </w:rPr>
            </w:pPr>
            <w:r>
              <w:rPr>
                <w:rFonts w:cs="Times New Roman"/>
                <w:lang w:val="en-US" w:eastAsia="en-US"/>
              </w:rPr>
              <w:t xml:space="preserve">Масштаб аварии и последствия</w:t>
            </w:r>
            <w:r>
              <w:rPr>
                <w:rFonts w:cs="Times New Roman"/>
                <w:lang w:val="en-US"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28" w:type="dxa"/>
            <w:vAlign w:val="center"/>
          </w:tcPr>
          <w:p>
            <w:pPr>
              <w:pStyle w:val="12385"/>
              <w:pBdr/>
              <w:spacing/>
              <w:ind/>
              <w:rPr>
                <w:rFonts w:cs="Times New Roman"/>
                <w:lang w:val="en-US" w:eastAsia="en-US"/>
              </w:rPr>
            </w:pPr>
            <w:r>
              <w:rPr>
                <w:rFonts w:cs="Times New Roman"/>
                <w:lang w:val="en-US" w:eastAsia="en-US"/>
              </w:rPr>
            </w:r>
            <w:r>
              <w:rPr>
                <w:rFonts w:cs="Times New Roman"/>
                <w:lang w:val="en-US" w:eastAsia="en-US"/>
              </w:rPr>
            </w:r>
          </w:p>
          <w:p>
            <w:pPr>
              <w:pStyle w:val="12385"/>
              <w:pBdr/>
              <w:spacing/>
              <w:ind/>
              <w:rPr>
                <w:rFonts w:cs="Times New Roman"/>
                <w:lang w:val="en-US" w:eastAsia="en-US"/>
              </w:rPr>
            </w:pPr>
            <w:r>
              <w:rPr>
                <w:rFonts w:cs="Times New Roman"/>
                <w:lang w:val="en-US" w:eastAsia="en-US"/>
              </w:rPr>
              <w:t xml:space="preserve">Уровень реагирования</w:t>
            </w:r>
            <w:r>
              <w:rPr>
                <w:rFonts w:cs="Times New Roman"/>
                <w:lang w:val="en-US"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670" w:type="dxa"/>
            <w:vAlign w:val="center"/>
          </w:tcPr>
          <w:p>
            <w:pPr>
              <w:pStyle w:val="12385"/>
              <w:pBdr/>
              <w:spacing/>
              <w:ind/>
              <w:rPr>
                <w:rFonts w:cs="Times New Roman"/>
                <w:lang w:eastAsia="en-US"/>
              </w:rPr>
            </w:pPr>
            <w:r>
              <w:rPr>
                <w:rFonts w:cs="Times New Roman"/>
                <w:lang w:eastAsia="en-US"/>
              </w:rPr>
            </w:r>
            <w:r>
              <w:rPr>
                <w:rFonts w:cs="Times New Roman"/>
                <w:lang w:eastAsia="en-US"/>
              </w:rPr>
            </w:r>
          </w:p>
          <w:p>
            <w:pPr>
              <w:pStyle w:val="12385"/>
              <w:pBdr/>
              <w:spacing/>
              <w:ind/>
              <w:rPr>
                <w:rFonts w:cs="Times New Roman"/>
                <w:lang w:eastAsia="en-US"/>
              </w:rPr>
            </w:pPr>
            <w:r>
              <w:rPr>
                <w:rFonts w:cs="Times New Roman"/>
                <w:lang w:eastAsia="en-US"/>
              </w:rPr>
              <w:t xml:space="preserve">Методы устранения</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ind/>
              <w:rPr>
                <w:rFonts w:cs="Times New Roman"/>
                <w:lang w:val="en-US" w:eastAsia="en-US"/>
              </w:rPr>
            </w:pPr>
            <w:r>
              <w:rPr>
                <w:rFonts w:cs="Times New Roman"/>
                <w:lang w:val="en-US" w:eastAsia="en-US"/>
              </w:rPr>
              <w:t xml:space="preserve">1</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1643" w:type="dxa"/>
            <w:vAlign w:val="center"/>
          </w:tcPr>
          <w:p>
            <w:pPr>
              <w:pStyle w:val="12385"/>
              <w:pBdr/>
              <w:spacing/>
              <w:ind/>
              <w:rPr>
                <w:rFonts w:cs="Times New Roman"/>
                <w:lang w:val="en-US" w:eastAsia="en-US"/>
              </w:rPr>
            </w:pPr>
            <w:r>
              <w:rPr>
                <w:rFonts w:cs="Times New Roman"/>
                <w:lang w:val="en-US" w:eastAsia="en-US"/>
              </w:rPr>
              <w:t xml:space="preserve">2</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2918" w:type="dxa"/>
            <w:vAlign w:val="center"/>
          </w:tcPr>
          <w:p>
            <w:pPr>
              <w:pStyle w:val="12385"/>
              <w:pBdr/>
              <w:spacing/>
              <w:ind/>
              <w:rPr>
                <w:rFonts w:cs="Times New Roman"/>
                <w:lang w:val="en-US" w:eastAsia="en-US"/>
              </w:rPr>
            </w:pPr>
            <w:r>
              <w:rPr>
                <w:rFonts w:cs="Times New Roman"/>
                <w:lang w:val="en-US" w:eastAsia="en-US"/>
              </w:rPr>
              <w:t xml:space="preserve">3</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1528" w:type="dxa"/>
            <w:vAlign w:val="center"/>
          </w:tcPr>
          <w:p>
            <w:pPr>
              <w:pStyle w:val="12385"/>
              <w:pBdr/>
              <w:spacing/>
              <w:ind/>
              <w:rPr>
                <w:rFonts w:cs="Times New Roman"/>
                <w:lang w:val="en-US" w:eastAsia="en-US"/>
              </w:rPr>
            </w:pPr>
            <w:r>
              <w:rPr>
                <w:rFonts w:cs="Times New Roman"/>
                <w:lang w:val="en-US" w:eastAsia="en-US"/>
              </w:rPr>
              <w:t xml:space="preserve">4</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5670" w:type="dxa"/>
            <w:vAlign w:val="center"/>
          </w:tcPr>
          <w:p>
            <w:pPr>
              <w:pStyle w:val="12385"/>
              <w:pBdr/>
              <w:spacing/>
              <w:ind/>
              <w:rPr>
                <w:rFonts w:cs="Times New Roman"/>
                <w:lang w:val="en-US" w:eastAsia="en-US"/>
              </w:rPr>
            </w:pPr>
            <w:r>
              <w:rPr>
                <w:rFonts w:cs="Times New Roman"/>
                <w:lang w:val="en-US" w:eastAsia="en-US"/>
              </w:rPr>
            </w:r>
            <w:r>
              <w:rPr>
                <w:rFonts w:cs="Times New Roman"/>
                <w:lang w:val="en-US"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ind/>
              <w:rPr>
                <w:rFonts w:cs="Times New Roman"/>
                <w:lang w:eastAsia="en-US"/>
              </w:rPr>
            </w:pPr>
            <w:r>
              <w:rPr>
                <w:rFonts w:cs="Times New Roman"/>
                <w:lang w:val="en-US" w:eastAsia="en-US"/>
              </w:rPr>
              <w:t xml:space="preserve">Остановка</w:t>
            </w:r>
            <w:r>
              <w:rPr>
                <w:rFonts w:cs="Times New Roman"/>
                <w:lang w:eastAsia="en-US"/>
              </w:rPr>
            </w:r>
          </w:p>
          <w:p>
            <w:pPr>
              <w:pStyle w:val="12385"/>
              <w:pBdr/>
              <w:spacing/>
              <w:ind/>
              <w:rPr>
                <w:rFonts w:cs="Times New Roman"/>
                <w:lang w:val="en-US" w:eastAsia="en-US"/>
              </w:rPr>
            </w:pPr>
            <w:r>
              <w:rPr>
                <w:rFonts w:cs="Times New Roman"/>
                <w:lang w:val="en-US" w:eastAsia="en-US"/>
              </w:rPr>
              <w:t xml:space="preserve">котельной</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1643" w:type="dxa"/>
            <w:vAlign w:val="center"/>
          </w:tcPr>
          <w:p>
            <w:pPr>
              <w:pStyle w:val="12385"/>
              <w:pBdr/>
              <w:spacing/>
              <w:ind/>
              <w:rPr>
                <w:rFonts w:cs="Times New Roman"/>
                <w:lang w:eastAsia="en-US"/>
              </w:rPr>
            </w:pPr>
            <w:r>
              <w:rPr>
                <w:rFonts w:cs="Times New Roman"/>
                <w:lang w:eastAsia="en-US"/>
              </w:rPr>
              <w:t xml:space="preserve">Выход из строя всех насосов</w:t>
            </w:r>
            <w:r>
              <w:rPr>
                <w:rFonts w:cs="Times New Roman"/>
                <w:lang w:eastAsia="en-US"/>
              </w:rPr>
            </w:r>
          </w:p>
          <w:p>
            <w:pPr>
              <w:pStyle w:val="12385"/>
              <w:pBdr/>
              <w:spacing/>
              <w:ind/>
              <w:rPr>
                <w:rFonts w:cs="Times New Roman"/>
                <w:lang w:eastAsia="en-US"/>
              </w:rPr>
            </w:pPr>
            <w:r>
              <w:rPr>
                <w:rFonts w:cs="Times New Roman"/>
                <w:lang w:eastAsia="en-US"/>
              </w:rPr>
              <w:t xml:space="preserve">сетевой группы</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2918" w:type="dxa"/>
            <w:vAlign w:val="center"/>
          </w:tcPr>
          <w:p>
            <w:pPr>
              <w:pStyle w:val="12385"/>
              <w:pBdr/>
              <w:spacing/>
              <w:ind/>
              <w:rPr>
                <w:rFonts w:cs="Times New Roman"/>
                <w:lang w:eastAsia="en-US"/>
              </w:rPr>
            </w:pPr>
            <w:r>
              <w:rPr>
                <w:rFonts w:cs="Times New Roman"/>
                <w:lang w:eastAsia="en-US"/>
              </w:rPr>
              <w:t xml:space="preserve">Прекращение циркуляции воды в системах отопления всех потребителей, понижение напора и температуры в зданиях и домах,</w:t>
            </w:r>
            <w:r>
              <w:rPr>
                <w:rFonts w:cs="Times New Roman"/>
                <w:lang w:eastAsia="en-US"/>
              </w:rPr>
            </w:r>
          </w:p>
          <w:p>
            <w:pPr>
              <w:pStyle w:val="12385"/>
              <w:pBdr/>
              <w:spacing/>
              <w:ind/>
              <w:rPr>
                <w:rFonts w:cs="Times New Roman"/>
                <w:lang w:eastAsia="en-US"/>
              </w:rPr>
            </w:pPr>
            <w:r>
              <w:rPr>
                <w:rFonts w:cs="Times New Roman"/>
                <w:lang w:eastAsia="en-US"/>
              </w:rPr>
              <w:t xml:space="preserve">размораживание тепловых сетей и отопительных батарей</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1528" w:type="dxa"/>
            <w:vAlign w:val="center"/>
          </w:tcPr>
          <w:p>
            <w:pPr>
              <w:pStyle w:val="12385"/>
              <w:pBdr/>
              <w:spacing/>
              <w:ind/>
              <w:rPr>
                <w:rFonts w:cs="Times New Roman"/>
                <w:lang w:val="en-US" w:eastAsia="en-US"/>
              </w:rPr>
            </w:pPr>
            <w:r>
              <w:rPr>
                <w:rFonts w:cs="Times New Roman"/>
                <w:lang w:val="en-US" w:eastAsia="en-US"/>
              </w:rPr>
              <w:t xml:space="preserve">Локальный</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5670" w:type="dxa"/>
            <w:vAlign w:val="center"/>
          </w:tcPr>
          <w:p>
            <w:pPr>
              <w:pStyle w:val="12385"/>
              <w:pBdr/>
              <w:spacing/>
              <w:ind/>
              <w:rPr>
                <w:rFonts w:cs="Times New Roman"/>
                <w:lang w:eastAsia="en-US"/>
              </w:rPr>
            </w:pPr>
            <w:r>
              <w:rPr>
                <w:rFonts w:cs="Times New Roman"/>
                <w:lang w:eastAsia="en-US"/>
              </w:rPr>
              <w:t xml:space="preserve">Выполнение переключения на резервный насос.</w:t>
            </w:r>
            <w:r>
              <w:rPr>
                <w:rFonts w:cs="Times New Roman"/>
                <w:lang w:eastAsia="en-US"/>
              </w:rPr>
            </w:r>
          </w:p>
          <w:p>
            <w:pPr>
              <w:pStyle w:val="12385"/>
              <w:pBdr/>
              <w:spacing/>
              <w:ind/>
              <w:rPr>
                <w:rFonts w:cs="Times New Roman"/>
                <w:lang w:eastAsia="en-US"/>
              </w:rPr>
            </w:pPr>
            <w:r>
              <w:rPr>
                <w:rFonts w:cs="Times New Roman"/>
                <w:lang w:eastAsia="en-US"/>
              </w:rPr>
              <w:t xml:space="preserve">При невозможности переключения организация ремонтных работ.</w:t>
            </w:r>
            <w:r>
              <w:rPr>
                <w:rFonts w:cs="Times New Roman"/>
                <w:lang w:eastAsia="en-US"/>
              </w:rPr>
            </w:r>
          </w:p>
          <w:p>
            <w:pPr>
              <w:pStyle w:val="12385"/>
              <w:pBdr/>
              <w:spacing/>
              <w:ind/>
              <w:rPr>
                <w:rFonts w:cs="Times New Roman"/>
                <w:lang w:eastAsia="en-US"/>
              </w:rPr>
            </w:pPr>
            <w:r>
              <w:rPr>
                <w:rFonts w:cs="Times New Roman"/>
                <w:lang w:eastAsia="en-US"/>
              </w:rPr>
              <w:t xml:space="preserve">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жилыми домами.</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ind/>
              <w:rPr>
                <w:rFonts w:cs="Times New Roman"/>
                <w:lang w:eastAsia="en-US"/>
              </w:rPr>
            </w:pPr>
            <w:r>
              <w:rPr>
                <w:rFonts w:cs="Times New Roman"/>
                <w:lang w:val="en-US" w:eastAsia="en-US"/>
              </w:rPr>
              <w:t xml:space="preserve">Остановка</w:t>
            </w:r>
            <w:r>
              <w:rPr>
                <w:rFonts w:cs="Times New Roman"/>
                <w:lang w:eastAsia="en-US"/>
              </w:rPr>
            </w:r>
          </w:p>
          <w:p>
            <w:pPr>
              <w:pStyle w:val="12385"/>
              <w:pBdr/>
              <w:spacing/>
              <w:ind/>
              <w:rPr>
                <w:rFonts w:cs="Times New Roman"/>
                <w:lang w:val="en-US" w:eastAsia="en-US"/>
              </w:rPr>
            </w:pPr>
            <w:r>
              <w:rPr>
                <w:rFonts w:cs="Times New Roman"/>
                <w:lang w:val="en-US" w:eastAsia="en-US"/>
              </w:rPr>
              <w:t xml:space="preserve">котельной</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1643" w:type="dxa"/>
            <w:vAlign w:val="center"/>
          </w:tcPr>
          <w:p>
            <w:pPr>
              <w:pStyle w:val="12385"/>
              <w:pBdr/>
              <w:spacing/>
              <w:ind/>
              <w:rPr>
                <w:rFonts w:cs="Times New Roman"/>
                <w:lang w:eastAsia="en-US"/>
              </w:rPr>
            </w:pPr>
            <w:r>
              <w:rPr>
                <w:rFonts w:cs="Times New Roman"/>
                <w:lang w:eastAsia="en-US"/>
              </w:rPr>
              <w:t xml:space="preserve">Выход из строя котельного оборудования</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2918" w:type="dxa"/>
            <w:vAlign w:val="center"/>
          </w:tcPr>
          <w:p>
            <w:pPr>
              <w:pStyle w:val="12385"/>
              <w:pBdr/>
              <w:spacing/>
              <w:ind/>
              <w:rPr>
                <w:rFonts w:cs="Times New Roman"/>
                <w:lang w:eastAsia="en-US"/>
              </w:rPr>
            </w:pPr>
            <w:r>
              <w:rPr>
                <w:rFonts w:cs="Times New Roman"/>
                <w:lang w:eastAsia="en-US"/>
              </w:rPr>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1528" w:type="dxa"/>
            <w:vAlign w:val="center"/>
          </w:tcPr>
          <w:p>
            <w:pPr>
              <w:pStyle w:val="12385"/>
              <w:pBdr/>
              <w:spacing/>
              <w:ind/>
              <w:rPr>
                <w:rFonts w:cs="Times New Roman"/>
                <w:lang w:val="en-US" w:eastAsia="en-US"/>
              </w:rPr>
            </w:pPr>
            <w:r>
              <w:rPr>
                <w:rFonts w:cs="Times New Roman"/>
                <w:lang w:val="en-US" w:eastAsia="en-US"/>
              </w:rPr>
              <w:t xml:space="preserve">Локальный</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5670" w:type="dxa"/>
            <w:vAlign w:val="center"/>
          </w:tcPr>
          <w:p>
            <w:pPr>
              <w:pStyle w:val="12385"/>
              <w:pBdr/>
              <w:spacing/>
              <w:ind/>
              <w:rPr>
                <w:rFonts w:cs="Times New Roman"/>
                <w:lang w:eastAsia="en-US"/>
              </w:rPr>
            </w:pPr>
            <w:r>
              <w:rPr>
                <w:rFonts w:cs="Times New Roman"/>
                <w:lang w:eastAsia="en-US"/>
              </w:rPr>
              <w:t xml:space="preserve">Информирование об отсутствии электроэнергии ЕДС, Переход на резервный или автономный источник электроснабжения, дизель-генератор).</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ind/>
              <w:rPr>
                <w:rFonts w:cs="Times New Roman"/>
                <w:lang w:eastAsia="en-US"/>
              </w:rPr>
            </w:pPr>
            <w:r>
              <w:rPr>
                <w:rFonts w:cs="Times New Roman"/>
                <w:lang w:eastAsia="en-US"/>
              </w:rPr>
              <w:t xml:space="preserve">Кратковременное нарушение теплоснабжения объектов</w:t>
            </w:r>
            <w:r>
              <w:rPr>
                <w:rFonts w:cs="Times New Roman"/>
                <w:lang w:eastAsia="en-US"/>
              </w:rPr>
            </w:r>
          </w:p>
          <w:p>
            <w:pPr>
              <w:pStyle w:val="12385"/>
              <w:pBdr/>
              <w:spacing/>
              <w:ind/>
              <w:rPr>
                <w:rFonts w:cs="Times New Roman"/>
                <w:lang w:eastAsia="en-US"/>
              </w:rPr>
            </w:pPr>
            <w:r>
              <w:rPr>
                <w:rFonts w:cs="Times New Roman"/>
                <w:lang w:eastAsia="en-US"/>
              </w:rPr>
              <w:t xml:space="preserve">жилищно- коммунального хозяйства, социальной</w:t>
            </w:r>
            <w:r>
              <w:rPr>
                <w:rFonts w:cs="Times New Roman"/>
                <w:lang w:eastAsia="en-US"/>
              </w:rPr>
            </w:r>
          </w:p>
          <w:p>
            <w:pPr>
              <w:pStyle w:val="12385"/>
              <w:pBdr/>
              <w:spacing/>
              <w:ind/>
              <w:rPr>
                <w:rFonts w:cs="Times New Roman"/>
                <w:lang w:eastAsia="en-US"/>
              </w:rPr>
            </w:pPr>
            <w:r>
              <w:rPr>
                <w:rFonts w:cs="Times New Roman"/>
                <w:lang w:eastAsia="en-US"/>
              </w:rPr>
              <w:t xml:space="preserve">сферы</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1643" w:type="dxa"/>
            <w:vAlign w:val="center"/>
          </w:tcPr>
          <w:p>
            <w:pPr>
              <w:pStyle w:val="12385"/>
              <w:pBdr/>
              <w:spacing/>
              <w:ind/>
              <w:rPr>
                <w:rFonts w:cs="Times New Roman"/>
                <w:lang w:val="en-US" w:eastAsia="en-US"/>
              </w:rPr>
            </w:pPr>
            <w:r>
              <w:rPr>
                <w:rFonts w:cs="Times New Roman"/>
                <w:lang w:eastAsia="en-US"/>
              </w:rPr>
              <w:t xml:space="preserve">Порыв на тепловых сетях</w:t>
            </w:r>
            <w:r>
              <w:rPr>
                <w:rFonts w:cs="Times New Roman"/>
                <w:lang w:val="en-US" w:eastAsia="en-US"/>
              </w:rPr>
            </w:r>
          </w:p>
          <w:p>
            <w:pPr>
              <w:pStyle w:val="12385"/>
              <w:pBdr/>
              <w:spacing/>
              <w:ind/>
              <w:rPr>
                <w:rFonts w:cs="Times New Roman"/>
                <w:lang w:val="en-US" w:eastAsia="en-US"/>
              </w:rPr>
            </w:pPr>
            <w:r>
              <w:rPr>
                <w:rFonts w:cs="Times New Roman"/>
                <w:lang w:val="en-US" w:eastAsia="en-US"/>
              </w:rPr>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2918" w:type="dxa"/>
            <w:vAlign w:val="center"/>
          </w:tcPr>
          <w:p>
            <w:pPr>
              <w:pStyle w:val="12385"/>
              <w:pBdr/>
              <w:spacing/>
              <w:ind/>
              <w:rPr>
                <w:rFonts w:cs="Times New Roman"/>
                <w:lang w:eastAsia="en-US"/>
              </w:rPr>
            </w:pPr>
            <w:r>
              <w:rPr>
                <w:rFonts w:cs="Times New Roman"/>
                <w:lang w:eastAsia="en-US"/>
              </w:rPr>
              <w:t xml:space="preserve">Прекращение циркуляции воды в систему отопления всех потребителей, понижение температуры и напора в зданиях и домах</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1528" w:type="dxa"/>
            <w:vAlign w:val="center"/>
          </w:tcPr>
          <w:p>
            <w:pPr>
              <w:pStyle w:val="12385"/>
              <w:pBdr/>
              <w:spacing/>
              <w:ind/>
              <w:rPr>
                <w:rFonts w:cs="Times New Roman"/>
                <w:lang w:val="en-US" w:eastAsia="en-US"/>
              </w:rPr>
            </w:pPr>
            <w:r>
              <w:rPr>
                <w:rFonts w:cs="Times New Roman"/>
                <w:lang w:val="en-US" w:eastAsia="en-US"/>
              </w:rPr>
              <w:t xml:space="preserve">Локальный</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5670" w:type="dxa"/>
            <w:vAlign w:val="center"/>
          </w:tcPr>
          <w:p>
            <w:pPr>
              <w:pStyle w:val="12385"/>
              <w:pBdr/>
              <w:spacing/>
              <w:ind/>
              <w:rPr>
                <w:rFonts w:cs="Times New Roman"/>
                <w:lang w:eastAsia="en-US"/>
              </w:rPr>
            </w:pPr>
            <w:r>
              <w:rPr>
                <w:rFonts w:cs="Times New Roman"/>
                <w:lang w:eastAsia="en-US"/>
              </w:rPr>
              <w:t xml:space="preserve">Орга</w:t>
            </w:r>
            <w:r>
              <w:rPr>
                <w:rFonts w:cs="Times New Roman"/>
                <w:lang w:eastAsia="en-US"/>
              </w:rPr>
              <w:t xml:space="preserve">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r>
              <w:rPr>
                <w:rFonts w:cs="Times New Roman"/>
                <w:lang w:eastAsia="en-US"/>
              </w:rPr>
            </w:r>
          </w:p>
          <w:p>
            <w:pPr>
              <w:pStyle w:val="12385"/>
              <w:pBdr/>
              <w:spacing/>
              <w:ind/>
              <w:rPr>
                <w:rFonts w:cs="Times New Roman"/>
                <w:lang w:eastAsia="en-US"/>
              </w:rPr>
            </w:pPr>
            <w:r>
              <w:rPr>
                <w:rFonts w:cs="Times New Roman"/>
                <w:lang w:eastAsia="en-US"/>
              </w:rPr>
              <w:t xml:space="preserve">При длительном отсутствии циркуляции организовать ремонтные работы по предотвращению размораживания силами теплоснабжающей организации и</w:t>
            </w:r>
            <w:r>
              <w:rPr>
                <w:rFonts w:cs="Times New Roman"/>
                <w:lang w:eastAsia="en-US"/>
              </w:rPr>
            </w:r>
          </w:p>
          <w:p>
            <w:pPr>
              <w:pStyle w:val="12385"/>
              <w:pBdr/>
              <w:spacing/>
              <w:ind/>
              <w:rPr>
                <w:rFonts w:cs="Times New Roman"/>
                <w:lang w:eastAsia="en-US"/>
              </w:rPr>
            </w:pPr>
            <w:r>
              <w:rPr>
                <w:rFonts w:cs="Times New Roman"/>
                <w:lang w:eastAsia="en-US"/>
              </w:rPr>
              <w:t xml:space="preserve">организаций, осуществляющих управление жилыми домами.</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2528" w:type="dxa"/>
            <w:vAlign w:val="center"/>
          </w:tcPr>
          <w:p>
            <w:pPr>
              <w:pStyle w:val="12385"/>
              <w:pBdr/>
              <w:spacing/>
              <w:ind/>
              <w:rPr>
                <w:rFonts w:cs="Times New Roman"/>
                <w:lang w:val="en-US" w:eastAsia="en-US"/>
              </w:rPr>
            </w:pPr>
            <w:r>
              <w:rPr>
                <w:rFonts w:cs="Times New Roman"/>
                <w:lang w:val="en-US" w:eastAsia="en-US"/>
              </w:rPr>
              <w:t xml:space="preserve">Остановка</w:t>
            </w:r>
            <w:r>
              <w:rPr>
                <w:rFonts w:cs="Times New Roman"/>
                <w:lang w:val="en-US" w:eastAsia="en-US"/>
              </w:rPr>
            </w:r>
          </w:p>
          <w:p>
            <w:pPr>
              <w:pStyle w:val="12385"/>
              <w:pBdr/>
              <w:spacing/>
              <w:ind/>
              <w:rPr>
                <w:rFonts w:cs="Times New Roman"/>
                <w:lang w:val="en-US" w:eastAsia="en-US"/>
              </w:rPr>
            </w:pPr>
            <w:r>
              <w:rPr>
                <w:rFonts w:cs="Times New Roman"/>
                <w:lang w:val="en-US" w:eastAsia="en-US"/>
              </w:rPr>
              <w:t xml:space="preserve">котельной</w:t>
            </w:r>
            <w:r>
              <w:rPr>
                <w:rFonts w:cs="Times New Roman"/>
                <w:lang w:val="en-US" w:eastAsia="en-US"/>
              </w:rPr>
            </w:r>
          </w:p>
        </w:tc>
        <w:tc>
          <w:tcPr>
            <w:tcBorders>
              <w:top w:val="single" w:color="000000" w:sz="4" w:space="0"/>
              <w:left w:val="single" w:color="000000" w:sz="4" w:space="0"/>
              <w:bottom w:val="single" w:color="000000" w:sz="4" w:space="0"/>
              <w:right w:val="single" w:color="000000" w:sz="4" w:space="0"/>
            </w:tcBorders>
            <w:tcW w:w="1643" w:type="dxa"/>
            <w:vAlign w:val="center"/>
          </w:tcPr>
          <w:p>
            <w:pPr>
              <w:pStyle w:val="12385"/>
              <w:pBdr/>
              <w:spacing/>
              <w:ind/>
              <w:rPr>
                <w:rFonts w:cs="Times New Roman"/>
                <w:lang w:eastAsia="en-US"/>
              </w:rPr>
            </w:pPr>
            <w:r>
              <w:rPr>
                <w:rFonts w:cs="Times New Roman"/>
                <w:lang w:eastAsia="en-US"/>
              </w:rPr>
              <w:t xml:space="preserve">Прекращение подачи электроэнергии</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2918" w:type="dxa"/>
            <w:vAlign w:val="center"/>
          </w:tcPr>
          <w:p>
            <w:pPr>
              <w:pStyle w:val="12385"/>
              <w:pBdr/>
              <w:spacing/>
              <w:ind/>
              <w:rPr>
                <w:rFonts w:cs="Times New Roman"/>
                <w:lang w:eastAsia="en-US"/>
              </w:rPr>
            </w:pPr>
            <w:r>
              <w:rPr>
                <w:rFonts w:cs="Times New Roman"/>
                <w:lang w:eastAsia="en-US"/>
              </w:rPr>
              <w:t xml:space="preserve">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1528" w:type="dxa"/>
            <w:vAlign w:val="center"/>
          </w:tcPr>
          <w:p>
            <w:pPr>
              <w:pStyle w:val="12385"/>
              <w:pBdr/>
              <w:spacing/>
              <w:ind/>
              <w:rPr>
                <w:rFonts w:cs="Times New Roman"/>
                <w:lang w:eastAsia="en-US"/>
              </w:rPr>
            </w:pPr>
            <w:r>
              <w:rPr>
                <w:rFonts w:cs="Times New Roman"/>
                <w:lang w:eastAsia="en-US"/>
              </w:rPr>
              <w:t xml:space="preserve">Локальный</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5670" w:type="dxa"/>
            <w:vAlign w:val="center"/>
          </w:tcPr>
          <w:p>
            <w:pPr>
              <w:pStyle w:val="12385"/>
              <w:pBdr/>
              <w:spacing/>
              <w:ind/>
              <w:rPr>
                <w:rFonts w:cs="Times New Roman"/>
                <w:lang w:eastAsia="en-US"/>
              </w:rPr>
            </w:pPr>
            <w:r>
              <w:rPr>
                <w:rFonts w:cs="Times New Roman"/>
                <w:lang w:eastAsia="en-US"/>
              </w:rPr>
              <w:t xml:space="preserve">Информирование об отсутствии электроэнергии ЕДС, электросетевой организации.</w:t>
            </w:r>
            <w:r>
              <w:rPr>
                <w:rFonts w:cs="Times New Roman"/>
                <w:lang w:eastAsia="en-US"/>
              </w:rPr>
            </w:r>
          </w:p>
          <w:p>
            <w:pPr>
              <w:pStyle w:val="12385"/>
              <w:pBdr/>
              <w:spacing/>
              <w:ind/>
              <w:rPr>
                <w:rFonts w:cs="Times New Roman"/>
                <w:lang w:eastAsia="en-US"/>
              </w:rPr>
            </w:pPr>
            <w:r>
              <w:rPr>
                <w:rFonts w:cs="Times New Roman"/>
                <w:lang w:eastAsia="en-US"/>
              </w:rPr>
              <w:t xml:space="preserve">Переход на резервный или автономный источник электроснабжения, дизель-генератор).</w:t>
            </w:r>
            <w:r>
              <w:rPr>
                <w:rFonts w:cs="Times New Roman"/>
                <w:lang w:eastAsia="en-US"/>
              </w:rPr>
            </w:r>
          </w:p>
          <w:p>
            <w:pPr>
              <w:pStyle w:val="12385"/>
              <w:pBdr/>
              <w:spacing/>
              <w:ind/>
              <w:rPr>
                <w:rFonts w:cs="Times New Roman"/>
                <w:lang w:eastAsia="en-US"/>
              </w:rPr>
            </w:pPr>
            <w:r>
              <w:rPr>
                <w:rFonts w:cs="Times New Roman"/>
                <w:lang w:eastAsia="en-US"/>
              </w:rPr>
              <w:t xml:space="preserve">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жилыми домами.</w:t>
            </w:r>
            <w:r>
              <w:rPr>
                <w:rFonts w:cs="Times New Roman"/>
                <w:lang w:eastAsia="en-US"/>
              </w:rPr>
            </w:r>
          </w:p>
        </w:tc>
      </w:tr>
    </w:tbl>
    <w:p>
      <w:pPr>
        <w:pBdr/>
        <w:spacing/>
        <w:ind/>
        <w:rPr/>
        <w:sectPr>
          <w:headerReference w:type="default" r:id="rId192"/>
          <w:headerReference w:type="first" r:id="rId193"/>
          <w:footerReference w:type="default" r:id="rId460"/>
          <w:footerReference w:type="first" r:id="rId461"/>
          <w:footnotePr/>
          <w:endnotePr/>
          <w:type w:val="nextPage"/>
          <w:pgSz w:h="11906" w:orient="landscape" w:w="16838"/>
          <w:pgMar w:top="1134" w:right="850" w:bottom="1134" w:left="1701" w:header="709" w:footer="709" w:gutter="0"/>
          <w:cols w:num="1" w:sep="0" w:space="1701" w:equalWidth="1"/>
        </w:sectPr>
      </w:pPr>
      <w:r/>
      <w:r/>
    </w:p>
    <w:p>
      <w:pPr>
        <w:pStyle w:val="12960"/>
        <w:pBdr/>
        <w:spacing/>
        <w:ind/>
        <w:rPr/>
      </w:pPr>
      <w:r>
        <w:t xml:space="preserve">При авариях на котлоагрегатах – производится переход на резервный или автономный источник электроснабжения, дизель-генератор).</w:t>
      </w:r>
      <w:r/>
    </w:p>
    <w:p>
      <w:pPr>
        <w:pStyle w:val="12960"/>
        <w:pBdr/>
        <w:spacing/>
        <w:ind/>
        <w:rPr/>
      </w:pPr>
      <w:r>
        <w:t xml:space="preserve">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r/>
    </w:p>
    <w:p>
      <w:pPr>
        <w:pStyle w:val="12960"/>
        <w:pBdr/>
        <w:spacing/>
        <w:ind/>
        <w:rPr/>
      </w:pPr>
      <w:r>
        <w:t xml:space="preserve">При авариях или перебоях электроснабжения производится переключение на резервные источники электроснабжения (ДЭС).</w:t>
      </w:r>
      <w:r/>
    </w:p>
    <w:p>
      <w:pPr>
        <w:pStyle w:val="12960"/>
        <w:pBdr/>
        <w:spacing/>
        <w:ind/>
        <w:rPr/>
      </w:pPr>
      <w:r>
        <w:t xml:space="preserve">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w:t>
      </w:r>
      <w:r>
        <w:t xml:space="preserve">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r/>
    </w:p>
    <w:p>
      <w:pPr>
        <w:pStyle w:val="10535"/>
        <w:keepNext w:val="true"/>
        <w:widowControl w:val="true"/>
        <w:numPr>
          <w:ilvl w:val="1"/>
          <w:numId w:val="13"/>
        </w:numPr>
        <w:pBdr/>
        <w:bidi w:val="false"/>
        <w:spacing w:after="240" w:before="360" w:line="360" w:lineRule="auto"/>
        <w:ind w:right="0" w:hanging="737" w:left="680"/>
        <w:jc w:val="center"/>
        <w:rPr>
          <w:rFonts w:cs="Times New Roman"/>
        </w:rPr>
      </w:pPr>
      <w:r/>
      <w:bookmarkStart w:id="1073" w:name="_Toc198483640"/>
      <w:r/>
      <w:bookmarkStart w:id="1074" w:name="_Toc166621427"/>
      <w:r/>
      <w:bookmarkStart w:id="1075" w:name="_Toc166767301"/>
      <w:r>
        <w:rPr>
          <w:rFonts w:cs="Times New Roman"/>
        </w:rPr>
        <w:t xml:space="preserve">Аварийные режимы работы, связанных с прекращением подачи тепловой энергии</w:t>
      </w:r>
      <w:bookmarkEnd w:id="1073"/>
      <w:r/>
      <w:bookmarkEnd w:id="1074"/>
      <w:r/>
      <w:bookmarkEnd w:id="1075"/>
      <w:r/>
      <w:r>
        <w:rPr>
          <w:rFonts w:cs="Times New Roman"/>
        </w:rPr>
      </w:r>
    </w:p>
    <w:p>
      <w:pPr>
        <w:pStyle w:val="12960"/>
        <w:pBdr/>
        <w:spacing/>
        <w:ind/>
        <w:rPr>
          <w:color w:val="auto"/>
        </w:rPr>
      </w:pPr>
      <w:r>
        <w:rPr>
          <w:color w:val="auto"/>
        </w:rPr>
        <w:t xml:space="preserve">Согласно СП 74.13330.2023 «Тепловые сети», минимально допустимые показ</w:t>
      </w:r>
      <w:r>
        <w:rPr>
          <w:color w:val="auto"/>
        </w:rPr>
        <w:t xml:space="preserve">атели вероятности безотказной работы для источника теплоты составляют 0,97. Это означает, что в течении года из 100 источников теплоснабжения допускается выход из строя 3х источников теплоснабжения с прекращением теплоснабжения на время выше нормативного. </w:t>
      </w:r>
      <w:r>
        <w:rPr>
          <w:color w:val="auto"/>
        </w:rPr>
      </w:r>
    </w:p>
    <w:p>
      <w:pPr>
        <w:pStyle w:val="12960"/>
        <w:pBdr/>
        <w:spacing/>
        <w:ind/>
        <w:rPr>
          <w:color w:val="auto"/>
        </w:rPr>
      </w:pPr>
      <w:r>
        <w:rPr>
          <w:color w:val="auto"/>
        </w:rPr>
        <w:t xml:space="preserve">В соответствии с СП 74.13330.2023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r>
        <w:rPr>
          <w:color w:val="auto"/>
        </w:rPr>
      </w:r>
    </w:p>
    <w:p>
      <w:pPr>
        <w:pStyle w:val="13832"/>
        <w:keepNext w:val="false"/>
        <w:widowControl w:val="true"/>
        <w:numPr>
          <w:ilvl w:val="0"/>
          <w:numId w:val="61"/>
        </w:numPr>
        <w:pBdr/>
        <w:bidi w:val="false"/>
        <w:spacing w:after="0" w:before="0" w:line="360" w:lineRule="auto"/>
        <w:ind w:right="0" w:firstLine="567" w:left="0"/>
        <w:jc w:val="both"/>
        <w:rPr/>
      </w:pPr>
      <w:r>
        <w:t xml:space="preserve">подача 100% необходимой теплоты потребителям первой категории (если иные режимы не предусмотрены договором);</w:t>
      </w:r>
      <w:r/>
    </w:p>
    <w:p>
      <w:pPr>
        <w:pStyle w:val="13832"/>
        <w:keepNext w:val="false"/>
        <w:widowControl w:val="true"/>
        <w:numPr>
          <w:ilvl w:val="0"/>
          <w:numId w:val="61"/>
        </w:numPr>
        <w:pBdr/>
        <w:bidi w:val="false"/>
        <w:spacing w:after="0" w:before="0" w:line="360" w:lineRule="auto"/>
        <w:ind w:right="0" w:firstLine="567" w:left="0"/>
        <w:jc w:val="both"/>
        <w:rPr/>
      </w:pPr>
      <w:r>
        <w:t xml:space="preserve">подача теплоты на отопление и вентиляцию жилищно-коммунальным и промышленным потребителям второй и третьей категорий в размерах, указанных в таблице ниже;</w:t>
      </w:r>
      <w:r/>
    </w:p>
    <w:p>
      <w:pPr>
        <w:pStyle w:val="13832"/>
        <w:keepNext w:val="false"/>
        <w:widowControl w:val="true"/>
        <w:numPr>
          <w:ilvl w:val="0"/>
          <w:numId w:val="61"/>
        </w:numPr>
        <w:pBdr/>
        <w:bidi w:val="false"/>
        <w:spacing w:after="0" w:before="0" w:line="360" w:lineRule="auto"/>
        <w:ind w:right="0" w:firstLine="567" w:left="0"/>
        <w:jc w:val="both"/>
        <w:rPr/>
      </w:pPr>
      <w:r>
        <w:t xml:space="preserve">заданный потребителем аварийный режим расхода пара и технологической горячей воды;</w:t>
      </w:r>
      <w:r/>
    </w:p>
    <w:p>
      <w:pPr>
        <w:pStyle w:val="13832"/>
        <w:keepNext w:val="false"/>
        <w:widowControl w:val="true"/>
        <w:numPr>
          <w:ilvl w:val="0"/>
          <w:numId w:val="61"/>
        </w:numPr>
        <w:pBdr/>
        <w:bidi w:val="false"/>
        <w:spacing w:after="0" w:before="0" w:line="360" w:lineRule="auto"/>
        <w:ind w:right="0" w:firstLine="567" w:left="0"/>
        <w:jc w:val="both"/>
        <w:rPr/>
      </w:pPr>
      <w:r>
        <w:t xml:space="preserve">заданный потребителем аварийный тепловой режим работы неотключаемых вентиляционных систем;</w:t>
      </w:r>
      <w:r/>
    </w:p>
    <w:p>
      <w:pPr>
        <w:pStyle w:val="13832"/>
        <w:keepNext w:val="false"/>
        <w:widowControl w:val="true"/>
        <w:numPr>
          <w:ilvl w:val="0"/>
          <w:numId w:val="61"/>
        </w:numPr>
        <w:pBdr/>
        <w:bidi w:val="false"/>
        <w:spacing w:after="0" w:before="0" w:line="360" w:lineRule="auto"/>
        <w:ind w:right="0" w:firstLine="567" w:left="0"/>
        <w:jc w:val="both"/>
        <w:rPr/>
      </w:pPr>
      <w:r>
        <w:t xml:space="preserve">среднесуточный расход теплоты за отопительный период на горячее водоснабжение (при невозможности его отключения).</w:t>
      </w:r>
      <w:r/>
    </w:p>
    <w:p>
      <w:pPr>
        <w:pStyle w:val="12960"/>
        <w:pBdr/>
        <w:spacing/>
        <w:ind/>
        <w:rPr>
          <w:color w:val="auto"/>
        </w:rPr>
      </w:pPr>
      <w:r>
        <w:rPr>
          <w:color w:val="auto"/>
        </w:rPr>
      </w:r>
      <w:r>
        <w:rPr>
          <w:color w:val="auto"/>
        </w:rPr>
      </w:r>
    </w:p>
    <w:p>
      <w:pPr>
        <w:pStyle w:val="12960"/>
        <w:pBdr/>
        <w:spacing/>
        <w:ind/>
        <w:rPr>
          <w:b/>
          <w:bCs w:val="0"/>
          <w:color w:val="auto"/>
        </w:rPr>
      </w:pPr>
      <w:r>
        <w:rPr>
          <w:b/>
          <w:bCs w:val="0"/>
          <w:color w:val="auto"/>
        </w:rPr>
        <w:t xml:space="preserve">Таблица 11.13.1.1 - Допустимое снижение подачи теплоты при авариях (отказах) в системе централизованного теплоснабжения потребителям второй и третьей категорий</w:t>
      </w:r>
      <w:r>
        <w:rPr>
          <w:b/>
          <w:bCs w:val="0"/>
          <w:color w:val="auto"/>
        </w:rPr>
      </w:r>
    </w:p>
    <w:tbl>
      <w:tblPr>
        <w:tblStyle w:val="13741"/>
        <w:tblInd w:w="0" w:type="dxa"/>
        <w:tblW w:w="5000" w:type="pct"/>
        <w:tblCellMar>
          <w:left w:w="5" w:type="dxa"/>
          <w:top w:w="0" w:type="dxa"/>
          <w:right w:w="5" w:type="dxa"/>
          <w:bottom w:w="0" w:type="dxa"/>
        </w:tblCellMar>
        <w:tblBorders/>
        <w:tblLayout w:type="fixed"/>
        <w:tblLook w:val="04A0" w:firstRow="1" w:lastRow="0" w:firstColumn="1" w:lastColumn="0" w:noHBand="0" w:noVBand="1"/>
      </w:tblPr>
      <w:tblGrid>
        <w:gridCol w:w="2570"/>
        <w:gridCol w:w="1165"/>
        <w:gridCol w:w="1151"/>
        <w:gridCol w:w="1153"/>
        <w:gridCol w:w="1153"/>
        <w:gridCol w:w="2162"/>
      </w:tblGrid>
      <w:tr>
        <w:trPr>
          <w:trHeight w:val="20"/>
        </w:trPr>
        <w:tc>
          <w:tcPr>
            <w:shd w:val="clear" w:color="auto" w:fill="d9d9d9" w:themeFill="background1" w:themeFillShade="D9"/>
            <w:tcBorders>
              <w:top w:val="single" w:color="000000" w:sz="4" w:space="0"/>
              <w:left w:val="single" w:color="000000" w:sz="4" w:space="0"/>
              <w:bottom w:val="single" w:color="000000" w:sz="6" w:space="0"/>
              <w:right w:val="single" w:color="000000" w:sz="4" w:space="0"/>
            </w:tcBorders>
            <w:tcW w:w="2570" w:type="dxa"/>
            <w:vAlign w:val="center"/>
            <w:vMerge w:val="restart"/>
          </w:tcPr>
          <w:p>
            <w:pPr>
              <w:pStyle w:val="12385"/>
              <w:pBdr/>
              <w:spacing w:after="0" w:before="0"/>
              <w:ind/>
              <w:rPr>
                <w:rFonts w:cs="Times New Roman"/>
              </w:rPr>
            </w:pPr>
            <w:r>
              <w:rPr>
                <w:rFonts w:cs="Times New Roman"/>
                <w:lang w:val="en-US" w:bidi="ar-SA"/>
              </w:rPr>
              <w:t xml:space="preserve">Наименование показа теля</w:t>
            </w:r>
            <w:r>
              <w:rPr>
                <w:rFonts w:cs="Times New Roman"/>
              </w:rPr>
            </w:r>
          </w:p>
        </w:tc>
        <w:tc>
          <w:tcPr>
            <w:gridSpan w:val="5"/>
            <w:shd w:val="clear" w:color="auto" w:fill="d9d9d9" w:themeFill="background1" w:themeFillShade="D9"/>
            <w:tcBorders>
              <w:top w:val="single" w:color="000000" w:sz="4" w:space="0"/>
              <w:left w:val="single" w:color="000000" w:sz="4" w:space="0"/>
              <w:bottom w:val="single" w:color="000000" w:sz="6" w:space="0"/>
              <w:right w:val="single" w:color="000000" w:sz="4" w:space="0"/>
            </w:tcBorders>
            <w:tcW w:w="6784" w:type="dxa"/>
            <w:vAlign w:val="center"/>
          </w:tcPr>
          <w:p>
            <w:pPr>
              <w:pStyle w:val="12385"/>
              <w:pBdr/>
              <w:spacing w:after="0" w:before="0"/>
              <w:ind/>
              <w:rPr>
                <w:rFonts w:cs="Times New Roman"/>
                <w:lang w:val="ru-RU"/>
              </w:rPr>
            </w:pPr>
            <w:r>
              <w:rPr>
                <w:rFonts w:cs="Times New Roman"/>
                <w:lang w:val="ru-RU" w:bidi="ar-SA"/>
              </w:rPr>
              <w:t xml:space="preserve">Расчетная температура наружного воздуха для проектирова-</w:t>
            </w:r>
            <w:r>
              <w:rPr>
                <w:rFonts w:cs="Times New Roman"/>
                <w:lang w:val="ru-RU"/>
              </w:rPr>
            </w:r>
          </w:p>
          <w:p>
            <w:pPr>
              <w:pStyle w:val="12385"/>
              <w:pBdr/>
              <w:spacing w:after="0" w:before="0"/>
              <w:ind/>
              <w:rPr>
                <w:rFonts w:cs="Times New Roman"/>
              </w:rPr>
            </w:pPr>
            <w:r>
              <w:rPr>
                <w:rFonts w:cs="Times New Roman"/>
                <w:lang w:val="en-US" w:bidi="ar-SA"/>
              </w:rPr>
              <w:t xml:space="preserve">ния отопления t</w:t>
            </w:r>
            <w:r>
              <w:rPr>
                <w:rFonts w:cs="Times New Roman"/>
                <w:sz w:val="16"/>
                <w:lang w:val="en-US" w:bidi="ar-SA"/>
              </w:rPr>
              <w:t xml:space="preserve">о</w:t>
            </w:r>
            <w:r>
              <w:rPr>
                <w:rFonts w:cs="Times New Roman"/>
                <w:lang w:val="en-US" w:bidi="ar-SA"/>
              </w:rPr>
              <w:t xml:space="preserve">, °С</w:t>
            </w:r>
            <w:r>
              <w:rPr>
                <w:rFonts w:cs="Times New Roman"/>
              </w:rPr>
            </w:r>
          </w:p>
        </w:tc>
      </w:tr>
      <w:tr>
        <w:trPr>
          <w:trHeight w:val="20"/>
        </w:trPr>
        <w:tc>
          <w:tcPr>
            <w:shd w:val="clear" w:color="auto" w:fill="d9d9d9" w:themeFill="background1" w:themeFillShade="D9"/>
            <w:tcBorders>
              <w:left w:val="single" w:color="000000" w:sz="4" w:space="0"/>
              <w:bottom w:val="single" w:color="000000" w:sz="6" w:space="0"/>
              <w:right w:val="single" w:color="000000" w:sz="4" w:space="0"/>
            </w:tcBorders>
            <w:tcW w:w="2570" w:type="dxa"/>
            <w:vAlign w:val="center"/>
            <w:vMerge w:val="continue"/>
          </w:tcPr>
          <w:p>
            <w:pPr>
              <w:pStyle w:val="12385"/>
              <w:pBdr/>
              <w:spacing w:after="0" w:before="0"/>
              <w:ind/>
              <w:rPr>
                <w:rFonts w:cs="Times New Roman"/>
                <w:sz w:val="2"/>
                <w:szCs w:val="2"/>
              </w:rPr>
            </w:pPr>
            <w:r>
              <w:rPr>
                <w:rFonts w:cs="Times New Roman"/>
                <w:sz w:val="2"/>
                <w:szCs w:val="2"/>
                <w:lang w:val="en-US" w:bidi="ar-SA"/>
              </w:rPr>
            </w:r>
            <w:r>
              <w:rPr>
                <w:rFonts w:cs="Times New Roman"/>
                <w:sz w:val="2"/>
                <w:szCs w:val="2"/>
              </w:rPr>
            </w:r>
          </w:p>
        </w:tc>
        <w:tc>
          <w:tcPr>
            <w:shd w:val="clear" w:color="auto" w:fill="d9d9d9" w:themeFill="background1" w:themeFillShade="D9"/>
            <w:tcBorders>
              <w:top w:val="single" w:color="000000" w:sz="6" w:space="0"/>
              <w:left w:val="single" w:color="000000" w:sz="4" w:space="0"/>
              <w:bottom w:val="single" w:color="000000" w:sz="6" w:space="0"/>
              <w:right w:val="single" w:color="000000" w:sz="4" w:space="0"/>
            </w:tcBorders>
            <w:tcW w:w="1165" w:type="dxa"/>
            <w:vAlign w:val="center"/>
          </w:tcPr>
          <w:p>
            <w:pPr>
              <w:pStyle w:val="12385"/>
              <w:pBdr/>
              <w:spacing w:after="0" w:before="0"/>
              <w:ind/>
              <w:rPr>
                <w:rFonts w:cs="Times New Roman"/>
              </w:rPr>
            </w:pPr>
            <w:r>
              <w:rPr>
                <w:rFonts w:cs="Times New Roman"/>
                <w:lang w:val="en-US" w:bidi="ar-SA"/>
              </w:rPr>
              <w:t xml:space="preserve">минус 10</w:t>
            </w:r>
            <w:r>
              <w:rPr>
                <w:rFonts w:cs="Times New Roman"/>
              </w:rPr>
            </w:r>
          </w:p>
        </w:tc>
        <w:tc>
          <w:tcPr>
            <w:shd w:val="clear" w:color="auto" w:fill="d9d9d9" w:themeFill="background1" w:themeFillShade="D9"/>
            <w:tcBorders>
              <w:top w:val="single" w:color="000000" w:sz="6" w:space="0"/>
              <w:left w:val="single" w:color="000000" w:sz="4" w:space="0"/>
              <w:bottom w:val="single" w:color="000000" w:sz="6" w:space="0"/>
              <w:right w:val="single" w:color="000000" w:sz="4" w:space="0"/>
            </w:tcBorders>
            <w:tcW w:w="1151" w:type="dxa"/>
            <w:vAlign w:val="center"/>
          </w:tcPr>
          <w:p>
            <w:pPr>
              <w:pStyle w:val="12385"/>
              <w:pBdr/>
              <w:spacing w:after="0" w:before="0"/>
              <w:ind/>
              <w:rPr>
                <w:rFonts w:cs="Times New Roman"/>
              </w:rPr>
            </w:pPr>
            <w:r>
              <w:rPr>
                <w:rFonts w:cs="Times New Roman"/>
                <w:lang w:val="en-US" w:bidi="ar-SA"/>
              </w:rPr>
              <w:t xml:space="preserve">минус 20</w:t>
            </w:r>
            <w:r>
              <w:rPr>
                <w:rFonts w:cs="Times New Roman"/>
              </w:rPr>
            </w:r>
          </w:p>
        </w:tc>
        <w:tc>
          <w:tcPr>
            <w:shd w:val="clear" w:color="auto" w:fill="d9d9d9" w:themeFill="background1" w:themeFillShade="D9"/>
            <w:tcBorders>
              <w:top w:val="single" w:color="000000" w:sz="6" w:space="0"/>
              <w:left w:val="single" w:color="000000" w:sz="4" w:space="0"/>
              <w:bottom w:val="single" w:color="000000" w:sz="6" w:space="0"/>
              <w:right w:val="single" w:color="000000" w:sz="4" w:space="0"/>
            </w:tcBorders>
            <w:tcW w:w="1153" w:type="dxa"/>
            <w:vAlign w:val="center"/>
          </w:tcPr>
          <w:p>
            <w:pPr>
              <w:pStyle w:val="12385"/>
              <w:pBdr/>
              <w:spacing w:after="0" w:before="0"/>
              <w:ind/>
              <w:rPr>
                <w:rFonts w:cs="Times New Roman"/>
              </w:rPr>
            </w:pPr>
            <w:r>
              <w:rPr>
                <w:rFonts w:cs="Times New Roman"/>
                <w:lang w:val="en-US" w:bidi="ar-SA"/>
              </w:rPr>
              <w:t xml:space="preserve">минус 30</w:t>
            </w:r>
            <w:r>
              <w:rPr>
                <w:rFonts w:cs="Times New Roman"/>
              </w:rPr>
            </w:r>
          </w:p>
        </w:tc>
        <w:tc>
          <w:tcPr>
            <w:shd w:val="clear" w:color="auto" w:fill="d9d9d9" w:themeFill="background1" w:themeFillShade="D9"/>
            <w:tcBorders>
              <w:top w:val="single" w:color="000000" w:sz="6" w:space="0"/>
              <w:left w:val="single" w:color="000000" w:sz="4" w:space="0"/>
              <w:bottom w:val="single" w:color="000000" w:sz="6" w:space="0"/>
              <w:right w:val="single" w:color="000000" w:sz="4" w:space="0"/>
            </w:tcBorders>
            <w:tcW w:w="1153" w:type="dxa"/>
            <w:vAlign w:val="center"/>
          </w:tcPr>
          <w:p>
            <w:pPr>
              <w:pStyle w:val="12385"/>
              <w:pBdr/>
              <w:spacing w:after="0" w:before="0"/>
              <w:ind/>
              <w:rPr>
                <w:rFonts w:cs="Times New Roman"/>
              </w:rPr>
            </w:pPr>
            <w:r>
              <w:rPr>
                <w:rFonts w:cs="Times New Roman"/>
                <w:lang w:val="en-US" w:bidi="ar-SA"/>
              </w:rPr>
              <w:t xml:space="preserve">минус 40</w:t>
            </w:r>
            <w:r>
              <w:rPr>
                <w:rFonts w:cs="Times New Roman"/>
              </w:rPr>
            </w:r>
          </w:p>
        </w:tc>
        <w:tc>
          <w:tcPr>
            <w:shd w:val="clear" w:color="auto" w:fill="d9d9d9" w:themeFill="background1" w:themeFillShade="D9"/>
            <w:tcBorders>
              <w:top w:val="single" w:color="000000" w:sz="6" w:space="0"/>
              <w:left w:val="single" w:color="000000" w:sz="4" w:space="0"/>
              <w:bottom w:val="single" w:color="000000" w:sz="6" w:space="0"/>
              <w:right w:val="single" w:color="000000" w:sz="4" w:space="0"/>
            </w:tcBorders>
            <w:tcW w:w="2162" w:type="dxa"/>
            <w:vAlign w:val="center"/>
          </w:tcPr>
          <w:p>
            <w:pPr>
              <w:pStyle w:val="12385"/>
              <w:pBdr/>
              <w:spacing w:after="0" w:before="0"/>
              <w:ind/>
              <w:rPr>
                <w:rFonts w:cs="Times New Roman"/>
              </w:rPr>
            </w:pPr>
            <w:r>
              <w:rPr>
                <w:rFonts w:cs="Times New Roman"/>
                <w:lang w:val="en-US" w:bidi="ar-SA"/>
              </w:rPr>
              <w:t xml:space="preserve">минус 50</w:t>
            </w:r>
            <w:r>
              <w:rPr>
                <w:rFonts w:cs="Times New Roman"/>
              </w:rPr>
            </w:r>
          </w:p>
        </w:tc>
      </w:tr>
      <w:tr>
        <w:trPr>
          <w:trHeight w:val="20"/>
        </w:trPr>
        <w:tc>
          <w:tcPr>
            <w:tcBorders>
              <w:top w:val="single" w:color="000000" w:sz="6" w:space="0"/>
              <w:left w:val="single" w:color="000000" w:sz="4" w:space="0"/>
              <w:bottom w:val="single" w:color="000000" w:sz="6" w:space="0"/>
              <w:right w:val="single" w:color="000000" w:sz="4" w:space="0"/>
            </w:tcBorders>
            <w:tcW w:w="2570" w:type="dxa"/>
            <w:vAlign w:val="center"/>
          </w:tcPr>
          <w:p>
            <w:pPr>
              <w:pStyle w:val="12385"/>
              <w:pBdr/>
              <w:spacing w:after="0" w:before="0"/>
              <w:ind/>
              <w:rPr>
                <w:rFonts w:cs="Times New Roman"/>
                <w:lang w:val="ru-RU"/>
              </w:rPr>
            </w:pPr>
            <w:r>
              <w:rPr>
                <w:rFonts w:cs="Times New Roman"/>
                <w:lang w:val="ru-RU" w:bidi="ar-SA"/>
              </w:rPr>
              <w:t xml:space="preserve">Допустимое снижение</w:t>
            </w:r>
            <w:r>
              <w:rPr>
                <w:rFonts w:cs="Times New Roman"/>
                <w:lang w:val="ru-RU"/>
              </w:rPr>
            </w:r>
          </w:p>
          <w:p>
            <w:pPr>
              <w:pStyle w:val="12385"/>
              <w:pBdr/>
              <w:spacing w:after="0" w:before="0"/>
              <w:ind/>
              <w:rPr>
                <w:rFonts w:cs="Times New Roman"/>
                <w:lang w:val="ru-RU"/>
              </w:rPr>
            </w:pPr>
            <w:r>
              <w:rPr>
                <w:rFonts w:cs="Times New Roman"/>
                <w:lang w:val="ru-RU" w:bidi="ar-SA"/>
              </w:rPr>
              <w:t xml:space="preserve">подачи теплоты, %, до</w:t>
            </w:r>
            <w:r>
              <w:rPr>
                <w:rFonts w:cs="Times New Roman"/>
                <w:lang w:val="ru-RU"/>
              </w:rPr>
            </w:r>
          </w:p>
        </w:tc>
        <w:tc>
          <w:tcPr>
            <w:tcBorders>
              <w:top w:val="single" w:color="000000" w:sz="6" w:space="0"/>
              <w:left w:val="single" w:color="000000" w:sz="4" w:space="0"/>
              <w:bottom w:val="single" w:color="000000" w:sz="6" w:space="0"/>
              <w:right w:val="single" w:color="000000" w:sz="4" w:space="0"/>
            </w:tcBorders>
            <w:tcW w:w="1165" w:type="dxa"/>
            <w:vAlign w:val="center"/>
          </w:tcPr>
          <w:p>
            <w:pPr>
              <w:pStyle w:val="12385"/>
              <w:pBdr/>
              <w:spacing w:after="0" w:before="0"/>
              <w:ind/>
              <w:rPr>
                <w:rFonts w:cs="Times New Roman"/>
              </w:rPr>
            </w:pPr>
            <w:r>
              <w:rPr>
                <w:rFonts w:cs="Times New Roman"/>
                <w:lang w:val="en-US" w:bidi="ar-SA"/>
              </w:rPr>
              <w:t xml:space="preserve">78</w:t>
            </w:r>
            <w:r>
              <w:rPr>
                <w:rFonts w:cs="Times New Roman"/>
              </w:rPr>
            </w:r>
          </w:p>
        </w:tc>
        <w:tc>
          <w:tcPr>
            <w:tcBorders>
              <w:top w:val="single" w:color="000000" w:sz="6" w:space="0"/>
              <w:left w:val="single" w:color="000000" w:sz="4" w:space="0"/>
              <w:bottom w:val="single" w:color="000000" w:sz="6" w:space="0"/>
              <w:right w:val="single" w:color="000000" w:sz="4" w:space="0"/>
            </w:tcBorders>
            <w:tcW w:w="1151" w:type="dxa"/>
            <w:vAlign w:val="center"/>
          </w:tcPr>
          <w:p>
            <w:pPr>
              <w:pStyle w:val="12385"/>
              <w:pBdr/>
              <w:spacing w:after="0" w:before="0"/>
              <w:ind/>
              <w:rPr>
                <w:rFonts w:cs="Times New Roman"/>
              </w:rPr>
            </w:pPr>
            <w:r>
              <w:rPr>
                <w:rFonts w:cs="Times New Roman"/>
                <w:lang w:val="en-US" w:bidi="ar-SA"/>
              </w:rPr>
              <w:t xml:space="preserve">84</w:t>
            </w:r>
            <w:r>
              <w:rPr>
                <w:rFonts w:cs="Times New Roman"/>
              </w:rPr>
            </w:r>
          </w:p>
        </w:tc>
        <w:tc>
          <w:tcPr>
            <w:tcBorders>
              <w:top w:val="single" w:color="000000" w:sz="6" w:space="0"/>
              <w:left w:val="single" w:color="000000" w:sz="4" w:space="0"/>
              <w:bottom w:val="single" w:color="000000" w:sz="6" w:space="0"/>
              <w:right w:val="single" w:color="000000" w:sz="4" w:space="0"/>
            </w:tcBorders>
            <w:tcW w:w="1153" w:type="dxa"/>
            <w:vAlign w:val="center"/>
          </w:tcPr>
          <w:p>
            <w:pPr>
              <w:pStyle w:val="12385"/>
              <w:pBdr/>
              <w:spacing w:after="0" w:before="0"/>
              <w:ind/>
              <w:rPr>
                <w:rFonts w:cs="Times New Roman"/>
              </w:rPr>
            </w:pPr>
            <w:r>
              <w:rPr>
                <w:rFonts w:cs="Times New Roman"/>
                <w:lang w:val="en-US" w:bidi="ar-SA"/>
              </w:rPr>
              <w:t xml:space="preserve">87</w:t>
            </w:r>
            <w:r>
              <w:rPr>
                <w:rFonts w:cs="Times New Roman"/>
              </w:rPr>
            </w:r>
          </w:p>
        </w:tc>
        <w:tc>
          <w:tcPr>
            <w:tcBorders>
              <w:top w:val="single" w:color="000000" w:sz="6" w:space="0"/>
              <w:left w:val="single" w:color="000000" w:sz="4" w:space="0"/>
              <w:bottom w:val="single" w:color="000000" w:sz="6" w:space="0"/>
              <w:right w:val="single" w:color="000000" w:sz="4" w:space="0"/>
            </w:tcBorders>
            <w:tcW w:w="1153" w:type="dxa"/>
            <w:vAlign w:val="center"/>
          </w:tcPr>
          <w:p>
            <w:pPr>
              <w:pStyle w:val="12385"/>
              <w:pBdr/>
              <w:spacing w:after="0" w:before="0"/>
              <w:ind/>
              <w:rPr>
                <w:rFonts w:cs="Times New Roman"/>
              </w:rPr>
            </w:pPr>
            <w:r>
              <w:rPr>
                <w:rFonts w:cs="Times New Roman"/>
                <w:lang w:val="en-US" w:bidi="ar-SA"/>
              </w:rPr>
              <w:t xml:space="preserve">89</w:t>
            </w:r>
            <w:r>
              <w:rPr>
                <w:rFonts w:cs="Times New Roman"/>
              </w:rPr>
            </w:r>
          </w:p>
        </w:tc>
        <w:tc>
          <w:tcPr>
            <w:tcBorders>
              <w:top w:val="single" w:color="000000" w:sz="6" w:space="0"/>
              <w:left w:val="single" w:color="000000" w:sz="4" w:space="0"/>
              <w:bottom w:val="single" w:color="000000" w:sz="6" w:space="0"/>
              <w:right w:val="single" w:color="000000" w:sz="4" w:space="0"/>
            </w:tcBorders>
            <w:tcW w:w="2162" w:type="dxa"/>
            <w:vAlign w:val="center"/>
          </w:tcPr>
          <w:p>
            <w:pPr>
              <w:pStyle w:val="12385"/>
              <w:pBdr/>
              <w:spacing w:after="0" w:before="0"/>
              <w:ind/>
              <w:rPr>
                <w:rFonts w:cs="Times New Roman"/>
              </w:rPr>
            </w:pPr>
            <w:r>
              <w:rPr>
                <w:rFonts w:cs="Times New Roman"/>
                <w:lang w:val="en-US" w:bidi="ar-SA"/>
              </w:rPr>
              <w:t xml:space="preserve">91</w:t>
            </w:r>
            <w:r>
              <w:rPr>
                <w:rFonts w:cs="Times New Roman"/>
              </w:rPr>
            </w:r>
          </w:p>
        </w:tc>
      </w:tr>
      <w:tr>
        <w:trPr>
          <w:trHeight w:val="20"/>
        </w:trPr>
        <w:tc>
          <w:tcPr>
            <w:gridSpan w:val="6"/>
            <w:tcBorders>
              <w:top w:val="single" w:color="000000" w:sz="6" w:space="0"/>
              <w:left w:val="single" w:color="000000" w:sz="4" w:space="0"/>
              <w:bottom w:val="single" w:color="000000" w:sz="4" w:space="0"/>
              <w:right w:val="single" w:color="000000" w:sz="4" w:space="0"/>
            </w:tcBorders>
            <w:tcW w:w="9354" w:type="dxa"/>
            <w:vAlign w:val="center"/>
          </w:tcPr>
          <w:p>
            <w:pPr>
              <w:pStyle w:val="12385"/>
              <w:pBdr/>
              <w:spacing w:after="0" w:before="0"/>
              <w:ind/>
              <w:rPr>
                <w:rFonts w:cs="Times New Roman"/>
              </w:rPr>
            </w:pPr>
            <w:r>
              <w:rPr>
                <w:rFonts w:cs="Times New Roman"/>
                <w:lang w:val="ru-RU" w:bidi="ar-SA"/>
              </w:rPr>
              <w:t xml:space="preserve">П р и м е ч а н и е - Таблица соответствует температуре наружного воздуха наиболее холодной пятидневки обеспеченностью </w:t>
            </w:r>
            <w:r>
              <w:rPr>
                <w:rFonts w:cs="Times New Roman"/>
                <w:lang w:val="en-US" w:bidi="ar-SA"/>
              </w:rPr>
              <w:t xml:space="preserve">0,92.</w:t>
            </w:r>
            <w:r>
              <w:rPr>
                <w:rFonts w:cs="Times New Roman"/>
              </w:rPr>
            </w:r>
          </w:p>
        </w:tc>
      </w:tr>
    </w:tbl>
    <w:p>
      <w:pPr>
        <w:pStyle w:val="12960"/>
        <w:pBdr/>
        <w:spacing/>
        <w:ind/>
        <w:rPr>
          <w:color w:val="auto"/>
        </w:rPr>
      </w:pPr>
      <w:r>
        <w:rPr>
          <w:color w:val="auto"/>
        </w:rPr>
      </w:r>
      <w:r>
        <w:rPr>
          <w:color w:val="auto"/>
        </w:rPr>
      </w:r>
    </w:p>
    <w:p>
      <w:pPr>
        <w:pStyle w:val="10535"/>
        <w:keepNext w:val="true"/>
        <w:widowControl w:val="true"/>
        <w:numPr>
          <w:ilvl w:val="1"/>
          <w:numId w:val="13"/>
        </w:numPr>
        <w:pBdr/>
        <w:bidi w:val="false"/>
        <w:spacing w:after="240" w:before="360" w:line="360" w:lineRule="auto"/>
        <w:ind w:right="0" w:hanging="737" w:left="680"/>
        <w:jc w:val="center"/>
        <w:rPr>
          <w:rFonts w:cs="Times New Roman"/>
        </w:rPr>
      </w:pPr>
      <w:r/>
      <w:r/>
      <w:bookmarkStart w:id="1077" w:name="_Toc166767302"/>
      <w:r/>
      <w:bookmarkStart w:id="1078" w:name="_Toc166621428"/>
      <w:r>
        <w:rPr>
          <w:rFonts w:cs="Times New Roman"/>
        </w:rPr>
        <w:t xml:space="preserve">С</w:t>
      </w:r>
      <w:bookmarkEnd w:id="1077"/>
      <w:r/>
      <w:bookmarkEnd w:id="1078"/>
      <w:r>
        <w:rPr>
          <w:rFonts w:cs="Times New Roman"/>
        </w:rPr>
        <w:t xml:space="preserve">ценар</w:t>
      </w:r>
      <w:r>
        <w:rPr>
          <w:rFonts w:cs="Times New Roman"/>
        </w:rPr>
        <w:t xml:space="preserve">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Pr>
          <w:rFonts w:cs="Times New Roman"/>
        </w:rPr>
      </w:r>
    </w:p>
    <w:p>
      <w:pPr>
        <w:pStyle w:val="10535"/>
        <w:numPr>
          <w:ilvl w:val="0"/>
          <w:numId w:val="0"/>
        </w:numPr>
        <w:pBdr/>
        <w:spacing/>
        <w:ind w:firstLine="0" w:left="1778"/>
        <w:rPr>
          <w:rFonts w:cs="Times New Roman"/>
        </w:rPr>
      </w:pPr>
      <w:r/>
      <w:bookmarkStart w:id="1079" w:name="_Toc198483641"/>
      <w:r>
        <w:rPr>
          <w:rFonts w:cs="Times New Roman"/>
        </w:rPr>
        <w:t xml:space="preserve">Обозначения и сокращения</w:t>
      </w:r>
      <w:bookmarkEnd w:id="1079"/>
      <w:r/>
      <w:r>
        <w:rPr>
          <w:rFonts w:cs="Times New Roman"/>
        </w:rPr>
      </w:r>
    </w:p>
    <w:p>
      <w:pPr>
        <w:pStyle w:val="12960"/>
        <w:pBdr/>
        <w:spacing/>
        <w:ind/>
        <w:rPr/>
      </w:pPr>
      <w:r/>
      <w:r/>
    </w:p>
    <w:p>
      <w:pPr>
        <w:pStyle w:val="13832"/>
        <w:numPr>
          <w:ilvl w:val="0"/>
          <w:numId w:val="61"/>
        </w:numPr>
        <w:pBdr/>
        <w:spacing/>
        <w:ind w:hanging="284" w:left="1135"/>
        <w:rPr/>
      </w:pPr>
      <w:r>
        <w:t xml:space="preserve">ТСО – Теплоснабжающая организация;</w:t>
      </w:r>
      <w:r/>
    </w:p>
    <w:p>
      <w:pPr>
        <w:pStyle w:val="13832"/>
        <w:numPr>
          <w:ilvl w:val="0"/>
          <w:numId w:val="61"/>
        </w:numPr>
        <w:pBdr/>
        <w:spacing/>
        <w:ind w:hanging="284" w:left="1135"/>
        <w:rPr/>
      </w:pPr>
      <w:r>
        <w:t xml:space="preserve">ОДС – оперативно-диспетчерская служба;</w:t>
      </w:r>
      <w:r/>
    </w:p>
    <w:p>
      <w:pPr>
        <w:pStyle w:val="13832"/>
        <w:numPr>
          <w:ilvl w:val="0"/>
          <w:numId w:val="61"/>
        </w:numPr>
        <w:pBdr/>
        <w:spacing/>
        <w:ind w:hanging="284" w:left="1135"/>
        <w:rPr/>
      </w:pPr>
      <w:r>
        <w:t xml:space="preserve">ОРЖКХиОП – отдел развития жилищно-коммунального хозяйства и охраны природы;</w:t>
      </w:r>
      <w:r/>
    </w:p>
    <w:p>
      <w:pPr>
        <w:pStyle w:val="13832"/>
        <w:numPr>
          <w:ilvl w:val="0"/>
          <w:numId w:val="61"/>
        </w:numPr>
        <w:pBdr/>
        <w:spacing/>
        <w:ind w:hanging="284" w:left="1135"/>
        <w:rPr/>
      </w:pPr>
      <w:r>
        <w:t xml:space="preserve">МЧС – министерство чрезвычайных ситуаций;</w:t>
      </w:r>
      <w:r/>
    </w:p>
    <w:p>
      <w:pPr>
        <w:pStyle w:val="13832"/>
        <w:numPr>
          <w:ilvl w:val="0"/>
          <w:numId w:val="61"/>
        </w:numPr>
        <w:pBdr/>
        <w:spacing/>
        <w:ind w:hanging="284" w:left="1135"/>
        <w:rPr/>
      </w:pPr>
      <w:r>
        <w:t xml:space="preserve">ЖФ – Жилой фонд</w:t>
      </w:r>
      <w:r/>
    </w:p>
    <w:p>
      <w:pPr>
        <w:pStyle w:val="13832"/>
        <w:numPr>
          <w:ilvl w:val="0"/>
          <w:numId w:val="61"/>
        </w:numPr>
        <w:pBdr/>
        <w:spacing/>
        <w:ind w:hanging="284" w:left="1135"/>
        <w:rPr/>
      </w:pPr>
      <w:r>
        <w:t xml:space="preserve">УК – управляющая компания;</w:t>
      </w:r>
      <w:r/>
    </w:p>
    <w:p>
      <w:pPr>
        <w:pStyle w:val="13832"/>
        <w:numPr>
          <w:ilvl w:val="0"/>
          <w:numId w:val="61"/>
        </w:numPr>
        <w:pBdr/>
        <w:spacing/>
        <w:ind w:hanging="284" w:left="1135"/>
        <w:rPr/>
      </w:pPr>
      <w:r>
        <w:t xml:space="preserve">УНО – управление образования;</w:t>
      </w:r>
      <w:r/>
    </w:p>
    <w:p>
      <w:pPr>
        <w:pStyle w:val="13832"/>
        <w:numPr>
          <w:ilvl w:val="0"/>
          <w:numId w:val="61"/>
        </w:numPr>
        <w:pBdr/>
        <w:spacing/>
        <w:ind w:hanging="284" w:left="1135"/>
        <w:rPr/>
      </w:pPr>
      <w:r>
        <w:t xml:space="preserve">Тн.в. – температура наружного воздуха.</w:t>
      </w:r>
      <w:r/>
    </w:p>
    <w:p>
      <w:pPr>
        <w:pStyle w:val="10533"/>
        <w:pBdr/>
        <w:spacing/>
        <w:ind/>
        <w:rPr>
          <w:lang w:eastAsia="en-US"/>
        </w:rPr>
      </w:pPr>
      <w:r>
        <w:rPr>
          <w:lang w:eastAsia="en-US"/>
        </w:rPr>
      </w:r>
      <w:r>
        <w:rPr>
          <w:lang w:eastAsia="en-US"/>
        </w:rPr>
      </w:r>
    </w:p>
    <w:p>
      <w:pPr>
        <w:pStyle w:val="10533"/>
        <w:pBdr/>
        <w:spacing/>
        <w:ind/>
        <w:rPr>
          <w:lang w:eastAsia="en-US"/>
        </w:rPr>
      </w:pPr>
      <w:r>
        <w:rPr>
          <w:lang w:eastAsia="en-US"/>
        </w:rPr>
      </w:r>
      <w:r>
        <w:rPr>
          <w:lang w:eastAsia="en-US"/>
        </w:rPr>
      </w:r>
    </w:p>
    <w:p>
      <w:pPr>
        <w:pStyle w:val="12960"/>
        <w:numPr>
          <w:ilvl w:val="0"/>
          <w:numId w:val="96"/>
        </w:numPr>
        <w:pBdr/>
        <w:spacing/>
        <w:ind/>
        <w:rPr/>
      </w:pPr>
      <w:r>
        <w:t xml:space="preserve">Оперативная часть</w:t>
      </w: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316"/>
        <w:gridCol w:w="7038"/>
      </w:tblGrid>
      <w:tr>
        <w:trPr>
          <w:trHeight w:val="454"/>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316" w:type="dxa"/>
            <w:vAlign w:val="center"/>
          </w:tcPr>
          <w:p>
            <w:pPr>
              <w:pStyle w:val="12385"/>
              <w:pBdr/>
              <w:spacing/>
              <w:ind/>
              <w:rPr>
                <w:rFonts w:cs="Times New Roman"/>
              </w:rPr>
            </w:pPr>
            <w:r>
              <w:rPr>
                <w:rFonts w:cs="Times New Roman"/>
              </w:rPr>
              <w:t xml:space="preserve">Место и вид инцидента</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038" w:type="dxa"/>
            <w:vAlign w:val="center"/>
          </w:tcPr>
          <w:p>
            <w:pPr>
              <w:pStyle w:val="12385"/>
              <w:pBdr/>
              <w:spacing/>
              <w:ind/>
              <w:rPr>
                <w:rFonts w:cs="Times New Roman"/>
              </w:rPr>
            </w:pPr>
            <w:r>
              <w:rPr>
                <w:rFonts w:cs="Times New Roman"/>
              </w:rPr>
              <w:t xml:space="preserve">Последовательность выполнения операций</w:t>
            </w:r>
            <w:r>
              <w:rPr>
                <w:rFonts w:cs="Times New Roman"/>
              </w:rPr>
            </w:r>
          </w:p>
          <w:p>
            <w:pPr>
              <w:pStyle w:val="12385"/>
              <w:pBdr/>
              <w:spacing/>
              <w:ind/>
              <w:rPr>
                <w:rFonts w:cs="Times New Roman"/>
              </w:rPr>
            </w:pPr>
            <w:r>
              <w:rPr>
                <w:rFonts w:cs="Times New Roman"/>
              </w:rPr>
              <w:t xml:space="preserve">по ликвидации инцидента</w:t>
            </w:r>
            <w:r>
              <w:rPr>
                <w:rFonts w:cs="Times New Roman"/>
              </w:rPr>
            </w:r>
          </w:p>
        </w:tc>
      </w:tr>
      <w:tr>
        <w:trPr>
          <w:trHeight w:val="454"/>
        </w:trPr>
        <w:tc>
          <w:tcPr>
            <w:tcBorders>
              <w:top w:val="single" w:color="000000" w:sz="4" w:space="0"/>
              <w:left w:val="single" w:color="000000" w:sz="4" w:space="0"/>
              <w:bottom w:val="single" w:color="000000" w:sz="4" w:space="0"/>
              <w:right w:val="single" w:color="000000" w:sz="4" w:space="0"/>
            </w:tcBorders>
            <w:tcW w:w="2316" w:type="dxa"/>
            <w:vAlign w:val="center"/>
          </w:tcPr>
          <w:p>
            <w:pPr>
              <w:pStyle w:val="12385"/>
              <w:pBdr/>
              <w:spacing/>
              <w:ind/>
              <w:rPr>
                <w:rFonts w:cs="Times New Roman"/>
                <w:lang w:val="en-US"/>
              </w:rPr>
            </w:pPr>
            <w:r>
              <w:rPr>
                <w:rFonts w:cs="Times New Roman"/>
              </w:rPr>
              <w:t xml:space="preserve">1</w:t>
            </w:r>
            <w:r>
              <w:rPr>
                <w:rFonts w:cs="Times New Roman"/>
                <w:lang w:val="en-US"/>
              </w:rPr>
            </w:r>
          </w:p>
        </w:tc>
        <w:tc>
          <w:tcPr>
            <w:tcBorders>
              <w:top w:val="single" w:color="000000" w:sz="4" w:space="0"/>
              <w:left w:val="single" w:color="000000" w:sz="4" w:space="0"/>
              <w:bottom w:val="single" w:color="000000" w:sz="4" w:space="0"/>
              <w:right w:val="single" w:color="000000" w:sz="4" w:space="0"/>
            </w:tcBorders>
            <w:tcW w:w="7038" w:type="dxa"/>
            <w:vAlign w:val="center"/>
          </w:tcPr>
          <w:p>
            <w:pPr>
              <w:pStyle w:val="12385"/>
              <w:pBdr/>
              <w:spacing/>
              <w:ind/>
              <w:rPr>
                <w:rFonts w:cs="Times New Roman"/>
              </w:rPr>
            </w:pPr>
            <w:r>
              <w:rPr>
                <w:rFonts w:cs="Times New Roman"/>
              </w:rPr>
              <w:t xml:space="preserve">2</w:t>
            </w:r>
            <w:r>
              <w:rPr>
                <w:rFonts w:cs="Times New Roman"/>
              </w:rPr>
            </w:r>
          </w:p>
        </w:tc>
      </w:tr>
      <w:tr>
        <w:trPr>
          <w:trHeight w:val="454"/>
        </w:trPr>
        <w:tc>
          <w:tcPr>
            <w:tcBorders>
              <w:top w:val="single" w:color="000000" w:sz="4" w:space="0"/>
              <w:left w:val="single" w:color="000000" w:sz="4" w:space="0"/>
              <w:bottom w:val="single" w:color="000000" w:sz="4" w:space="0"/>
              <w:right w:val="single" w:color="000000" w:sz="4" w:space="0"/>
            </w:tcBorders>
            <w:tcW w:w="2316" w:type="dxa"/>
            <w:vAlign w:val="center"/>
          </w:tcPr>
          <w:p>
            <w:pPr>
              <w:pStyle w:val="12385"/>
              <w:pBdr/>
              <w:spacing/>
              <w:ind/>
              <w:rPr>
                <w:rFonts w:cs="Times New Roman"/>
              </w:rPr>
            </w:pPr>
            <w:r>
              <w:rPr>
                <w:rFonts w:cs="Times New Roman"/>
              </w:rPr>
              <w:t xml:space="preserve">1. Порыв магистрального трубопровода теплосети или квартальной теплосети</w:t>
            </w:r>
            <w:r>
              <w:rPr>
                <w:rFonts w:cs="Times New Roman"/>
              </w:rPr>
            </w:r>
          </w:p>
        </w:tc>
        <w:tc>
          <w:tcPr>
            <w:tcBorders>
              <w:top w:val="single" w:color="000000" w:sz="4" w:space="0"/>
              <w:left w:val="single" w:color="000000" w:sz="4" w:space="0"/>
              <w:bottom w:val="single" w:color="000000" w:sz="4" w:space="0"/>
              <w:right w:val="single" w:color="000000" w:sz="4" w:space="0"/>
            </w:tcBorders>
            <w:tcW w:w="7038" w:type="dxa"/>
            <w:vAlign w:val="center"/>
          </w:tcPr>
          <w:p>
            <w:pPr>
              <w:pStyle w:val="12385"/>
              <w:pBdr/>
              <w:spacing/>
              <w:ind/>
              <w:rPr>
                <w:rFonts w:cs="Times New Roman"/>
              </w:rPr>
            </w:pPr>
            <w:r>
              <w:rPr>
                <w:rFonts w:cs="Times New Roman"/>
              </w:rPr>
              <w:t xml:space="preserve">1.1 Характерным признаком утечки воды из теплосети является увеличение объема подпиточной воды в котельной, которая поддерживает давление в обратной магистрали.</w:t>
            </w:r>
            <w:r>
              <w:rPr>
                <w:rFonts w:cs="Times New Roman"/>
              </w:rPr>
            </w:r>
          </w:p>
          <w:p>
            <w:pPr>
              <w:pStyle w:val="12385"/>
              <w:pBdr/>
              <w:spacing/>
              <w:ind/>
              <w:rPr>
                <w:rFonts w:cs="Times New Roman"/>
              </w:rPr>
            </w:pPr>
            <w:r>
              <w:rPr>
                <w:rFonts w:cs="Times New Roman"/>
              </w:rPr>
              <w:t xml:space="preserve">1.2 В случае увеличения расхода подпиточной воды (согласно расчету нормативного количества воды) в котельной, оператор должен сообщить об этом диспетчеру ОДС по тел. ____ (или 8-___-___-__-__).</w:t>
            </w:r>
            <w:r>
              <w:rPr>
                <w:rFonts w:cs="Times New Roman"/>
              </w:rPr>
            </w:r>
          </w:p>
          <w:p>
            <w:pPr>
              <w:pStyle w:val="12385"/>
              <w:pBdr/>
              <w:spacing/>
              <w:ind/>
              <w:rPr>
                <w:rFonts w:cs="Times New Roman"/>
              </w:rPr>
            </w:pPr>
            <w:r>
              <w:rPr>
                <w:rFonts w:cs="Times New Roman"/>
              </w:rPr>
              <w:t xml:space="preserve">1.3 Диспетчер сообщает об этом начальнику участка ТСО и УК (по принадлежности) с требованием произвести немедленную проверку состояния теплосетей и систем теплоснабжения на предмет порыва и утечки.</w:t>
            </w:r>
            <w:r>
              <w:rPr>
                <w:rFonts w:cs="Times New Roman"/>
              </w:rPr>
            </w:r>
          </w:p>
          <w:p>
            <w:pPr>
              <w:pStyle w:val="12385"/>
              <w:pBdr/>
              <w:spacing/>
              <w:ind/>
              <w:rPr>
                <w:rFonts w:cs="Times New Roman"/>
              </w:rPr>
            </w:pPr>
            <w:r>
              <w:rPr>
                <w:rFonts w:cs="Times New Roman"/>
              </w:rPr>
              <w:t xml:space="preserve">1.4 Оператору принять все меры по обеспечению подпитки теплосети и поддержания устойчивого гидравлического режима.</w:t>
            </w:r>
            <w:r>
              <w:rPr>
                <w:rFonts w:cs="Times New Roman"/>
              </w:rPr>
            </w:r>
          </w:p>
          <w:p>
            <w:pPr>
              <w:pStyle w:val="12385"/>
              <w:pBdr/>
              <w:spacing/>
              <w:ind/>
              <w:rPr>
                <w:rFonts w:cs="Times New Roman"/>
              </w:rPr>
            </w:pPr>
            <w:r>
              <w:rPr>
                <w:rFonts w:cs="Times New Roman"/>
              </w:rPr>
              <w:t xml:space="preserve">1.5 Если подпитка продолжает увеличиваться и стала в 2 раза выше нормы, то диспетчер об этом сообщает главному инженеру, который ставит в известность директора.</w:t>
            </w:r>
            <w:r>
              <w:rPr>
                <w:rFonts w:cs="Times New Roman"/>
              </w:rPr>
            </w:r>
          </w:p>
          <w:p>
            <w:pPr>
              <w:pStyle w:val="12385"/>
              <w:pBdr/>
              <w:spacing/>
              <w:ind/>
              <w:rPr>
                <w:rFonts w:cs="Times New Roman"/>
              </w:rPr>
            </w:pPr>
            <w:r>
              <w:rPr>
                <w:rFonts w:cs="Times New Roman"/>
              </w:rPr>
              <w:t xml:space="preserve">1.6 По решению руководства ТСО, слесарь по обслуживанию теплосетей ТСО (по распоряжению начальника участка) закрывает задвижки №1 и №2 на подающем и обратном трубопроводах на выходе из котельной.</w:t>
            </w:r>
            <w:r>
              <w:rPr>
                <w:rFonts w:cs="Times New Roman"/>
              </w:rPr>
            </w:r>
          </w:p>
          <w:p>
            <w:pPr>
              <w:pStyle w:val="12385"/>
              <w:pBdr/>
              <w:spacing/>
              <w:ind/>
              <w:rPr>
                <w:rFonts w:cs="Times New Roman"/>
              </w:rPr>
            </w:pPr>
            <w:r>
              <w:rPr>
                <w:rFonts w:cs="Times New Roman"/>
              </w:rPr>
              <w:t xml:space="preserve">1.7 Руководство ТСО извещает администрацию МН, а диспетчер ОДС – УК.</w:t>
            </w:r>
            <w:r>
              <w:rPr>
                <w:rFonts w:cs="Times New Roman"/>
              </w:rPr>
            </w:r>
          </w:p>
          <w:p>
            <w:pPr>
              <w:pStyle w:val="12385"/>
              <w:pBdr/>
              <w:spacing/>
              <w:ind/>
              <w:rPr>
                <w:rFonts w:cs="Times New Roman"/>
                <w:lang w:eastAsia="en-US"/>
              </w:rPr>
            </w:pPr>
            <w:r>
              <w:rPr>
                <w:rFonts w:cs="Times New Roman"/>
                <w:lang w:eastAsia="en-US"/>
              </w:rPr>
              <w:t xml:space="preserve">1.8 Время устранения аварии (согласно расчету допустимого времени устранения аварии и восстановления теплоснабжения) при температуре наружного воздуха -20°С допустимо до 11 ч (при </w:t>
            </w:r>
            <w:r>
              <w:rPr>
                <w:rFonts w:cs="Times New Roman"/>
                <w:lang w:val="en-US" w:eastAsia="en-US"/>
              </w:rPr>
              <w:t xml:space="preserve">T</w:t>
            </w:r>
            <w:r>
              <w:rPr>
                <w:rFonts w:cs="Times New Roman"/>
                <w:vertAlign w:val="subscript"/>
                <w:lang w:eastAsia="en-US"/>
              </w:rPr>
              <w:t xml:space="preserve">н.в</w:t>
            </w:r>
            <w:r>
              <w:rPr>
                <w:rFonts w:cs="Times New Roman"/>
                <w:lang w:eastAsia="en-US"/>
              </w:rPr>
              <w:t xml:space="preserve">. = -30°С – до 8 ч, при Т</w:t>
            </w:r>
            <w:r>
              <w:rPr>
                <w:rFonts w:cs="Times New Roman"/>
                <w:vertAlign w:val="subscript"/>
                <w:lang w:eastAsia="en-US"/>
              </w:rPr>
              <w:t xml:space="preserve">н.в.</w:t>
            </w:r>
            <w:r>
              <w:rPr>
                <w:rFonts w:cs="Times New Roman"/>
                <w:lang w:eastAsia="en-US"/>
              </w:rPr>
              <w:t xml:space="preserve"> = 0°С – до 24 ч).</w:t>
            </w:r>
            <w:r>
              <w:rPr>
                <w:rFonts w:cs="Times New Roman"/>
                <w:lang w:eastAsia="en-US"/>
              </w:rPr>
            </w:r>
          </w:p>
          <w:p>
            <w:pPr>
              <w:pStyle w:val="12385"/>
              <w:pBdr/>
              <w:spacing/>
              <w:ind/>
              <w:rPr>
                <w:rFonts w:cs="Times New Roman"/>
                <w:lang w:eastAsia="en-US"/>
              </w:rPr>
            </w:pPr>
            <w:r>
              <w:rPr>
                <w:rFonts w:cs="Times New Roman"/>
                <w:lang w:eastAsia="en-US"/>
              </w:rPr>
              <w:t xml:space="preserve">1.9 Если время устранения аварии выше допустимого, то диспетчер ОДС ТСО извещает диспетчера УК </w:t>
            </w:r>
            <w:r>
              <w:rPr>
                <w:rFonts w:cs="Times New Roman"/>
                <w:lang w:eastAsia="en-US"/>
              </w:rPr>
              <w:t xml:space="preserve">(по принадлежности). УК обязана в течение 11 ч (8 ч или 24 ч соответственно) произвести 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r>
              <w:rPr>
                <w:rFonts w:cs="Times New Roman"/>
                <w:lang w:eastAsia="en-US"/>
              </w:rPr>
            </w:r>
          </w:p>
        </w:tc>
      </w:tr>
      <w:tr>
        <w:trPr>
          <w:trHeight w:val="454"/>
        </w:trPr>
        <w:tc>
          <w:tcPr>
            <w:tcBorders>
              <w:top w:val="single" w:color="000000" w:sz="4" w:space="0"/>
              <w:left w:val="single" w:color="000000" w:sz="4" w:space="0"/>
              <w:bottom w:val="single" w:color="000000" w:sz="4" w:space="0"/>
              <w:right w:val="single" w:color="000000" w:sz="4" w:space="0"/>
            </w:tcBorders>
            <w:tcW w:w="2316" w:type="dxa"/>
            <w:vAlign w:val="center"/>
          </w:tcPr>
          <w:p>
            <w:pPr>
              <w:pStyle w:val="12385"/>
              <w:pBdr/>
              <w:spacing/>
              <w:ind/>
              <w:rPr>
                <w:rFonts w:cs="Times New Roman"/>
                <w:lang w:eastAsia="ar-SA"/>
              </w:rPr>
            </w:pPr>
            <w:r>
              <w:rPr>
                <w:rFonts w:cs="Times New Roman"/>
              </w:rPr>
              <w:t xml:space="preserve">2. Прекращение подачи электрической энергии в котельную</w:t>
            </w:r>
            <w:r>
              <w:rPr>
                <w:rFonts w:cs="Times New Roman"/>
                <w:lang w:eastAsia="ar-SA"/>
              </w:rPr>
            </w:r>
          </w:p>
        </w:tc>
        <w:tc>
          <w:tcPr>
            <w:tcBorders>
              <w:top w:val="single" w:color="000000" w:sz="4" w:space="0"/>
              <w:left w:val="single" w:color="000000" w:sz="4" w:space="0"/>
              <w:bottom w:val="single" w:color="000000" w:sz="4" w:space="0"/>
              <w:right w:val="single" w:color="000000" w:sz="4" w:space="0"/>
            </w:tcBorders>
            <w:tcW w:w="7038" w:type="dxa"/>
            <w:vAlign w:val="center"/>
          </w:tcPr>
          <w:p>
            <w:pPr>
              <w:pStyle w:val="12385"/>
              <w:pBdr/>
              <w:spacing/>
              <w:ind/>
              <w:rPr>
                <w:rFonts w:cs="Times New Roman"/>
              </w:rPr>
            </w:pPr>
            <w:r>
              <w:rPr>
                <w:rFonts w:cs="Times New Roman"/>
              </w:rPr>
              <w:t xml:space="preserve">2.1 Аварийно остановить работающее оборудование согласно инструкциям по эксплуатации.</w:t>
            </w:r>
            <w:r>
              <w:rPr>
                <w:rFonts w:cs="Times New Roman"/>
              </w:rPr>
            </w:r>
          </w:p>
          <w:p>
            <w:pPr>
              <w:pStyle w:val="12385"/>
              <w:pBdr/>
              <w:spacing/>
              <w:ind/>
              <w:rPr>
                <w:rFonts w:cs="Times New Roman"/>
              </w:rPr>
            </w:pPr>
            <w:r>
              <w:rPr>
                <w:rFonts w:cs="Times New Roman"/>
              </w:rPr>
              <w:t xml:space="preserve">2.2 Оператор котельной сообщает об этом диспетчеру ОДС по тел. ____ (или 8-___-___-__-__).</w:t>
            </w:r>
            <w:r>
              <w:rPr>
                <w:rFonts w:cs="Times New Roman"/>
              </w:rPr>
            </w:r>
          </w:p>
          <w:p>
            <w:pPr>
              <w:pStyle w:val="12385"/>
              <w:pBdr/>
              <w:spacing/>
              <w:ind/>
              <w:rPr>
                <w:rFonts w:cs="Times New Roman"/>
              </w:rPr>
            </w:pPr>
            <w:r>
              <w:rPr>
                <w:rFonts w:cs="Times New Roman"/>
              </w:rPr>
              <w:t xml:space="preserve">.</w:t>
            </w:r>
            <w:r>
              <w:rPr>
                <w:rFonts w:cs="Times New Roman"/>
              </w:rPr>
            </w:r>
          </w:p>
          <w:p>
            <w:pPr>
              <w:pStyle w:val="12385"/>
              <w:pBdr/>
              <w:spacing/>
              <w:ind/>
              <w:rPr>
                <w:rFonts w:cs="Times New Roman"/>
              </w:rPr>
            </w:pPr>
            <w:r>
              <w:rPr>
                <w:rFonts w:cs="Times New Roman"/>
              </w:rPr>
              <w:t xml:space="preserve">2.3 Диспетчер ОДС связывается с электросетевой организацией по поводу выяснения причины и продолжительности отсутствия напряжения.</w:t>
            </w:r>
            <w:r>
              <w:rPr>
                <w:rFonts w:cs="Times New Roman"/>
              </w:rPr>
            </w:r>
          </w:p>
          <w:p>
            <w:pPr>
              <w:pStyle w:val="12385"/>
              <w:pBdr/>
              <w:spacing/>
              <w:ind/>
              <w:rPr>
                <w:rFonts w:cs="Times New Roman"/>
              </w:rPr>
            </w:pPr>
            <w:r>
              <w:rPr>
                <w:rFonts w:cs="Times New Roman"/>
              </w:rPr>
              <w:t xml:space="preserve">2.3.1 Если электроэнергия будет отсутствовать до 30 минут, то диспетчер об инциденте сообщает:</w:t>
            </w:r>
            <w:r>
              <w:rPr>
                <w:rFonts w:cs="Times New Roman"/>
              </w:rPr>
            </w:r>
          </w:p>
          <w:p>
            <w:pPr>
              <w:pStyle w:val="12385"/>
              <w:pBdr/>
              <w:spacing/>
              <w:ind/>
              <w:rPr>
                <w:rFonts w:cs="Times New Roman"/>
              </w:rPr>
            </w:pPr>
            <w:r>
              <w:rPr>
                <w:rFonts w:cs="Times New Roman"/>
              </w:rPr>
              <w:t xml:space="preserve">- начальнику участка по принадлежности;</w:t>
            </w:r>
            <w:r>
              <w:rPr>
                <w:rFonts w:cs="Times New Roman"/>
              </w:rPr>
            </w:r>
          </w:p>
          <w:p>
            <w:pPr>
              <w:pStyle w:val="12385"/>
              <w:pBdr/>
              <w:spacing/>
              <w:ind/>
              <w:rPr>
                <w:rFonts w:cs="Times New Roman"/>
              </w:rPr>
            </w:pPr>
            <w:r>
              <w:rPr>
                <w:rFonts w:cs="Times New Roman"/>
              </w:rPr>
              <w:t xml:space="preserve">- главному энергетику;</w:t>
            </w:r>
            <w:r>
              <w:rPr>
                <w:rFonts w:cs="Times New Roman"/>
              </w:rPr>
            </w:r>
          </w:p>
          <w:p>
            <w:pPr>
              <w:pStyle w:val="12385"/>
              <w:pBdr/>
              <w:spacing/>
              <w:ind/>
              <w:rPr>
                <w:rFonts w:cs="Times New Roman"/>
              </w:rPr>
            </w:pPr>
            <w:r>
              <w:rPr>
                <w:rFonts w:cs="Times New Roman"/>
              </w:rPr>
              <w:t xml:space="preserve">- главному инженеру.</w:t>
            </w:r>
            <w:r>
              <w:rPr>
                <w:rFonts w:cs="Times New Roman"/>
              </w:rPr>
            </w:r>
          </w:p>
          <w:p>
            <w:pPr>
              <w:pStyle w:val="12385"/>
              <w:pBdr/>
              <w:spacing/>
              <w:ind/>
              <w:rPr>
                <w:rFonts w:cs="Times New Roman"/>
              </w:rPr>
            </w:pPr>
            <w:r>
              <w:rPr>
                <w:rFonts w:cs="Times New Roman"/>
              </w:rPr>
              <w:t xml:space="preserve">2.3.2 Если электроэнергия будет отсутствовать более 30 минут, то диспетчер об инциденте сообщает:</w:t>
            </w:r>
            <w:r>
              <w:rPr>
                <w:rFonts w:cs="Times New Roman"/>
              </w:rPr>
            </w:r>
          </w:p>
          <w:p>
            <w:pPr>
              <w:pStyle w:val="12385"/>
              <w:pBdr/>
              <w:spacing/>
              <w:ind/>
              <w:rPr>
                <w:rFonts w:cs="Times New Roman"/>
              </w:rPr>
            </w:pPr>
            <w:r>
              <w:rPr>
                <w:rFonts w:cs="Times New Roman"/>
              </w:rPr>
              <w:t xml:space="preserve">- начальнику участка по принадлежности;</w:t>
            </w:r>
            <w:r>
              <w:rPr>
                <w:rFonts w:cs="Times New Roman"/>
              </w:rPr>
            </w:r>
          </w:p>
          <w:p>
            <w:pPr>
              <w:pStyle w:val="12385"/>
              <w:pBdr/>
              <w:spacing/>
              <w:ind/>
              <w:rPr>
                <w:rFonts w:cs="Times New Roman"/>
              </w:rPr>
            </w:pPr>
            <w:r>
              <w:rPr>
                <w:rFonts w:cs="Times New Roman"/>
              </w:rPr>
              <w:t xml:space="preserve">- главному энергетику;</w:t>
            </w:r>
            <w:r>
              <w:rPr>
                <w:rFonts w:cs="Times New Roman"/>
              </w:rPr>
            </w:r>
          </w:p>
          <w:p>
            <w:pPr>
              <w:pStyle w:val="12385"/>
              <w:pBdr/>
              <w:spacing/>
              <w:ind/>
              <w:rPr>
                <w:rFonts w:cs="Times New Roman"/>
              </w:rPr>
            </w:pPr>
            <w:r>
              <w:rPr>
                <w:rFonts w:cs="Times New Roman"/>
              </w:rPr>
              <w:t xml:space="preserve">- главному инженеру, который ставит в известность директора;</w:t>
            </w:r>
            <w:r>
              <w:rPr>
                <w:rFonts w:cs="Times New Roman"/>
              </w:rPr>
            </w:r>
          </w:p>
          <w:p>
            <w:pPr>
              <w:pStyle w:val="12385"/>
              <w:pBdr/>
              <w:spacing/>
              <w:ind/>
              <w:rPr>
                <w:rFonts w:cs="Times New Roman"/>
              </w:rPr>
            </w:pPr>
            <w:r>
              <w:rPr>
                <w:rFonts w:cs="Times New Roman"/>
              </w:rPr>
              <w:t xml:space="preserve">- начальнику ОРЖКХиОП администрации по тел. ____ (или 8-___-___-__-__).;</w:t>
            </w:r>
            <w:r>
              <w:rPr>
                <w:rFonts w:cs="Times New Roman"/>
              </w:rPr>
            </w:r>
          </w:p>
          <w:p>
            <w:pPr>
              <w:pStyle w:val="12385"/>
              <w:pBdr/>
              <w:spacing/>
              <w:ind/>
              <w:rPr>
                <w:rFonts w:cs="Times New Roman"/>
              </w:rPr>
            </w:pPr>
            <w:r>
              <w:rPr>
                <w:rFonts w:cs="Times New Roman"/>
              </w:rPr>
              <w:t xml:space="preserve">- УК по принадлежности;</w:t>
            </w:r>
            <w:r>
              <w:rPr>
                <w:rFonts w:cs="Times New Roman"/>
              </w:rPr>
            </w:r>
          </w:p>
          <w:p>
            <w:pPr>
              <w:pStyle w:val="12385"/>
              <w:pBdr/>
              <w:spacing/>
              <w:ind/>
              <w:rPr>
                <w:rFonts w:cs="Times New Roman"/>
              </w:rPr>
            </w:pPr>
            <w:r>
              <w:rPr>
                <w:rFonts w:cs="Times New Roman"/>
              </w:rPr>
              <w:t xml:space="preserve">- МЧС.</w:t>
            </w:r>
            <w:r>
              <w:rPr>
                <w:rFonts w:cs="Times New Roman"/>
              </w:rPr>
            </w:r>
          </w:p>
          <w:p>
            <w:pPr>
              <w:pStyle w:val="12385"/>
              <w:pBdr/>
              <w:spacing/>
              <w:ind/>
              <w:rPr>
                <w:rFonts w:cs="Times New Roman"/>
              </w:rPr>
            </w:pPr>
            <w:r>
              <w:rPr>
                <w:rFonts w:cs="Times New Roman"/>
              </w:rPr>
              <w:t xml:space="preserve">2.4 Принять меры по утеплению помещений.</w:t>
            </w:r>
            <w:r>
              <w:rPr>
                <w:rFonts w:cs="Times New Roman"/>
              </w:rPr>
            </w:r>
          </w:p>
          <w:p>
            <w:pPr>
              <w:pStyle w:val="12385"/>
              <w:pBdr/>
              <w:spacing/>
              <w:ind/>
              <w:rPr>
                <w:rFonts w:cs="Times New Roman"/>
              </w:rPr>
            </w:pPr>
            <w:r>
              <w:rPr>
                <w:rFonts w:cs="Times New Roman"/>
              </w:rPr>
              <w:t xml:space="preserve">2.5 Выполнить переподключение, если таковая возможность имеется, системы теплоснабжения на другой источник тепла согласно «Инструкции по сложным переключениям в тепловых сетях» ИЭ 05-70-2020.</w:t>
            </w:r>
            <w:r>
              <w:rPr>
                <w:rFonts w:cs="Times New Roman"/>
              </w:rPr>
            </w:r>
          </w:p>
          <w:p>
            <w:pPr>
              <w:pStyle w:val="12385"/>
              <w:pBdr/>
              <w:spacing/>
              <w:ind/>
              <w:rPr>
                <w:rFonts w:cs="Times New Roman"/>
                <w:lang w:eastAsia="en-US"/>
              </w:rPr>
            </w:pPr>
            <w:r>
              <w:rPr>
                <w:rFonts w:cs="Times New Roman"/>
                <w:lang w:eastAsia="en-US"/>
              </w:rPr>
              <w:t xml:space="preserve">2.6 Для электроснабжения котельной ФСК включить в работу передвижную электростанцию.</w:t>
            </w:r>
            <w:r>
              <w:rPr>
                <w:rFonts w:cs="Times New Roman"/>
                <w:lang w:eastAsia="en-US"/>
              </w:rPr>
            </w:r>
          </w:p>
          <w:p>
            <w:pPr>
              <w:pStyle w:val="12385"/>
              <w:pBdr/>
              <w:spacing/>
              <w:ind/>
              <w:rPr>
                <w:rFonts w:cs="Times New Roman"/>
                <w:lang w:eastAsia="ar-SA"/>
              </w:rPr>
            </w:pPr>
            <w:r>
              <w:rPr>
                <w:rFonts w:cs="Times New Roman"/>
              </w:rPr>
              <w:t xml:space="preserve">2.7 После подачи электроэнергии, восстановить рабочие параметры тепловой сети и включить остановленное оборудование в работу.</w:t>
            </w:r>
            <w:r>
              <w:rPr>
                <w:rFonts w:cs="Times New Roman"/>
                <w:lang w:eastAsia="ar-SA"/>
              </w:rPr>
            </w:r>
          </w:p>
        </w:tc>
      </w:tr>
      <w:tr>
        <w:trPr>
          <w:trHeight w:val="454"/>
        </w:trPr>
        <w:tc>
          <w:tcPr>
            <w:tcBorders>
              <w:top w:val="single" w:color="000000" w:sz="4" w:space="0"/>
              <w:left w:val="single" w:color="000000" w:sz="4" w:space="0"/>
              <w:bottom w:val="single" w:color="000000" w:sz="4" w:space="0"/>
              <w:right w:val="single" w:color="000000" w:sz="4" w:space="0"/>
            </w:tcBorders>
            <w:tcW w:w="2316" w:type="dxa"/>
            <w:vAlign w:val="center"/>
          </w:tcPr>
          <w:p>
            <w:pPr>
              <w:pStyle w:val="12385"/>
              <w:pBdr/>
              <w:spacing/>
              <w:ind/>
              <w:rPr>
                <w:rFonts w:cs="Times New Roman"/>
              </w:rPr>
            </w:pPr>
            <w:r>
              <w:rPr>
                <w:rFonts w:cs="Times New Roman"/>
              </w:rPr>
              <w:t xml:space="preserve">3 Прекращение подачи топлива в котельную</w:t>
            </w:r>
            <w:r>
              <w:rPr>
                <w:rFonts w:cs="Times New Roman"/>
              </w:rPr>
            </w:r>
          </w:p>
        </w:tc>
        <w:tc>
          <w:tcPr>
            <w:tcBorders>
              <w:top w:val="single" w:color="000000" w:sz="4" w:space="0"/>
              <w:left w:val="single" w:color="000000" w:sz="4" w:space="0"/>
              <w:bottom w:val="single" w:color="000000" w:sz="4" w:space="0"/>
              <w:right w:val="single" w:color="000000" w:sz="4" w:space="0"/>
            </w:tcBorders>
            <w:tcW w:w="7038" w:type="dxa"/>
            <w:vAlign w:val="center"/>
          </w:tcPr>
          <w:p>
            <w:pPr>
              <w:pStyle w:val="12385"/>
              <w:pBdr/>
              <w:spacing/>
              <w:ind/>
              <w:rPr>
                <w:rFonts w:cs="Times New Roman"/>
              </w:rPr>
            </w:pPr>
            <w:r>
              <w:rPr>
                <w:rFonts w:cs="Times New Roman"/>
              </w:rPr>
              <w:t xml:space="preserve">3.1 При прекращении подачи топлива перевести котлы на резервное (аварийное) топливо.</w:t>
            </w:r>
            <w:r>
              <w:rPr>
                <w:rFonts w:cs="Times New Roman"/>
              </w:rPr>
            </w:r>
          </w:p>
          <w:p>
            <w:pPr>
              <w:pStyle w:val="12385"/>
              <w:pBdr/>
              <w:spacing/>
              <w:ind/>
              <w:rPr>
                <w:rFonts w:cs="Times New Roman"/>
              </w:rPr>
            </w:pPr>
            <w:r>
              <w:rPr>
                <w:rFonts w:cs="Times New Roman"/>
              </w:rPr>
              <w:t xml:space="preserve">3.2 При полном сжигании резервного (аварийного) топлива остановить котлоагрегаты согласно инструкции по эксплуатации. Сетевые насосы оставить в рабочем режиме.</w:t>
            </w:r>
            <w:r>
              <w:rPr>
                <w:rFonts w:cs="Times New Roman"/>
              </w:rPr>
            </w:r>
          </w:p>
          <w:p>
            <w:pPr>
              <w:pStyle w:val="12385"/>
              <w:pBdr/>
              <w:spacing/>
              <w:ind/>
              <w:rPr>
                <w:rFonts w:cs="Times New Roman"/>
              </w:rPr>
            </w:pPr>
            <w:r>
              <w:rPr>
                <w:rFonts w:cs="Times New Roman"/>
              </w:rPr>
              <w:t xml:space="preserve">3.3 Оператор котельной сообщает об этом диспетчеру ОДС, а последний:</w:t>
            </w:r>
            <w:r>
              <w:rPr>
                <w:rFonts w:cs="Times New Roman"/>
              </w:rPr>
            </w:r>
          </w:p>
          <w:p>
            <w:pPr>
              <w:pStyle w:val="12385"/>
              <w:pBdr/>
              <w:spacing/>
              <w:ind/>
              <w:rPr>
                <w:rFonts w:cs="Times New Roman"/>
              </w:rPr>
            </w:pPr>
            <w:r>
              <w:rPr>
                <w:rFonts w:cs="Times New Roman"/>
              </w:rPr>
              <w:t xml:space="preserve">- начальнику участка по принадлежности;</w:t>
            </w:r>
            <w:r>
              <w:rPr>
                <w:rFonts w:cs="Times New Roman"/>
              </w:rPr>
            </w:r>
          </w:p>
          <w:p>
            <w:pPr>
              <w:pStyle w:val="12385"/>
              <w:pBdr/>
              <w:spacing/>
              <w:ind/>
              <w:rPr>
                <w:rFonts w:cs="Times New Roman"/>
              </w:rPr>
            </w:pPr>
            <w:r>
              <w:rPr>
                <w:rFonts w:cs="Times New Roman"/>
              </w:rPr>
              <w:t xml:space="preserve">- зам.директора по эксплуатации;</w:t>
            </w:r>
            <w:r>
              <w:rPr>
                <w:rFonts w:cs="Times New Roman"/>
              </w:rPr>
            </w:r>
          </w:p>
          <w:p>
            <w:pPr>
              <w:pStyle w:val="12385"/>
              <w:pBdr/>
              <w:spacing/>
              <w:ind/>
              <w:rPr>
                <w:rFonts w:cs="Times New Roman"/>
              </w:rPr>
            </w:pPr>
            <w:r>
              <w:rPr>
                <w:rFonts w:cs="Times New Roman"/>
              </w:rPr>
              <w:t xml:space="preserve">- главному инженеру, который ставит в известность директора;</w:t>
            </w:r>
            <w:r>
              <w:rPr>
                <w:rFonts w:cs="Times New Roman"/>
              </w:rPr>
            </w:r>
          </w:p>
          <w:p>
            <w:pPr>
              <w:pStyle w:val="12385"/>
              <w:pBdr/>
              <w:spacing/>
              <w:ind/>
              <w:rPr>
                <w:rFonts w:cs="Times New Roman"/>
              </w:rPr>
            </w:pPr>
            <w:r>
              <w:rPr>
                <w:rFonts w:cs="Times New Roman"/>
              </w:rPr>
              <w:t xml:space="preserve">- ОДС администрации по тел. ____ (или 8-___-___-__-__).;</w:t>
            </w:r>
            <w:r>
              <w:rPr>
                <w:rFonts w:cs="Times New Roman"/>
              </w:rPr>
            </w:r>
          </w:p>
          <w:p>
            <w:pPr>
              <w:pStyle w:val="12385"/>
              <w:pBdr/>
              <w:spacing/>
              <w:ind/>
              <w:rPr>
                <w:rFonts w:cs="Times New Roman"/>
              </w:rPr>
            </w:pPr>
            <w:r>
              <w:rPr>
                <w:rFonts w:cs="Times New Roman"/>
              </w:rPr>
              <w:t xml:space="preserve">- УК по принадлежности;</w:t>
            </w:r>
            <w:r>
              <w:rPr>
                <w:rFonts w:cs="Times New Roman"/>
              </w:rPr>
            </w:r>
          </w:p>
          <w:p>
            <w:pPr>
              <w:pStyle w:val="12385"/>
              <w:pBdr/>
              <w:spacing/>
              <w:ind/>
              <w:rPr>
                <w:rFonts w:cs="Times New Roman"/>
              </w:rPr>
            </w:pPr>
            <w:r>
              <w:rPr>
                <w:rFonts w:cs="Times New Roman"/>
              </w:rPr>
              <w:t xml:space="preserve">- МЧС.</w:t>
            </w:r>
            <w:r>
              <w:rPr>
                <w:rFonts w:cs="Times New Roman"/>
              </w:rPr>
            </w:r>
          </w:p>
          <w:p>
            <w:pPr>
              <w:pStyle w:val="12385"/>
              <w:pBdr/>
              <w:spacing/>
              <w:ind/>
              <w:rPr>
                <w:rFonts w:cs="Times New Roman"/>
              </w:rPr>
            </w:pPr>
            <w:r>
              <w:rPr>
                <w:rFonts w:cs="Times New Roman"/>
              </w:rPr>
              <w:t xml:space="preserve">3.4 В случае отсутствия топлива только на одной котельной возможно выполнить переключение системы теплоснабжения на другой источник тепла согласно «Инструкции по сложным переключениям в тепловых сетях» ИЭ 05-70-2020.</w:t>
            </w:r>
            <w:r>
              <w:rPr>
                <w:rFonts w:cs="Times New Roman"/>
              </w:rPr>
            </w:r>
          </w:p>
          <w:p>
            <w:pPr>
              <w:pStyle w:val="12385"/>
              <w:pBdr/>
              <w:spacing/>
              <w:ind/>
              <w:rPr>
                <w:rFonts w:cs="Times New Roman"/>
                <w:lang w:eastAsia="en-US"/>
              </w:rPr>
            </w:pPr>
            <w:r>
              <w:rPr>
                <w:rFonts w:cs="Times New Roman"/>
                <w:lang w:eastAsia="en-US"/>
              </w:rPr>
              <w:t xml:space="preserve">3.5 В случае, если время устранения аварии выше допустимого, </w:t>
            </w:r>
            <w:r>
              <w:rPr>
                <w:rFonts w:cs="Times New Roman"/>
                <w:lang w:eastAsia="en-US"/>
              </w:rPr>
              <w:t xml:space="preserve">диспетчер ОДС ТСО извещает диспетчера УК (по принадлежности) о необходимости произвести 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r>
              <w:rPr>
                <w:rFonts w:cs="Times New Roman"/>
                <w:lang w:eastAsia="en-US"/>
              </w:rPr>
            </w:r>
          </w:p>
          <w:p>
            <w:pPr>
              <w:pStyle w:val="12385"/>
              <w:pBdr/>
              <w:spacing/>
              <w:ind/>
              <w:rPr>
                <w:rFonts w:cs="Times New Roman"/>
                <w:lang w:eastAsia="ar-SA"/>
              </w:rPr>
            </w:pPr>
            <w:r>
              <w:rPr>
                <w:rFonts w:cs="Times New Roman"/>
              </w:rPr>
              <w:t xml:space="preserve">3.6 После подачи топлива в котельную, растопить котлы согласно инструкции.</w:t>
            </w:r>
            <w:r>
              <w:rPr>
                <w:rFonts w:cs="Times New Roman"/>
                <w:lang w:eastAsia="ar-SA"/>
              </w:rPr>
            </w:r>
          </w:p>
        </w:tc>
      </w:tr>
      <w:tr>
        <w:trPr>
          <w:trHeight w:val="454"/>
        </w:trPr>
        <w:tc>
          <w:tcPr>
            <w:tcBorders>
              <w:top w:val="single" w:color="000000" w:sz="4" w:space="0"/>
              <w:left w:val="single" w:color="000000" w:sz="4" w:space="0"/>
              <w:bottom w:val="single" w:color="000000" w:sz="4" w:space="0"/>
              <w:right w:val="single" w:color="000000" w:sz="4" w:space="0"/>
            </w:tcBorders>
            <w:tcW w:w="2316" w:type="dxa"/>
            <w:vAlign w:val="center"/>
          </w:tcPr>
          <w:p>
            <w:pPr>
              <w:pStyle w:val="12385"/>
              <w:pBdr/>
              <w:spacing/>
              <w:ind/>
              <w:rPr>
                <w:rFonts w:cs="Times New Roman"/>
              </w:rPr>
            </w:pPr>
            <w:r>
              <w:rPr>
                <w:rFonts w:cs="Times New Roman"/>
              </w:rPr>
              <w:t xml:space="preserve">4 Выход из строя котлоагрегата</w:t>
            </w:r>
            <w:r>
              <w:rPr>
                <w:rFonts w:cs="Times New Roman"/>
              </w:rPr>
            </w:r>
          </w:p>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7038" w:type="dxa"/>
            <w:vAlign w:val="center"/>
          </w:tcPr>
          <w:p>
            <w:pPr>
              <w:pStyle w:val="12385"/>
              <w:pBdr/>
              <w:spacing/>
              <w:ind/>
              <w:rPr>
                <w:rFonts w:cs="Times New Roman"/>
              </w:rPr>
            </w:pPr>
            <w:r>
              <w:rPr>
                <w:rFonts w:cs="Times New Roman"/>
              </w:rPr>
              <w:t xml:space="preserve">5.1 Отключить котел от действующей системы теплоснабжения и перейти на резервный.</w:t>
            </w:r>
            <w:r>
              <w:rPr>
                <w:rFonts w:cs="Times New Roman"/>
              </w:rPr>
            </w:r>
          </w:p>
        </w:tc>
      </w:tr>
    </w:tbl>
    <w:p>
      <w:pPr>
        <w:pStyle w:val="10533"/>
        <w:pBdr/>
        <w:spacing/>
        <w:ind/>
        <w:rPr/>
      </w:pPr>
      <w:r/>
      <w:r/>
    </w:p>
    <w:p>
      <w:pPr>
        <w:pStyle w:val="12960"/>
        <w:pBdr/>
        <w:spacing/>
        <w:ind/>
        <w:rPr/>
      </w:pPr>
      <w:r>
        <w:t xml:space="preserve">Для детальной разработки сценариев развития аварий в системах теплоснабжения с моделиро</w:t>
      </w:r>
      <w:r>
        <w:t xml:space="preserve">ванием гидравлических режимов работы таких систем, в том числе при отказе элементов тепловых сетей необходима разработка электронной модели схемы теплоснабжения. При ее отсутствии выполнить моделированием гидравлических режимов не представляется возможным.</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080" w:name="_Toc198483642"/>
      <w:r>
        <w:rPr>
          <w:rFonts w:cs="Times New Roman"/>
        </w:rPr>
        <w:t xml:space="preserve">Аварийные режимы работы, связанных с прекращением подачи тепловой энергии</w:t>
      </w:r>
      <w:bookmarkEnd w:id="1080"/>
      <w:r/>
      <w:r>
        <w:rPr>
          <w:rFonts w:cs="Times New Roman"/>
        </w:rPr>
      </w:r>
    </w:p>
    <w:p>
      <w:pPr>
        <w:pStyle w:val="12960"/>
        <w:pBdr/>
        <w:spacing/>
        <w:ind/>
        <w:rPr/>
      </w:pPr>
      <w:r>
        <w:t xml:space="preserve">Согласно СП 74.13330.2023 «Тепловые сети», минимально допустимые показ</w:t>
      </w:r>
      <w:r>
        <w:t xml:space="preserve">атели вероятности безотказной работы для источника теплоты составляют 0,97. Это означает, что в течении года из 100 источников теплоснабжения допускается выход из строя 3х источников теплоснабжения с прекращением теплоснабжения на время выше нормативного. </w:t>
      </w:r>
      <w:r/>
    </w:p>
    <w:p>
      <w:pPr>
        <w:pStyle w:val="12960"/>
        <w:pBdr/>
        <w:spacing/>
        <w:ind/>
        <w:rPr/>
      </w:pPr>
      <w:r>
        <w:t xml:space="preserve">В соответствии с СП 74.13330.2023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r/>
    </w:p>
    <w:p>
      <w:pPr>
        <w:pStyle w:val="13832"/>
        <w:keepNext w:val="false"/>
        <w:widowControl w:val="true"/>
        <w:numPr>
          <w:ilvl w:val="0"/>
          <w:numId w:val="61"/>
        </w:numPr>
        <w:pBdr/>
        <w:bidi w:val="false"/>
        <w:spacing w:after="0" w:before="0" w:line="360" w:lineRule="auto"/>
        <w:ind w:right="0" w:firstLine="510" w:left="57"/>
        <w:jc w:val="both"/>
        <w:rPr/>
      </w:pPr>
      <w:r>
        <w:t xml:space="preserve">подача 100% необходимой теплоты потребителям первой категории (если иные режимы не предусмотрены договором);</w:t>
      </w:r>
      <w:r/>
    </w:p>
    <w:p>
      <w:pPr>
        <w:pStyle w:val="13832"/>
        <w:keepNext w:val="false"/>
        <w:widowControl w:val="true"/>
        <w:numPr>
          <w:ilvl w:val="0"/>
          <w:numId w:val="61"/>
        </w:numPr>
        <w:pBdr/>
        <w:bidi w:val="false"/>
        <w:spacing w:after="0" w:before="0" w:line="360" w:lineRule="auto"/>
        <w:ind w:right="0" w:firstLine="510" w:left="57"/>
        <w:jc w:val="both"/>
        <w:rPr/>
      </w:pPr>
      <w:r>
        <w:t xml:space="preserve">подача теплоты на отопление и вентиляцию жилищно-коммунальным и промышленным потребителям второй и третьей категорий в размерах, указанных в таблице ниже;</w:t>
      </w:r>
      <w:r/>
    </w:p>
    <w:p>
      <w:pPr>
        <w:pStyle w:val="13832"/>
        <w:keepNext w:val="false"/>
        <w:widowControl w:val="true"/>
        <w:numPr>
          <w:ilvl w:val="0"/>
          <w:numId w:val="61"/>
        </w:numPr>
        <w:pBdr/>
        <w:bidi w:val="false"/>
        <w:spacing w:after="0" w:before="0" w:line="360" w:lineRule="auto"/>
        <w:ind w:right="0" w:firstLine="567" w:left="0"/>
        <w:jc w:val="both"/>
        <w:rPr/>
      </w:pPr>
      <w:r>
        <w:t xml:space="preserve">заданный потребителем аварийный режим расхода пара и технологической горячей воды;</w:t>
      </w:r>
      <w:r/>
    </w:p>
    <w:p>
      <w:pPr>
        <w:pStyle w:val="13832"/>
        <w:keepNext w:val="false"/>
        <w:widowControl w:val="true"/>
        <w:numPr>
          <w:ilvl w:val="0"/>
          <w:numId w:val="61"/>
        </w:numPr>
        <w:pBdr/>
        <w:bidi w:val="false"/>
        <w:spacing w:after="0" w:before="0" w:line="360" w:lineRule="auto"/>
        <w:ind w:right="0" w:firstLine="567" w:left="0"/>
        <w:jc w:val="both"/>
        <w:rPr/>
      </w:pPr>
      <w:r>
        <w:t xml:space="preserve">заданный потребителем аварийный тепловой режим работы неотключаемых вентиляционных систем;</w:t>
      </w:r>
      <w:r/>
    </w:p>
    <w:p>
      <w:pPr>
        <w:pStyle w:val="13832"/>
        <w:keepNext w:val="false"/>
        <w:widowControl w:val="true"/>
        <w:numPr>
          <w:ilvl w:val="0"/>
          <w:numId w:val="61"/>
        </w:numPr>
        <w:pBdr/>
        <w:bidi w:val="false"/>
        <w:spacing w:after="0" w:before="0" w:line="360" w:lineRule="auto"/>
        <w:ind w:right="0" w:firstLine="567" w:left="0"/>
        <w:jc w:val="both"/>
        <w:rPr/>
      </w:pPr>
      <w:r>
        <w:t xml:space="preserve">среднесуточный расход теплоты за отопительный период на горячее водоснабжение (при невозможности его отключения).</w:t>
      </w:r>
      <w:r/>
    </w:p>
    <w:p>
      <w:pPr>
        <w:pStyle w:val="10533"/>
        <w:keepNext w:val="true"/>
        <w:widowControl w:val="true"/>
        <w:numPr>
          <w:ilvl w:val="1"/>
          <w:numId w:val="98"/>
        </w:numPr>
        <w:pBdr/>
        <w:bidi w:val="false"/>
        <w:spacing w:after="240" w:before="360" w:line="360" w:lineRule="auto"/>
        <w:ind w:right="0" w:hanging="510" w:left="510"/>
        <w:jc w:val="left"/>
        <w:outlineLvl w:val="1"/>
        <w:rPr>
          <w:b/>
          <w:sz w:val="28"/>
          <w:szCs w:val="28"/>
          <w:lang w:eastAsia="en-US" w:bidi="en-US"/>
        </w:rPr>
      </w:pPr>
      <w:r/>
      <w:bookmarkStart w:id="1081" w:name="_Toc198483643"/>
      <w:r/>
      <w:bookmarkStart w:id="1082" w:name="_Toc168491653"/>
      <w:r/>
      <w:bookmarkStart w:id="1083" w:name="_Toc494275804"/>
      <w:r>
        <w:rPr>
          <w:b/>
          <w:sz w:val="28"/>
          <w:szCs w:val="28"/>
          <w:lang w:eastAsia="en-US" w:bidi="en-US"/>
        </w:rPr>
        <w:t xml:space="preserve"> </w:t>
      </w:r>
      <w:r>
        <w:rPr>
          <w:b/>
          <w:sz w:val="28"/>
          <w:szCs w:val="28"/>
          <w:lang w:eastAsia="en-US" w:bidi="en-US"/>
        </w:rPr>
        <w:t xml:space="preserve">Расчеты допустимого времени устранения технологических нарушений</w:t>
      </w:r>
      <w:bookmarkEnd w:id="1081"/>
      <w:r/>
      <w:bookmarkEnd w:id="1082"/>
      <w:r/>
      <w:bookmarkEnd w:id="1083"/>
      <w:r/>
      <w:r>
        <w:rPr>
          <w:b/>
          <w:sz w:val="28"/>
          <w:szCs w:val="28"/>
          <w:lang w:eastAsia="en-US" w:bidi="en-US"/>
        </w:rPr>
      </w:r>
    </w:p>
    <w:p>
      <w:pPr>
        <w:pStyle w:val="12960"/>
        <w:pBdr/>
        <w:spacing/>
        <w:ind/>
        <w:rPr/>
      </w:pPr>
      <w:r>
        <w:t xml:space="preserve">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r/>
    </w:p>
    <w:p>
      <w:pPr>
        <w:pStyle w:val="12960"/>
        <w:pBdr/>
        <w:spacing/>
        <w:ind/>
        <w:rPr/>
      </w:pPr>
      <w:r>
        <w:t xml:space="preserve">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w:t>
      </w:r>
      <w:r>
        <w:t xml:space="preserve">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r/>
    </w:p>
    <w:p>
      <w:pPr>
        <w:pStyle w:val="12960"/>
        <w:pBdr/>
        <w:spacing/>
        <w:ind/>
        <w:rPr/>
      </w:pPr>
      <w:r>
        <w:t xml:space="preserve">Согласно приказу Министерства Энерге</w:t>
      </w:r>
      <w:r>
        <w:t xml:space="preserve">тики Российской Федерации от 12.03.2013 №703, 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подача тепловой энергии (теплоносителя) в полном объеме потребителям первой категории;</w:t>
      </w:r>
      <w:r/>
    </w:p>
    <w:p>
      <w:pPr>
        <w:pStyle w:val="13832"/>
        <w:keepNext w:val="false"/>
        <w:widowControl w:val="true"/>
        <w:numPr>
          <w:ilvl w:val="0"/>
          <w:numId w:val="61"/>
        </w:numPr>
        <w:pBdr/>
        <w:bidi w:val="false"/>
        <w:spacing w:after="0" w:before="0" w:line="360" w:lineRule="auto"/>
        <w:ind w:right="0" w:firstLine="567" w:left="0"/>
        <w:jc w:val="both"/>
        <w:rPr/>
      </w:pPr>
      <w: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16;</w:t>
      </w:r>
      <w:r/>
    </w:p>
    <w:p>
      <w:pPr>
        <w:pStyle w:val="13832"/>
        <w:keepNext w:val="false"/>
        <w:widowControl w:val="true"/>
        <w:numPr>
          <w:ilvl w:val="0"/>
          <w:numId w:val="61"/>
        </w:numPr>
        <w:pBdr/>
        <w:bidi w:val="false"/>
        <w:spacing w:after="0" w:before="0" w:line="360" w:lineRule="auto"/>
        <w:ind w:right="0" w:firstLine="567" w:left="0"/>
        <w:jc w:val="both"/>
        <w:rPr/>
      </w:pPr>
      <w:r>
        <w:t xml:space="preserve">согласованный сторонами договора теплоснабжения аварийный режим расхода пара и технологической горячей воды;</w:t>
      </w:r>
      <w:r/>
    </w:p>
    <w:p>
      <w:pPr>
        <w:pStyle w:val="13832"/>
        <w:keepNext w:val="false"/>
        <w:widowControl w:val="true"/>
        <w:numPr>
          <w:ilvl w:val="0"/>
          <w:numId w:val="61"/>
        </w:numPr>
        <w:pBdr/>
        <w:bidi w:val="false"/>
        <w:spacing w:after="0" w:before="0" w:line="360" w:lineRule="auto"/>
        <w:ind w:right="0" w:firstLine="567" w:left="0"/>
        <w:jc w:val="both"/>
        <w:rPr/>
      </w:pPr>
      <w:r>
        <w:t xml:space="preserve">согласованный сторонами договора теплоснабжения аварийный тепловой режим работы неотключаемых вентиляционных систем;</w:t>
      </w:r>
      <w:r/>
    </w:p>
    <w:p>
      <w:pPr>
        <w:pStyle w:val="13832"/>
        <w:keepNext w:val="false"/>
        <w:widowControl w:val="true"/>
        <w:numPr>
          <w:ilvl w:val="0"/>
          <w:numId w:val="61"/>
        </w:numPr>
        <w:pBdr/>
        <w:bidi w:val="false"/>
        <w:spacing w:after="0" w:before="0" w:line="360" w:lineRule="auto"/>
        <w:ind w:right="0" w:firstLine="567" w:left="0"/>
        <w:jc w:val="both"/>
        <w:rPr/>
      </w:pPr>
      <w:r>
        <w:t xml:space="preserve">среднесуточный расход теплоты за отопительный период на горячее водоснабжение (при невозможности его отключения).</w:t>
      </w:r>
      <w:r/>
    </w:p>
    <w:p>
      <w:pPr>
        <w:pStyle w:val="10533"/>
        <w:pBdr/>
        <w:spacing w:line="360" w:lineRule="auto"/>
        <w:ind w:firstLine="709"/>
        <w:jc w:val="both"/>
        <w:rPr>
          <w:rFonts w:eastAsia="Calibri"/>
          <w:bCs/>
          <w:iCs/>
          <w:color w:val="0a0a0c"/>
          <w:lang w:eastAsia="en-US"/>
        </w:rPr>
      </w:pPr>
      <w:r>
        <w:rPr>
          <w:rFonts w:eastAsia="Calibri"/>
          <w:bCs/>
          <w:iCs/>
          <w:color w:val="0a0a0c"/>
          <w:lang w:eastAsia="en-US"/>
        </w:rPr>
        <w:t xml:space="preserve">Примерный темп падения температуры в отапливаемых помещениях (°С/ч) при полном отключении подачи теплоты приведён в таблице, по нему определены коэффициенты аккумуляции зданий.</w:t>
      </w:r>
      <w:r>
        <w:rPr>
          <w:rFonts w:eastAsia="Calibri"/>
          <w:bCs/>
          <w:iCs/>
          <w:color w:val="0a0a0c"/>
          <w:lang w:eastAsia="en-US"/>
        </w:rPr>
      </w:r>
    </w:p>
    <w:p>
      <w:pPr>
        <w:pStyle w:val="12960"/>
        <w:pBdr/>
        <w:spacing/>
        <w:ind/>
        <w:rPr>
          <w:b/>
          <w:bCs w:val="0"/>
          <w:i/>
        </w:rPr>
      </w:pPr>
      <w:r/>
      <w:bookmarkStart w:id="1084" w:name="_Toc526005274"/>
      <w:r/>
      <w:bookmarkStart w:id="1085" w:name="_Ref406437102"/>
      <w:r>
        <w:rPr>
          <w:b/>
          <w:bCs w:val="0"/>
        </w:rPr>
        <w:t xml:space="preserve">Таблица 12.4.1. Темпы падения внутренней температуры здания при различных температурах наружного воздуха</w:t>
      </w:r>
      <w:bookmarkEnd w:id="1084"/>
      <w:r/>
      <w:bookmarkEnd w:id="1085"/>
      <w:r/>
      <w:r>
        <w:rPr>
          <w:b/>
          <w:bCs w:val="0"/>
          <w:i/>
        </w:rPr>
      </w:r>
    </w:p>
    <w:tbl>
      <w:tblPr>
        <w:jc w:val="center"/>
        <w:tblInd w:w="0" w:type="dxa"/>
        <w:tblW w:w="5000" w:type="pct"/>
        <w:tblCellMar>
          <w:left w:w="28" w:type="dxa"/>
          <w:top w:w="0" w:type="dxa"/>
          <w:right w:w="28" w:type="dxa"/>
          <w:bottom w:w="0" w:type="dxa"/>
        </w:tblCellMar>
        <w:tblBorders/>
        <w:tblLayout w:type="fixed"/>
        <w:tblLook w:val="04A0" w:firstRow="1" w:lastRow="0" w:firstColumn="1" w:lastColumn="0" w:noHBand="0" w:noVBand="1"/>
      </w:tblPr>
      <w:tblGrid>
        <w:gridCol w:w="2563"/>
        <w:gridCol w:w="1663"/>
        <w:gridCol w:w="1699"/>
        <w:gridCol w:w="1753"/>
        <w:gridCol w:w="1677"/>
      </w:tblGrid>
      <w:tr>
        <w:trPr>
          <w:trHeight w:val="20"/>
          <w:tblHeader/>
        </w:trPr>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2563" w:type="dxa"/>
            <w:vAlign w:val="center"/>
            <w:vMerge w:val="restart"/>
          </w:tcPr>
          <w:p>
            <w:pPr>
              <w:pStyle w:val="10533"/>
              <w:widowControl w:val="false"/>
              <w:pBdr/>
              <w:spacing/>
              <w:ind/>
              <w:jc w:val="center"/>
              <w:rPr>
                <w:rFonts w:eastAsia="Calibri"/>
                <w:bCs/>
                <w:sz w:val="20"/>
                <w:szCs w:val="26"/>
              </w:rPr>
            </w:pPr>
            <w:r>
              <w:rPr>
                <w:rFonts w:eastAsia="Calibri"/>
                <w:bCs/>
                <w:sz w:val="20"/>
                <w:szCs w:val="26"/>
              </w:rPr>
              <w:t xml:space="preserve">Коэффициент аккумуляции, ч</w:t>
            </w:r>
            <w:r>
              <w:rPr>
                <w:rFonts w:eastAsia="Calibri"/>
                <w:bCs/>
                <w:sz w:val="20"/>
                <w:szCs w:val="26"/>
              </w:rPr>
            </w:r>
          </w:p>
        </w:tc>
        <w:tc>
          <w:tcPr>
            <w:gridSpan w:val="4"/>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6792" w:type="dxa"/>
            <w:vAlign w:val="center"/>
          </w:tcPr>
          <w:p>
            <w:pPr>
              <w:pStyle w:val="10533"/>
              <w:widowControl w:val="false"/>
              <w:pBdr/>
              <w:spacing/>
              <w:ind/>
              <w:jc w:val="center"/>
              <w:rPr>
                <w:rFonts w:eastAsia="Calibri"/>
                <w:bCs/>
                <w:sz w:val="20"/>
                <w:szCs w:val="26"/>
              </w:rPr>
            </w:pPr>
            <w:r>
              <w:rPr>
                <w:rFonts w:eastAsia="Calibri"/>
                <w:bCs/>
                <w:sz w:val="20"/>
                <w:szCs w:val="26"/>
              </w:rPr>
              <w:t xml:space="preserve">Темп падения температуры, °С/ч, при температуре наружного воздуха, °С</w:t>
            </w:r>
            <w:r>
              <w:rPr>
                <w:rFonts w:eastAsia="Calibri"/>
                <w:bCs/>
                <w:sz w:val="20"/>
                <w:szCs w:val="26"/>
              </w:rPr>
            </w:r>
          </w:p>
        </w:tc>
      </w:tr>
      <w:tr>
        <w:trPr>
          <w:trHeight w:val="20"/>
          <w:tblHeader/>
        </w:trPr>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2563" w:type="dxa"/>
            <w:vAlign w:val="center"/>
            <w:vMerge w:val="continue"/>
          </w:tcPr>
          <w:p>
            <w:pPr>
              <w:pStyle w:val="10533"/>
              <w:widowControl w:val="false"/>
              <w:pBdr/>
              <w:spacing/>
              <w:ind/>
              <w:jc w:val="center"/>
              <w:rPr>
                <w:rFonts w:eastAsia="Calibri"/>
                <w:bCs/>
                <w:sz w:val="20"/>
                <w:szCs w:val="26"/>
              </w:rPr>
            </w:pPr>
            <w:r>
              <w:rPr>
                <w:rFonts w:eastAsia="Calibri"/>
                <w:bCs/>
                <w:sz w:val="20"/>
                <w:szCs w:val="26"/>
              </w:rPr>
            </w:r>
            <w:r>
              <w:rPr>
                <w:rFonts w:eastAsia="Calibri"/>
                <w:bCs/>
                <w:sz w:val="20"/>
                <w:szCs w:val="26"/>
              </w:rPr>
            </w:r>
          </w:p>
        </w:tc>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1663" w:type="dxa"/>
            <w:vAlign w:val="center"/>
          </w:tcPr>
          <w:p>
            <w:pPr>
              <w:pStyle w:val="10533"/>
              <w:widowControl w:val="false"/>
              <w:pBdr/>
              <w:spacing/>
              <w:ind/>
              <w:jc w:val="center"/>
              <w:rPr>
                <w:rFonts w:eastAsia="Calibri"/>
                <w:bCs/>
                <w:sz w:val="20"/>
                <w:szCs w:val="26"/>
              </w:rPr>
            </w:pPr>
            <w:r>
              <w:rPr>
                <w:rFonts w:eastAsia="Calibri"/>
                <w:bCs/>
                <w:sz w:val="20"/>
                <w:szCs w:val="26"/>
              </w:rPr>
              <w:t xml:space="preserve">±0</w:t>
            </w:r>
            <w:r>
              <w:rPr>
                <w:rFonts w:eastAsia="Calibri"/>
                <w:bCs/>
                <w:sz w:val="20"/>
                <w:szCs w:val="26"/>
              </w:rPr>
            </w:r>
          </w:p>
        </w:tc>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1699" w:type="dxa"/>
            <w:vAlign w:val="center"/>
          </w:tcPr>
          <w:p>
            <w:pPr>
              <w:pStyle w:val="10533"/>
              <w:widowControl w:val="false"/>
              <w:pBdr/>
              <w:spacing/>
              <w:ind/>
              <w:jc w:val="center"/>
              <w:rPr>
                <w:rFonts w:eastAsia="Calibri"/>
                <w:bCs/>
                <w:sz w:val="20"/>
                <w:szCs w:val="26"/>
              </w:rPr>
            </w:pPr>
            <w:r>
              <w:rPr>
                <w:rFonts w:eastAsia="Calibri"/>
                <w:bCs/>
                <w:sz w:val="20"/>
                <w:szCs w:val="26"/>
              </w:rPr>
              <w:t xml:space="preserve">-10</w:t>
            </w:r>
            <w:r>
              <w:rPr>
                <w:rFonts w:eastAsia="Calibri"/>
                <w:bCs/>
                <w:sz w:val="20"/>
                <w:szCs w:val="26"/>
              </w:rPr>
            </w:r>
          </w:p>
        </w:tc>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1753" w:type="dxa"/>
            <w:vAlign w:val="center"/>
          </w:tcPr>
          <w:p>
            <w:pPr>
              <w:pStyle w:val="10533"/>
              <w:widowControl w:val="false"/>
              <w:pBdr/>
              <w:spacing/>
              <w:ind/>
              <w:jc w:val="center"/>
              <w:rPr>
                <w:rFonts w:eastAsia="Calibri"/>
                <w:bCs/>
                <w:sz w:val="20"/>
                <w:szCs w:val="26"/>
              </w:rPr>
            </w:pPr>
            <w:r>
              <w:rPr>
                <w:rFonts w:eastAsia="Calibri"/>
                <w:bCs/>
                <w:sz w:val="20"/>
                <w:szCs w:val="26"/>
              </w:rPr>
              <w:t xml:space="preserve">-20</w:t>
            </w:r>
            <w:r>
              <w:rPr>
                <w:rFonts w:eastAsia="Calibri"/>
                <w:bCs/>
                <w:sz w:val="20"/>
                <w:szCs w:val="26"/>
              </w:rPr>
            </w:r>
          </w:p>
        </w:tc>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1677" w:type="dxa"/>
            <w:vAlign w:val="center"/>
          </w:tcPr>
          <w:p>
            <w:pPr>
              <w:pStyle w:val="10533"/>
              <w:widowControl w:val="false"/>
              <w:pBdr/>
              <w:spacing/>
              <w:ind/>
              <w:jc w:val="center"/>
              <w:rPr>
                <w:rFonts w:eastAsia="Calibri"/>
                <w:bCs/>
                <w:sz w:val="20"/>
                <w:szCs w:val="26"/>
              </w:rPr>
            </w:pPr>
            <w:r>
              <w:rPr>
                <w:rFonts w:eastAsia="Calibri"/>
                <w:bCs/>
                <w:sz w:val="20"/>
                <w:szCs w:val="26"/>
              </w:rPr>
              <w:t xml:space="preserve">-30</w:t>
            </w:r>
            <w:r>
              <w:rPr>
                <w:rFonts w:eastAsia="Calibri"/>
                <w:bCs/>
                <w:sz w:val="20"/>
                <w:szCs w:val="26"/>
              </w:rPr>
            </w:r>
          </w:p>
        </w:tc>
      </w:tr>
      <w:tr>
        <w:trPr>
          <w:trHeight w:val="20"/>
          <w:tblHeader/>
        </w:trPr>
        <w:tc>
          <w:tcPr>
            <w:tcBorders>
              <w:top w:val="single" w:color="000000" w:sz="2" w:space="0"/>
              <w:left w:val="single" w:color="000000" w:sz="2" w:space="0"/>
              <w:bottom w:val="single" w:color="000000" w:sz="2" w:space="0"/>
              <w:right w:val="single" w:color="000000" w:sz="2" w:space="0"/>
            </w:tcBorders>
            <w:tcW w:w="2563" w:type="dxa"/>
            <w:vAlign w:val="center"/>
          </w:tcPr>
          <w:p>
            <w:pPr>
              <w:pStyle w:val="10533"/>
              <w:widowControl w:val="false"/>
              <w:pBdr/>
              <w:spacing/>
              <w:ind/>
              <w:jc w:val="center"/>
              <w:rPr>
                <w:rFonts w:eastAsia="Calibri"/>
                <w:bCs/>
                <w:sz w:val="20"/>
                <w:szCs w:val="26"/>
              </w:rPr>
            </w:pPr>
            <w:r>
              <w:rPr>
                <w:rFonts w:eastAsia="Calibri"/>
                <w:bCs/>
                <w:sz w:val="20"/>
                <w:szCs w:val="26"/>
              </w:rPr>
              <w:t xml:space="preserve">1</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63" w:type="dxa"/>
            <w:vAlign w:val="center"/>
          </w:tcPr>
          <w:p>
            <w:pPr>
              <w:pStyle w:val="10533"/>
              <w:widowControl w:val="false"/>
              <w:pBdr/>
              <w:spacing/>
              <w:ind/>
              <w:jc w:val="center"/>
              <w:rPr>
                <w:rFonts w:eastAsia="Calibri"/>
                <w:bCs/>
                <w:sz w:val="20"/>
                <w:szCs w:val="26"/>
              </w:rPr>
            </w:pPr>
            <w:r>
              <w:rPr>
                <w:rFonts w:eastAsia="Calibri"/>
                <w:bCs/>
                <w:sz w:val="20"/>
                <w:szCs w:val="26"/>
              </w:rPr>
              <w:t xml:space="preserve">2</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99" w:type="dxa"/>
            <w:vAlign w:val="center"/>
          </w:tcPr>
          <w:p>
            <w:pPr>
              <w:pStyle w:val="10533"/>
              <w:widowControl w:val="false"/>
              <w:pBdr/>
              <w:spacing/>
              <w:ind/>
              <w:jc w:val="center"/>
              <w:rPr>
                <w:rFonts w:eastAsia="Calibri"/>
                <w:bCs/>
                <w:sz w:val="20"/>
                <w:szCs w:val="26"/>
              </w:rPr>
            </w:pPr>
            <w:r>
              <w:rPr>
                <w:rFonts w:eastAsia="Calibri"/>
                <w:bCs/>
                <w:sz w:val="20"/>
                <w:szCs w:val="26"/>
              </w:rPr>
              <w:t xml:space="preserve">3</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753" w:type="dxa"/>
            <w:vAlign w:val="center"/>
          </w:tcPr>
          <w:p>
            <w:pPr>
              <w:pStyle w:val="10533"/>
              <w:widowControl w:val="false"/>
              <w:pBdr/>
              <w:spacing/>
              <w:ind/>
              <w:jc w:val="center"/>
              <w:rPr>
                <w:rFonts w:eastAsia="Calibri"/>
                <w:bCs/>
                <w:sz w:val="20"/>
                <w:szCs w:val="26"/>
              </w:rPr>
            </w:pPr>
            <w:r>
              <w:rPr>
                <w:rFonts w:eastAsia="Calibri"/>
                <w:bCs/>
                <w:sz w:val="20"/>
                <w:szCs w:val="26"/>
              </w:rPr>
              <w:t xml:space="preserve">4</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77" w:type="dxa"/>
            <w:vAlign w:val="center"/>
          </w:tcPr>
          <w:p>
            <w:pPr>
              <w:pStyle w:val="10533"/>
              <w:widowControl w:val="false"/>
              <w:pBdr/>
              <w:spacing/>
              <w:ind/>
              <w:jc w:val="center"/>
              <w:rPr>
                <w:rFonts w:eastAsia="Calibri"/>
                <w:bCs/>
                <w:sz w:val="20"/>
                <w:szCs w:val="26"/>
              </w:rPr>
            </w:pPr>
            <w:r>
              <w:rPr>
                <w:rFonts w:eastAsia="Calibri"/>
                <w:bCs/>
                <w:sz w:val="20"/>
                <w:szCs w:val="26"/>
              </w:rPr>
              <w:t xml:space="preserve">5</w:t>
            </w:r>
            <w:r>
              <w:rPr>
                <w:rFonts w:eastAsia="Calibri"/>
                <w:bCs/>
                <w:sz w:val="20"/>
                <w:szCs w:val="26"/>
              </w:rPr>
            </w:r>
          </w:p>
        </w:tc>
      </w:tr>
      <w:tr>
        <w:trPr>
          <w:trHeight w:val="20"/>
        </w:trPr>
        <w:tc>
          <w:tcPr>
            <w:tcBorders>
              <w:top w:val="single" w:color="000000" w:sz="2" w:space="0"/>
              <w:left w:val="single" w:color="000000" w:sz="2" w:space="0"/>
              <w:bottom w:val="single" w:color="000000" w:sz="2" w:space="0"/>
              <w:right w:val="single" w:color="000000" w:sz="2" w:space="0"/>
            </w:tcBorders>
            <w:tcW w:w="2563" w:type="dxa"/>
            <w:vAlign w:val="center"/>
          </w:tcPr>
          <w:p>
            <w:pPr>
              <w:pStyle w:val="10533"/>
              <w:widowControl w:val="false"/>
              <w:pBdr/>
              <w:spacing/>
              <w:ind/>
              <w:jc w:val="center"/>
              <w:rPr>
                <w:rFonts w:eastAsia="Calibri"/>
                <w:bCs/>
                <w:sz w:val="20"/>
                <w:szCs w:val="26"/>
              </w:rPr>
            </w:pPr>
            <w:r>
              <w:rPr>
                <w:rFonts w:eastAsia="Calibri"/>
                <w:bCs/>
                <w:sz w:val="20"/>
                <w:szCs w:val="26"/>
              </w:rPr>
              <w:t xml:space="preserve">20</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63" w:type="dxa"/>
            <w:vAlign w:val="center"/>
          </w:tcPr>
          <w:p>
            <w:pPr>
              <w:pStyle w:val="10533"/>
              <w:widowControl w:val="false"/>
              <w:pBdr/>
              <w:spacing/>
              <w:ind/>
              <w:jc w:val="center"/>
              <w:rPr>
                <w:rFonts w:eastAsia="Calibri"/>
                <w:bCs/>
                <w:sz w:val="20"/>
                <w:szCs w:val="26"/>
              </w:rPr>
            </w:pPr>
            <w:r>
              <w:rPr>
                <w:rFonts w:eastAsia="Calibri"/>
                <w:bCs/>
                <w:sz w:val="20"/>
                <w:szCs w:val="26"/>
              </w:rPr>
              <w:t xml:space="preserve">0,8</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99" w:type="dxa"/>
            <w:vAlign w:val="center"/>
          </w:tcPr>
          <w:p>
            <w:pPr>
              <w:pStyle w:val="10533"/>
              <w:widowControl w:val="false"/>
              <w:pBdr/>
              <w:spacing/>
              <w:ind/>
              <w:jc w:val="center"/>
              <w:rPr>
                <w:rFonts w:eastAsia="Calibri"/>
                <w:bCs/>
                <w:sz w:val="20"/>
                <w:szCs w:val="26"/>
              </w:rPr>
            </w:pPr>
            <w:r>
              <w:rPr>
                <w:rFonts w:eastAsia="Calibri"/>
                <w:bCs/>
                <w:sz w:val="20"/>
                <w:szCs w:val="26"/>
              </w:rPr>
              <w:t xml:space="preserve">1,4</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753" w:type="dxa"/>
            <w:vAlign w:val="center"/>
          </w:tcPr>
          <w:p>
            <w:pPr>
              <w:pStyle w:val="10533"/>
              <w:widowControl w:val="false"/>
              <w:pBdr/>
              <w:spacing/>
              <w:ind/>
              <w:jc w:val="center"/>
              <w:rPr>
                <w:rFonts w:eastAsia="Calibri"/>
                <w:bCs/>
                <w:sz w:val="20"/>
                <w:szCs w:val="26"/>
              </w:rPr>
            </w:pPr>
            <w:r>
              <w:rPr>
                <w:rFonts w:eastAsia="Calibri"/>
                <w:bCs/>
                <w:sz w:val="20"/>
                <w:szCs w:val="26"/>
              </w:rPr>
              <w:t xml:space="preserve">1,8</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77" w:type="dxa"/>
            <w:vAlign w:val="center"/>
          </w:tcPr>
          <w:p>
            <w:pPr>
              <w:pStyle w:val="10533"/>
              <w:widowControl w:val="false"/>
              <w:pBdr/>
              <w:spacing/>
              <w:ind/>
              <w:jc w:val="center"/>
              <w:rPr>
                <w:rFonts w:eastAsia="Calibri"/>
                <w:bCs/>
                <w:sz w:val="20"/>
                <w:szCs w:val="26"/>
              </w:rPr>
            </w:pPr>
            <w:r>
              <w:rPr>
                <w:rFonts w:eastAsia="Calibri"/>
                <w:bCs/>
                <w:sz w:val="20"/>
                <w:szCs w:val="26"/>
              </w:rPr>
              <w:t xml:space="preserve">2,4</w:t>
            </w:r>
            <w:r>
              <w:rPr>
                <w:rFonts w:eastAsia="Calibri"/>
                <w:bCs/>
                <w:sz w:val="20"/>
                <w:szCs w:val="26"/>
              </w:rPr>
            </w:r>
          </w:p>
        </w:tc>
      </w:tr>
      <w:tr>
        <w:trPr>
          <w:trHeight w:val="20"/>
        </w:trPr>
        <w:tc>
          <w:tcPr>
            <w:tcBorders>
              <w:top w:val="single" w:color="000000" w:sz="2" w:space="0"/>
              <w:left w:val="single" w:color="000000" w:sz="2" w:space="0"/>
              <w:bottom w:val="single" w:color="000000" w:sz="2" w:space="0"/>
              <w:right w:val="single" w:color="000000" w:sz="2" w:space="0"/>
            </w:tcBorders>
            <w:tcW w:w="2563" w:type="dxa"/>
            <w:vAlign w:val="center"/>
          </w:tcPr>
          <w:p>
            <w:pPr>
              <w:pStyle w:val="10533"/>
              <w:widowControl w:val="false"/>
              <w:pBdr/>
              <w:spacing/>
              <w:ind/>
              <w:jc w:val="center"/>
              <w:rPr>
                <w:rFonts w:eastAsia="Calibri"/>
                <w:bCs/>
                <w:sz w:val="20"/>
                <w:szCs w:val="26"/>
              </w:rPr>
            </w:pPr>
            <w:r>
              <w:rPr>
                <w:rFonts w:eastAsia="Calibri"/>
                <w:bCs/>
                <w:sz w:val="20"/>
                <w:szCs w:val="26"/>
              </w:rPr>
              <w:t xml:space="preserve">40</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63" w:type="dxa"/>
            <w:vAlign w:val="center"/>
          </w:tcPr>
          <w:p>
            <w:pPr>
              <w:pStyle w:val="10533"/>
              <w:widowControl w:val="false"/>
              <w:pBdr/>
              <w:spacing/>
              <w:ind/>
              <w:jc w:val="center"/>
              <w:rPr>
                <w:rFonts w:eastAsia="Calibri"/>
                <w:bCs/>
                <w:sz w:val="20"/>
                <w:szCs w:val="26"/>
              </w:rPr>
            </w:pPr>
            <w:r>
              <w:rPr>
                <w:rFonts w:eastAsia="Calibri"/>
                <w:bCs/>
                <w:sz w:val="20"/>
                <w:szCs w:val="26"/>
              </w:rPr>
              <w:t xml:space="preserve">0,5</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99" w:type="dxa"/>
            <w:vAlign w:val="center"/>
          </w:tcPr>
          <w:p>
            <w:pPr>
              <w:pStyle w:val="10533"/>
              <w:widowControl w:val="false"/>
              <w:pBdr/>
              <w:spacing/>
              <w:ind/>
              <w:jc w:val="center"/>
              <w:rPr>
                <w:rFonts w:eastAsia="Calibri"/>
                <w:bCs/>
                <w:sz w:val="20"/>
                <w:szCs w:val="26"/>
              </w:rPr>
            </w:pPr>
            <w:r>
              <w:rPr>
                <w:rFonts w:eastAsia="Calibri"/>
                <w:bCs/>
                <w:sz w:val="20"/>
                <w:szCs w:val="26"/>
              </w:rPr>
              <w:t xml:space="preserve">0,8</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753" w:type="dxa"/>
            <w:vAlign w:val="center"/>
          </w:tcPr>
          <w:p>
            <w:pPr>
              <w:pStyle w:val="10533"/>
              <w:widowControl w:val="false"/>
              <w:pBdr/>
              <w:spacing/>
              <w:ind/>
              <w:jc w:val="center"/>
              <w:rPr>
                <w:rFonts w:eastAsia="Calibri"/>
                <w:bCs/>
                <w:sz w:val="20"/>
                <w:szCs w:val="26"/>
              </w:rPr>
            </w:pPr>
            <w:r>
              <w:rPr>
                <w:rFonts w:eastAsia="Calibri"/>
                <w:bCs/>
                <w:sz w:val="20"/>
                <w:szCs w:val="26"/>
              </w:rPr>
              <w:t xml:space="preserve">1,1</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77" w:type="dxa"/>
            <w:vAlign w:val="center"/>
          </w:tcPr>
          <w:p>
            <w:pPr>
              <w:pStyle w:val="10533"/>
              <w:widowControl w:val="false"/>
              <w:pBdr/>
              <w:spacing/>
              <w:ind/>
              <w:jc w:val="center"/>
              <w:rPr>
                <w:rFonts w:eastAsia="Calibri"/>
                <w:bCs/>
                <w:sz w:val="20"/>
                <w:szCs w:val="26"/>
              </w:rPr>
            </w:pPr>
            <w:r>
              <w:rPr>
                <w:rFonts w:eastAsia="Calibri"/>
                <w:bCs/>
                <w:sz w:val="20"/>
                <w:szCs w:val="26"/>
              </w:rPr>
              <w:t xml:space="preserve">1,5</w:t>
            </w:r>
            <w:r>
              <w:rPr>
                <w:rFonts w:eastAsia="Calibri"/>
                <w:bCs/>
                <w:sz w:val="20"/>
                <w:szCs w:val="26"/>
              </w:rPr>
            </w:r>
          </w:p>
        </w:tc>
      </w:tr>
      <w:tr>
        <w:trPr>
          <w:trHeight w:val="20"/>
        </w:trPr>
        <w:tc>
          <w:tcPr>
            <w:tcBorders>
              <w:top w:val="single" w:color="000000" w:sz="2" w:space="0"/>
              <w:left w:val="single" w:color="000000" w:sz="2" w:space="0"/>
              <w:bottom w:val="single" w:color="000000" w:sz="2" w:space="0"/>
              <w:right w:val="single" w:color="000000" w:sz="2" w:space="0"/>
            </w:tcBorders>
            <w:tcW w:w="2563" w:type="dxa"/>
            <w:vAlign w:val="center"/>
          </w:tcPr>
          <w:p>
            <w:pPr>
              <w:pStyle w:val="10533"/>
              <w:widowControl w:val="false"/>
              <w:pBdr/>
              <w:spacing/>
              <w:ind/>
              <w:jc w:val="center"/>
              <w:rPr>
                <w:rFonts w:eastAsia="Calibri"/>
                <w:bCs/>
                <w:sz w:val="20"/>
                <w:szCs w:val="26"/>
              </w:rPr>
            </w:pPr>
            <w:r>
              <w:rPr>
                <w:rFonts w:eastAsia="Calibri"/>
                <w:bCs/>
                <w:sz w:val="20"/>
                <w:szCs w:val="26"/>
              </w:rPr>
              <w:t xml:space="preserve">60</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63" w:type="dxa"/>
            <w:vAlign w:val="center"/>
          </w:tcPr>
          <w:p>
            <w:pPr>
              <w:pStyle w:val="10533"/>
              <w:widowControl w:val="false"/>
              <w:pBdr/>
              <w:spacing/>
              <w:ind/>
              <w:jc w:val="center"/>
              <w:rPr>
                <w:rFonts w:eastAsia="Calibri"/>
                <w:bCs/>
                <w:sz w:val="20"/>
                <w:szCs w:val="26"/>
              </w:rPr>
            </w:pPr>
            <w:r>
              <w:rPr>
                <w:rFonts w:eastAsia="Calibri"/>
                <w:bCs/>
                <w:sz w:val="20"/>
                <w:szCs w:val="26"/>
              </w:rPr>
              <w:t xml:space="preserve">0,4</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99" w:type="dxa"/>
            <w:vAlign w:val="center"/>
          </w:tcPr>
          <w:p>
            <w:pPr>
              <w:pStyle w:val="10533"/>
              <w:widowControl w:val="false"/>
              <w:pBdr/>
              <w:spacing/>
              <w:ind/>
              <w:jc w:val="center"/>
              <w:rPr>
                <w:rFonts w:eastAsia="Calibri"/>
                <w:bCs/>
                <w:sz w:val="20"/>
                <w:szCs w:val="26"/>
              </w:rPr>
            </w:pPr>
            <w:r>
              <w:rPr>
                <w:rFonts w:eastAsia="Calibri"/>
                <w:bCs/>
                <w:sz w:val="20"/>
                <w:szCs w:val="26"/>
              </w:rPr>
              <w:t xml:space="preserve">0,6</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753" w:type="dxa"/>
            <w:vAlign w:val="center"/>
          </w:tcPr>
          <w:p>
            <w:pPr>
              <w:pStyle w:val="10533"/>
              <w:widowControl w:val="false"/>
              <w:pBdr/>
              <w:spacing/>
              <w:ind/>
              <w:jc w:val="center"/>
              <w:rPr>
                <w:rFonts w:eastAsia="Calibri"/>
                <w:bCs/>
                <w:sz w:val="20"/>
                <w:szCs w:val="26"/>
              </w:rPr>
            </w:pPr>
            <w:r>
              <w:rPr>
                <w:rFonts w:eastAsia="Calibri"/>
                <w:bCs/>
                <w:sz w:val="20"/>
                <w:szCs w:val="26"/>
              </w:rPr>
              <w:t xml:space="preserve">0,8</w:t>
            </w:r>
            <w:r>
              <w:rPr>
                <w:rFonts w:eastAsia="Calibri"/>
                <w:bCs/>
                <w:sz w:val="20"/>
                <w:szCs w:val="26"/>
              </w:rPr>
            </w:r>
          </w:p>
        </w:tc>
        <w:tc>
          <w:tcPr>
            <w:tcBorders>
              <w:top w:val="single" w:color="000000" w:sz="2" w:space="0"/>
              <w:left w:val="single" w:color="000000" w:sz="2" w:space="0"/>
              <w:bottom w:val="single" w:color="000000" w:sz="2" w:space="0"/>
              <w:right w:val="single" w:color="000000" w:sz="2" w:space="0"/>
            </w:tcBorders>
            <w:tcW w:w="1677" w:type="dxa"/>
            <w:vAlign w:val="center"/>
          </w:tcPr>
          <w:p>
            <w:pPr>
              <w:pStyle w:val="10533"/>
              <w:widowControl w:val="false"/>
              <w:pBdr/>
              <w:spacing/>
              <w:ind/>
              <w:jc w:val="center"/>
              <w:rPr>
                <w:rFonts w:eastAsia="Calibri"/>
                <w:bCs/>
                <w:sz w:val="20"/>
                <w:szCs w:val="26"/>
              </w:rPr>
            </w:pPr>
            <w:r>
              <w:rPr>
                <w:rFonts w:eastAsia="Calibri"/>
                <w:bCs/>
                <w:sz w:val="20"/>
                <w:szCs w:val="26"/>
              </w:rPr>
              <w:t xml:space="preserve">1,0</w:t>
            </w:r>
            <w:r>
              <w:rPr>
                <w:rFonts w:eastAsia="Calibri"/>
                <w:bCs/>
                <w:sz w:val="20"/>
                <w:szCs w:val="26"/>
              </w:rPr>
            </w:r>
          </w:p>
        </w:tc>
      </w:tr>
    </w:tbl>
    <w:p>
      <w:pPr>
        <w:pStyle w:val="10533"/>
        <w:pBdr/>
        <w:spacing/>
        <w:ind/>
        <w:rPr>
          <w:sz w:val="28"/>
          <w:szCs w:val="28"/>
        </w:rPr>
      </w:pPr>
      <w:r>
        <w:rPr>
          <w:sz w:val="28"/>
          <w:szCs w:val="28"/>
        </w:rPr>
      </w:r>
      <w:r>
        <w:rPr>
          <w:sz w:val="28"/>
          <w:szCs w:val="28"/>
        </w:rPr>
      </w:r>
    </w:p>
    <w:p>
      <w:pPr>
        <w:pStyle w:val="12960"/>
        <w:pBdr/>
        <w:spacing/>
        <w:ind/>
        <w:rPr/>
      </w:pPr>
      <w:r>
        <w:t xml:space="preserve">Коэффициент аккумуляции характеризует величину тепловой ак</w:t>
      </w:r>
      <w:r>
        <w:t xml:space="preserve">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принятые в расчете, установлены МДС 41-6.2000 и приведены в таблице.</w:t>
      </w:r>
      <w:bookmarkStart w:id="1086" w:name="_Ref406437081"/>
      <w:r/>
      <w:r/>
    </w:p>
    <w:p>
      <w:pPr>
        <w:pStyle w:val="12960"/>
        <w:pBdr/>
        <w:spacing/>
        <w:ind/>
        <w:rPr>
          <w:b/>
          <w:bCs w:val="0"/>
        </w:rPr>
      </w:pPr>
      <w:r/>
      <w:bookmarkStart w:id="1087" w:name="_Toc526005275"/>
      <w:r/>
      <w:bookmarkEnd w:id="1086"/>
      <w:r>
        <w:rPr>
          <w:b/>
          <w:bCs w:val="0"/>
        </w:rPr>
        <w:t xml:space="preserve">Таблица 12.4.2. Коэффициенты аккумуляции для зданий типового строительства</w:t>
      </w:r>
      <w:bookmarkEnd w:id="1087"/>
      <w:r/>
      <w:r>
        <w:rPr>
          <w:b/>
          <w:bCs w:val="0"/>
        </w:rPr>
      </w:r>
    </w:p>
    <w:tbl>
      <w:tblPr>
        <w:tblInd w:w="0" w:type="dxa"/>
        <w:tblW w:w="5000" w:type="pct"/>
        <w:tblCellMar>
          <w:left w:w="28" w:type="dxa"/>
          <w:top w:w="0" w:type="dxa"/>
          <w:right w:w="28" w:type="dxa"/>
          <w:bottom w:w="0" w:type="dxa"/>
        </w:tblCellMar>
        <w:tblBorders/>
        <w:tblLayout w:type="fixed"/>
        <w:tblLook w:val="04A0" w:firstRow="1" w:lastRow="0" w:firstColumn="1" w:lastColumn="0" w:noHBand="0" w:noVBand="1"/>
      </w:tblPr>
      <w:tblGrid>
        <w:gridCol w:w="5420"/>
        <w:gridCol w:w="2352"/>
        <w:gridCol w:w="1583"/>
      </w:tblGrid>
      <w:tr>
        <w:trPr>
          <w:trHeight w:val="20"/>
          <w:tblHeader/>
        </w:trPr>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5420" w:type="dxa"/>
            <w:vAlign w:val="center"/>
          </w:tcPr>
          <w:p>
            <w:pPr>
              <w:pStyle w:val="12385"/>
              <w:pBdr/>
              <w:spacing/>
              <w:ind/>
              <w:rPr>
                <w:rFonts w:cs="Times New Roman"/>
              </w:rPr>
            </w:pPr>
            <w:r>
              <w:rPr>
                <w:rFonts w:cs="Times New Roman"/>
              </w:rPr>
              <w:t xml:space="preserve">Характеристика зданий</w:t>
            </w:r>
            <w:r>
              <w:rPr>
                <w:rFonts w:cs="Times New Roman"/>
              </w:rPr>
            </w:r>
          </w:p>
        </w:tc>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Помещения</w:t>
            </w:r>
            <w:r>
              <w:rPr>
                <w:rFonts w:cs="Times New Roman"/>
              </w:rPr>
            </w:r>
          </w:p>
        </w:tc>
        <w:tc>
          <w:tcPr>
            <w:shd w:val="clear" w:color="auto" w:fill="d9d9d9" w:themeFill="background1" w:themeFillShade="D9"/>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Коэффициент</w:t>
            </w:r>
            <w:r>
              <w:rPr>
                <w:rFonts w:cs="Times New Roman"/>
              </w:rPr>
            </w:r>
          </w:p>
          <w:p>
            <w:pPr>
              <w:pStyle w:val="12385"/>
              <w:pBdr/>
              <w:spacing/>
              <w:ind/>
              <w:rPr>
                <w:rFonts w:cs="Times New Roman"/>
              </w:rPr>
            </w:pPr>
            <w:r>
              <w:rPr>
                <w:rFonts w:cs="Times New Roman"/>
              </w:rPr>
              <w:t xml:space="preserve">аккумуляции, ч</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restart"/>
          </w:tcPr>
          <w:p>
            <w:pPr>
              <w:pStyle w:val="12385"/>
              <w:pBdr/>
              <w:spacing/>
              <w:ind/>
              <w:rPr>
                <w:rFonts w:cs="Times New Roman"/>
              </w:rPr>
            </w:pPr>
            <w:r>
              <w:rPr>
                <w:rFonts w:cs="Times New Roman"/>
              </w:rPr>
              <w:t xml:space="preserve">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Угловые:</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верхнего этажа</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42</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среднего и первого этажей</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46</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средние</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77</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restart"/>
          </w:tcPr>
          <w:p>
            <w:pPr>
              <w:pStyle w:val="12385"/>
              <w:pBdr/>
              <w:spacing/>
              <w:ind/>
              <w:rPr>
                <w:rFonts w:cs="Times New Roman"/>
              </w:rPr>
            </w:pPr>
            <w:r>
              <w:rPr>
                <w:rFonts w:cs="Times New Roman"/>
              </w:rPr>
              <w:t xml:space="preserve">2. Крупнопанельный жилой дом серии К7-3 (конструкции инж. Лагутенко) с наружными стенами толщиной 16 см, с утепленными минераловатными плитами с железобетонными фактурными слоями</w:t>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Угловые:</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верхнего этажа</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32</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среднего этажа</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40</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средние</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51</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tcPr>
          <w:p>
            <w:pPr>
              <w:pStyle w:val="12385"/>
              <w:pBdr/>
              <w:spacing/>
              <w:ind/>
              <w:rPr>
                <w:rFonts w:cs="Times New Roman"/>
              </w:rPr>
            </w:pPr>
            <w:r>
              <w:rPr>
                <w:rFonts w:cs="Times New Roman"/>
              </w:rPr>
              <w:t xml:space="preserve">3. Дом из объемных элементов с наружными огражд</w:t>
            </w:r>
            <w:r>
              <w:rPr>
                <w:rFonts w:cs="Times New Roman"/>
              </w:rPr>
              <w:t xml:space="preserve">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Угловые верхнего этажа</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40</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restart"/>
          </w:tcPr>
          <w:p>
            <w:pPr>
              <w:pStyle w:val="12385"/>
              <w:pBdr/>
              <w:spacing/>
              <w:ind/>
              <w:rPr>
                <w:rFonts w:cs="Times New Roman"/>
              </w:rPr>
            </w:pPr>
            <w:r>
              <w:rPr>
                <w:rFonts w:cs="Times New Roman"/>
              </w:rPr>
              <w:t xml:space="preserve">4. Кирпичные жилые здания с толщиной стен в 2,5 кирпича и коэффициентом остекления 0,18-0,25</w:t>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Угловые</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65-60</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vMerge w:val="continue"/>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t xml:space="preserve">Средние</w:t>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100-65</w:t>
            </w:r>
            <w:r>
              <w:rPr>
                <w:rFonts w:cs="Times New Roman"/>
              </w:rPr>
            </w:r>
          </w:p>
        </w:tc>
      </w:tr>
      <w:tr>
        <w:trPr>
          <w:trHeight w:val="20"/>
        </w:trPr>
        <w:tc>
          <w:tcPr>
            <w:tcBorders>
              <w:top w:val="single" w:color="000000" w:sz="2" w:space="0"/>
              <w:left w:val="single" w:color="000000" w:sz="2" w:space="0"/>
              <w:bottom w:val="single" w:color="000000" w:sz="2" w:space="0"/>
              <w:right w:val="single" w:color="000000" w:sz="2" w:space="0"/>
            </w:tcBorders>
            <w:tcW w:w="5420" w:type="dxa"/>
            <w:vAlign w:val="center"/>
          </w:tcPr>
          <w:p>
            <w:pPr>
              <w:pStyle w:val="12385"/>
              <w:pBdr/>
              <w:spacing/>
              <w:ind/>
              <w:rPr>
                <w:rFonts w:cs="Times New Roman"/>
              </w:rPr>
            </w:pPr>
            <w:r>
              <w:rPr>
                <w:rFonts w:cs="Times New Roman"/>
              </w:rPr>
              <w:t xml:space="preserve">5. Промышленные здания с незначительными внутренними тепловыделениями (стены в 2 кирпича, коэффициент остекления 0,15-0,3)</w:t>
            </w:r>
            <w:r>
              <w:rPr>
                <w:rFonts w:cs="Times New Roman"/>
              </w:rPr>
            </w:r>
          </w:p>
        </w:tc>
        <w:tc>
          <w:tcPr>
            <w:tcBorders>
              <w:top w:val="single" w:color="000000" w:sz="2" w:space="0"/>
              <w:left w:val="single" w:color="000000" w:sz="2" w:space="0"/>
              <w:bottom w:val="single" w:color="000000" w:sz="2" w:space="0"/>
              <w:right w:val="single" w:color="000000" w:sz="2" w:space="0"/>
            </w:tcBorders>
            <w:tcW w:w="2352" w:type="dxa"/>
            <w:vAlign w:val="center"/>
          </w:tcPr>
          <w:p>
            <w:pPr>
              <w:pStyle w:val="12385"/>
              <w:pBdr/>
              <w:spacing/>
              <w:ind/>
              <w:rPr>
                <w:rFonts w:cs="Times New Roman"/>
              </w:rPr>
            </w:pPr>
            <w:r>
              <w:rPr>
                <w:rFonts w:cs="Times New Roman"/>
              </w:rPr>
            </w:r>
            <w:r>
              <w:rPr>
                <w:rFonts w:cs="Times New Roman"/>
              </w:rPr>
            </w:r>
          </w:p>
        </w:tc>
        <w:tc>
          <w:tcPr>
            <w:tcBorders>
              <w:top w:val="single" w:color="000000" w:sz="2" w:space="0"/>
              <w:left w:val="single" w:color="000000" w:sz="2" w:space="0"/>
              <w:bottom w:val="single" w:color="000000" w:sz="2" w:space="0"/>
              <w:right w:val="single" w:color="000000" w:sz="2" w:space="0"/>
            </w:tcBorders>
            <w:tcW w:w="1583" w:type="dxa"/>
            <w:vAlign w:val="center"/>
          </w:tcPr>
          <w:p>
            <w:pPr>
              <w:pStyle w:val="12385"/>
              <w:pBdr/>
              <w:spacing/>
              <w:ind/>
              <w:rPr>
                <w:rFonts w:cs="Times New Roman"/>
              </w:rPr>
            </w:pPr>
            <w:r>
              <w:rPr>
                <w:rFonts w:cs="Times New Roman"/>
              </w:rPr>
              <w:t xml:space="preserve">25-14</w:t>
            </w:r>
            <w:r>
              <w:rPr>
                <w:rFonts w:cs="Times New Roman"/>
              </w:rPr>
            </w:r>
          </w:p>
        </w:tc>
      </w:tr>
    </w:tbl>
    <w:p>
      <w:pPr>
        <w:pStyle w:val="10533"/>
        <w:pBdr/>
        <w:spacing/>
        <w:ind/>
        <w:rPr>
          <w:sz w:val="28"/>
          <w:szCs w:val="28"/>
        </w:rPr>
      </w:pPr>
      <w:r>
        <w:rPr>
          <w:sz w:val="28"/>
          <w:szCs w:val="28"/>
        </w:rPr>
      </w:r>
      <w:r>
        <w:rPr>
          <w:sz w:val="28"/>
          <w:szCs w:val="28"/>
        </w:rPr>
      </w:r>
    </w:p>
    <w:p>
      <w:pPr>
        <w:pStyle w:val="12960"/>
        <w:pBdr/>
        <w:spacing/>
        <w:ind/>
        <w:rPr/>
      </w:pPr>
      <w:r>
        <w:t xml:space="preserve">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r/>
    </w:p>
    <w:p>
      <w:pPr>
        <w:pStyle w:val="12960"/>
        <w:pBdr/>
        <w:spacing/>
        <w:ind/>
        <w:rPr/>
      </w:pPr>
      <w:r>
        <w:t xml:space="preserve">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w:t>
      </w:r>
      <w:r>
        <w:t xml:space="preserve">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74.13330.2023).</w:t>
      </w:r>
      <w:r/>
    </w:p>
    <w:p>
      <w:pPr>
        <w:pStyle w:val="12960"/>
        <w:pBdr/>
        <w:spacing/>
        <w:ind/>
        <w:rPr/>
      </w:pPr>
      <w:r>
        <w:t xml:space="preserve">Согласно требовани</w:t>
      </w:r>
      <w:r>
        <w:t xml:space="preserve">ям, указанным в п. 6.10 СП 74.13330.2023, 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w:t>
      </w:r>
      <w:r/>
    </w:p>
    <w:p>
      <w:pPr>
        <w:pStyle w:val="12960"/>
        <w:pBdr/>
        <w:spacing/>
        <w:ind/>
        <w:rPr>
          <w:b/>
          <w:bCs w:val="0"/>
        </w:rPr>
      </w:pPr>
      <w:r/>
      <w:bookmarkStart w:id="1088" w:name="_Toc526005276"/>
      <w:r>
        <w:rPr>
          <w:b/>
          <w:bCs w:val="0"/>
        </w:rPr>
        <w:t xml:space="preserve">Таблица 12.4.3. Максимальное допустимое время восстановления теплоснабжения</w:t>
      </w:r>
      <w:bookmarkEnd w:id="1088"/>
      <w:r/>
      <w:r>
        <w:rPr>
          <w:b/>
          <w:bCs w:val="0"/>
        </w:rPr>
      </w:r>
    </w:p>
    <w:tbl>
      <w:tblPr>
        <w:tblInd w:w="0" w:type="dxa"/>
        <w:tblW w:w="5000" w:type="pct"/>
        <w:tblCellMar>
          <w:left w:w="28" w:type="dxa"/>
          <w:top w:w="0" w:type="dxa"/>
          <w:right w:w="28" w:type="dxa"/>
          <w:bottom w:w="0" w:type="dxa"/>
        </w:tblCellMar>
        <w:tblBorders/>
        <w:tblLayout w:type="fixed"/>
        <w:tblLook w:val="0000" w:firstRow="0" w:lastRow="0" w:firstColumn="0" w:lastColumn="0" w:noHBand="0" w:noVBand="0"/>
      </w:tblPr>
      <w:tblGrid>
        <w:gridCol w:w="4677"/>
        <w:gridCol w:w="4677"/>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Диаметр труб тепловых сетей, мм</w:t>
            </w:r>
            <w:r>
              <w:rPr>
                <w:rFonts w:cs="Times New Roman"/>
                <w:lang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Время восстановления теплоснабжения, ч</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1</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2</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300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15</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400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18</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500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22</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600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26</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700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29</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800 – 1000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40</w:t>
            </w:r>
            <w:r>
              <w:rPr>
                <w:rFonts w:cs="Times New Roman"/>
                <w:lang w:eastAsia="en-US"/>
              </w:rPr>
            </w:r>
          </w:p>
        </w:tc>
      </w:tr>
      <w:tr>
        <w:trPr>
          <w:trHeight w:val="20"/>
        </w:trPr>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1200 – 1400</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W w:w="4677" w:type="dxa"/>
            <w:vAlign w:val="center"/>
          </w:tcPr>
          <w:p>
            <w:pPr>
              <w:pStyle w:val="12385"/>
              <w:pBdr/>
              <w:spacing/>
              <w:ind/>
              <w:rPr>
                <w:rFonts w:cs="Times New Roman"/>
                <w:lang w:eastAsia="en-US"/>
              </w:rPr>
            </w:pPr>
            <w:r>
              <w:rPr>
                <w:rFonts w:cs="Times New Roman"/>
                <w:lang w:eastAsia="en-US"/>
              </w:rPr>
              <w:t xml:space="preserve">До 54</w:t>
            </w:r>
            <w:r>
              <w:rPr>
                <w:rFonts w:cs="Times New Roman"/>
                <w:lang w:eastAsia="en-US"/>
              </w:rPr>
            </w:r>
          </w:p>
        </w:tc>
      </w:tr>
    </w:tbl>
    <w:p>
      <w:pPr>
        <w:pStyle w:val="10533"/>
        <w:pBdr/>
        <w:spacing/>
        <w:ind w:firstLine="709"/>
        <w:jc w:val="both"/>
        <w:rPr>
          <w:sz w:val="28"/>
          <w:szCs w:val="28"/>
        </w:rPr>
      </w:pPr>
      <w:r>
        <w:rPr>
          <w:sz w:val="28"/>
          <w:szCs w:val="28"/>
        </w:rPr>
      </w:r>
      <w:r>
        <w:rPr>
          <w:sz w:val="28"/>
          <w:szCs w:val="28"/>
        </w:rPr>
      </w:r>
    </w:p>
    <w:p>
      <w:pPr>
        <w:pStyle w:val="12960"/>
        <w:pBdr/>
        <w:spacing/>
        <w:ind/>
        <w:rPr/>
      </w:pPr>
      <w:r>
        <w:t xml:space="preserve">На рисунках представлены номограммы для определения периодов остывания здания и проведения ремонтно-восстановительных работ соответственно в зависимости от температуры наружного воздуха и от диаметра и протяженности теплопроводов. </w:t>
      </w:r>
      <w:r/>
    </w:p>
    <w:p>
      <w:pPr>
        <w:pStyle w:val="12960"/>
        <w:pBdr/>
        <w:spacing/>
        <w:ind/>
        <w:rPr/>
      </w:pPr>
      <w:r>
        <w:t xml:space="preserve">Номограмма на рисунке 4 построена для угловых жилых помещений кирпичных и панельных зданий со снижением температуры внутреннего </w:t>
      </w:r>
      <w:r>
        <w:t xml:space="preserve">воздуха помещений с +20 до +12 ºС, а номограмма на рисунке 5 – для подъездов и лестничных клеток жилых зданий со снижением температуры с +15 до +3 ºС. Последняя номограмма используется для определения условий недопущения замерзания систем отопления зданий.</w:t>
      </w:r>
      <w:r/>
    </w:p>
    <w:p>
      <w:pPr>
        <w:pStyle w:val="10533"/>
        <w:keepNext w:val="true"/>
        <w:pBdr/>
        <w:spacing/>
        <w:ind/>
        <w:jc w:val="center"/>
        <w:rPr>
          <w:sz w:val="28"/>
          <w:szCs w:val="28"/>
        </w:rPr>
      </w:pPr>
      <w:r>
        <mc:AlternateContent>
          <mc:Choice Requires="wpg">
            <w:drawing>
              <wp:inline xmlns:wp="http://schemas.openxmlformats.org/drawingml/2006/wordprocessingDrawing" distT="0" distB="0" distL="0" distR="0">
                <wp:extent cx="6015355" cy="3467735"/>
                <wp:effectExtent l="0" t="0" r="0" b="0"/>
                <wp:docPr id="56" name="Изображение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17" descr=""/>
                        <pic:cNvPicPr>
                          <a:picLocks noChangeAspect="1"/>
                        </pic:cNvPicPr>
                        <pic:nvPr/>
                      </pic:nvPicPr>
                      <pic:blipFill rotWithShape="1">
                        <a:blip r:embed="rId626"/>
                        <a:stretch/>
                      </pic:blipFill>
                      <pic:spPr bwMode="auto">
                        <a:xfrm>
                          <a:off x="0" y="0"/>
                          <a:ext cx="6015355" cy="346773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9" o:spid="_x0000_s59" type="#_x0000_t75" style="width:473.65pt;height:273.05pt;mso-wrap-distance-left:0.00pt;mso-wrap-distance-top:0.00pt;mso-wrap-distance-right:0.00pt;mso-wrap-distance-bottom:0.00pt;z-index:1;" stroked="false">
                <v:imagedata r:id="rId626" o:title=""/>
                <o:lock v:ext="edit" rotation="t"/>
              </v:shape>
            </w:pict>
          </mc:Fallback>
        </mc:AlternateContent>
      </w:r>
      <w:r>
        <w:rPr>
          <w:sz w:val="28"/>
          <w:szCs w:val="28"/>
        </w:rPr>
      </w:r>
    </w:p>
    <w:p>
      <w:pPr>
        <w:pStyle w:val="12960"/>
        <w:pBdr/>
        <w:spacing/>
        <w:ind/>
        <w:rPr/>
      </w:pPr>
      <w:r/>
      <w:bookmarkStart w:id="1089" w:name="_Toc526005476"/>
      <w:r>
        <w:t xml:space="preserve">Рисунок 12.</w:t>
      </w:r>
      <w:r>
        <w:fldChar w:fldCharType="begin"/>
      </w:r>
      <w:r>
        <w:instrText xml:space="preserve"> SEQ Рисунок \* ARABIC </w:instrText>
      </w:r>
      <w:r>
        <w:fldChar w:fldCharType="separate"/>
      </w:r>
      <w:r>
        <w:t xml:space="preserve">1</w:t>
      </w:r>
      <w:r>
        <w:fldChar w:fldCharType="end"/>
      </w:r>
      <w:r>
        <w:t xml:space="preserve">.1 Номограмма для определения периодов остывания угловых жилых помещений кирпичных и панельных зданий со снижением температуры внутреннего воздуха помещений с +20 до +12 ºС</w:t>
      </w:r>
      <w:bookmarkEnd w:id="1089"/>
      <w:r/>
      <w:r/>
    </w:p>
    <w:p>
      <w:pPr>
        <w:pStyle w:val="10533"/>
        <w:keepNext w:val="true"/>
        <w:pBdr/>
        <w:spacing/>
        <w:ind/>
        <w:jc w:val="center"/>
        <w:rPr>
          <w:sz w:val="28"/>
          <w:szCs w:val="28"/>
        </w:rPr>
      </w:pPr>
      <w:r>
        <mc:AlternateContent>
          <mc:Choice Requires="wpg">
            <w:drawing>
              <wp:inline xmlns:wp="http://schemas.openxmlformats.org/drawingml/2006/wordprocessingDrawing" distT="0" distB="0" distL="0" distR="0">
                <wp:extent cx="6115685" cy="3409315"/>
                <wp:effectExtent l="0" t="0" r="0" b="0"/>
                <wp:docPr id="57" name="Рисунок 11519410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1151941096" descr=""/>
                        <pic:cNvPicPr>
                          <a:picLocks noChangeAspect="1"/>
                        </pic:cNvPicPr>
                        <pic:nvPr/>
                      </pic:nvPicPr>
                      <pic:blipFill rotWithShape="1">
                        <a:blip r:embed="rId627"/>
                        <a:stretch/>
                      </pic:blipFill>
                      <pic:spPr bwMode="auto">
                        <a:xfrm>
                          <a:off x="0" y="0"/>
                          <a:ext cx="6115685" cy="340931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0" o:spid="_x0000_s60" type="#_x0000_t75" style="width:481.55pt;height:268.45pt;mso-wrap-distance-left:0.00pt;mso-wrap-distance-top:0.00pt;mso-wrap-distance-right:0.00pt;mso-wrap-distance-bottom:0.00pt;z-index:1;" stroked="false">
                <v:imagedata r:id="rId627" o:title=""/>
                <o:lock v:ext="edit" rotation="t"/>
              </v:shape>
            </w:pict>
          </mc:Fallback>
        </mc:AlternateContent>
      </w:r>
      <w:r>
        <w:rPr>
          <w:sz w:val="28"/>
          <w:szCs w:val="28"/>
        </w:rPr>
      </w:r>
    </w:p>
    <w:p>
      <w:pPr>
        <w:pStyle w:val="12960"/>
        <w:pBdr/>
        <w:spacing/>
        <w:ind/>
        <w:rPr/>
      </w:pPr>
      <w:r/>
      <w:bookmarkStart w:id="1090" w:name="_Toc526005477"/>
      <w:r>
        <w:t xml:space="preserve">Рисунок 12.4.2. Номограмма для определения периодов остывания для подъездов и лестничных клеток жилых зданий со снижением температуры с +15 до +3 ºС</w:t>
      </w:r>
      <w:bookmarkEnd w:id="1090"/>
      <w:r>
        <w:br/>
      </w:r>
      <w:r/>
    </w:p>
    <w:p>
      <w:pPr>
        <w:pStyle w:val="12960"/>
        <w:pBdr/>
        <w:spacing/>
        <w:ind/>
        <w:rPr/>
      </w:pPr>
      <w:r>
        <w:t xml:space="preserve">В таблице приведены временные ограничения для устранения аварийных ситуаций на объектах водоснабжения, теплоснабжения, электроснабжения и газоснабжения.</w:t>
      </w:r>
      <w:r/>
    </w:p>
    <w:p>
      <w:pPr>
        <w:pStyle w:val="10533"/>
        <w:pBdr/>
        <w:spacing/>
        <w:ind w:firstLine="709"/>
        <w:jc w:val="both"/>
        <w:rPr>
          <w:sz w:val="28"/>
          <w:szCs w:val="28"/>
        </w:rPr>
      </w:pPr>
      <w:r>
        <w:rPr>
          <w:sz w:val="28"/>
          <w:szCs w:val="28"/>
        </w:rPr>
      </w:r>
      <w:r>
        <w:rPr>
          <w:sz w:val="28"/>
          <w:szCs w:val="28"/>
        </w:rPr>
      </w:r>
    </w:p>
    <w:p>
      <w:pPr>
        <w:pStyle w:val="10533"/>
        <w:pBdr/>
        <w:spacing w:line="360" w:lineRule="auto"/>
        <w:ind w:firstLine="709"/>
        <w:jc w:val="both"/>
        <w:rPr>
          <w:rFonts w:eastAsia="Calibri"/>
          <w:b/>
          <w:iCs/>
          <w:color w:val="0a0a0c"/>
          <w:lang w:eastAsia="en-US"/>
        </w:rPr>
      </w:pPr>
      <w:r/>
      <w:bookmarkStart w:id="1091" w:name="_Toc526005277"/>
      <w:r>
        <w:rPr>
          <w:rFonts w:eastAsia="Calibri"/>
          <w:b/>
          <w:iCs/>
          <w:color w:val="0a0a0c"/>
          <w:lang w:eastAsia="en-US"/>
        </w:rPr>
        <w:t xml:space="preserve">Таблица 12.4.4. Допустимое время устранения технологических нарушений на объектах водоснабжения</w:t>
      </w:r>
      <w:bookmarkEnd w:id="1091"/>
      <w:r/>
      <w:r>
        <w:rPr>
          <w:rFonts w:eastAsia="Calibri"/>
          <w:b/>
          <w:iCs/>
          <w:color w:val="0a0a0c"/>
          <w:lang w:eastAsia="en-US"/>
        </w:rPr>
      </w:r>
    </w:p>
    <w:tbl>
      <w:tblPr>
        <w:tblInd w:w="0" w:type="dxa"/>
        <w:tblW w:w="5000" w:type="pct"/>
        <w:tblCellMar>
          <w:left w:w="28" w:type="dxa"/>
          <w:top w:w="0" w:type="dxa"/>
          <w:right w:w="28" w:type="dxa"/>
          <w:bottom w:w="0" w:type="dxa"/>
        </w:tblCellMar>
        <w:tblBorders/>
        <w:tblLayout w:type="fixed"/>
        <w:tblLook w:val="04A0" w:firstRow="1" w:lastRow="0" w:firstColumn="1" w:lastColumn="0" w:noHBand="0" w:noVBand="1"/>
      </w:tblPr>
      <w:tblGrid>
        <w:gridCol w:w="1247"/>
        <w:gridCol w:w="5000"/>
        <w:gridCol w:w="3108"/>
      </w:tblGrid>
      <w:tr>
        <w:trPr>
          <w:trHeight w:val="20"/>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247" w:type="dxa"/>
            <w:vAlign w:val="center"/>
          </w:tcPr>
          <w:p>
            <w:pPr>
              <w:pStyle w:val="10533"/>
              <w:widowControl w:val="false"/>
              <w:pBdr/>
              <w:spacing/>
              <w:ind/>
              <w:jc w:val="center"/>
              <w:rPr>
                <w:rFonts w:eastAsia="Calibri"/>
                <w:bCs/>
                <w:sz w:val="20"/>
                <w:szCs w:val="26"/>
              </w:rPr>
            </w:pPr>
            <w:r>
              <w:rPr>
                <w:rFonts w:eastAsia="Calibri"/>
                <w:bCs/>
                <w:sz w:val="20"/>
                <w:szCs w:val="26"/>
              </w:rPr>
              <w:t xml:space="preserve">№ </w:t>
            </w:r>
            <w:r>
              <w:rPr>
                <w:rFonts w:eastAsia="Calibri"/>
                <w:bCs/>
                <w:sz w:val="20"/>
                <w:szCs w:val="26"/>
              </w:rPr>
              <w:t xml:space="preserve">п/п</w:t>
            </w:r>
            <w:r>
              <w:rPr>
                <w:rFonts w:eastAsia="Calibri"/>
                <w:bCs/>
                <w:sz w:val="20"/>
                <w:szCs w:val="26"/>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000" w:type="dxa"/>
            <w:vAlign w:val="center"/>
          </w:tcPr>
          <w:p>
            <w:pPr>
              <w:pStyle w:val="10533"/>
              <w:widowControl w:val="false"/>
              <w:pBdr/>
              <w:spacing/>
              <w:ind/>
              <w:jc w:val="center"/>
              <w:rPr>
                <w:rFonts w:eastAsia="Calibri"/>
                <w:bCs/>
                <w:sz w:val="20"/>
                <w:szCs w:val="26"/>
              </w:rPr>
            </w:pPr>
            <w:r>
              <w:rPr>
                <w:rFonts w:eastAsia="Calibri"/>
                <w:bCs/>
                <w:sz w:val="20"/>
                <w:szCs w:val="26"/>
              </w:rPr>
              <w:t xml:space="preserve">Наименование технологического нарушения</w:t>
            </w:r>
            <w:r>
              <w:rPr>
                <w:rFonts w:eastAsia="Calibri"/>
                <w:bCs/>
                <w:sz w:val="20"/>
                <w:szCs w:val="26"/>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08" w:type="dxa"/>
            <w:vAlign w:val="center"/>
          </w:tcPr>
          <w:p>
            <w:pPr>
              <w:pStyle w:val="10533"/>
              <w:widowControl w:val="false"/>
              <w:pBdr/>
              <w:spacing/>
              <w:ind/>
              <w:jc w:val="center"/>
              <w:rPr>
                <w:rFonts w:eastAsia="Calibri"/>
                <w:bCs/>
                <w:sz w:val="20"/>
                <w:szCs w:val="26"/>
              </w:rPr>
            </w:pPr>
            <w:r>
              <w:rPr>
                <w:rFonts w:eastAsia="Calibri"/>
                <w:bCs/>
                <w:sz w:val="20"/>
                <w:szCs w:val="26"/>
              </w:rPr>
              <w:t xml:space="preserve">Время на устранение, час. мин.</w:t>
            </w:r>
            <w:r>
              <w:rPr>
                <w:rFonts w:eastAsia="Calibri"/>
                <w:bCs/>
                <w:sz w:val="20"/>
                <w:szCs w:val="26"/>
              </w:rPr>
            </w:r>
          </w:p>
        </w:tc>
      </w:tr>
      <w:tr>
        <w:trPr>
          <w:trHeight w:val="20"/>
        </w:trPr>
        <w:tc>
          <w:tcPr>
            <w:tcBorders>
              <w:top w:val="single" w:color="000000" w:sz="4" w:space="0"/>
              <w:left w:val="single" w:color="000000" w:sz="4" w:space="0"/>
              <w:bottom w:val="single" w:color="000000" w:sz="4" w:space="0"/>
              <w:right w:val="single" w:color="000000" w:sz="4" w:space="0"/>
            </w:tcBorders>
            <w:tcW w:w="1247" w:type="dxa"/>
            <w:vAlign w:val="center"/>
          </w:tcPr>
          <w:p>
            <w:pPr>
              <w:pStyle w:val="10533"/>
              <w:widowControl w:val="false"/>
              <w:pBdr/>
              <w:spacing/>
              <w:ind/>
              <w:jc w:val="center"/>
              <w:rPr>
                <w:rFonts w:eastAsia="Calibri"/>
                <w:bCs/>
                <w:sz w:val="20"/>
                <w:szCs w:val="26"/>
              </w:rPr>
            </w:pPr>
            <w:r>
              <w:rPr>
                <w:rFonts w:eastAsia="Calibri"/>
                <w:bCs/>
                <w:sz w:val="20"/>
                <w:szCs w:val="26"/>
              </w:rPr>
              <w:t xml:space="preserve">1</w:t>
            </w:r>
            <w:r>
              <w:rPr>
                <w:rFonts w:eastAsia="Calibri"/>
                <w:bCs/>
                <w:sz w:val="20"/>
                <w:szCs w:val="26"/>
              </w:rPr>
            </w:r>
          </w:p>
        </w:tc>
        <w:tc>
          <w:tcPr>
            <w:tcBorders>
              <w:top w:val="single" w:color="000000" w:sz="4" w:space="0"/>
              <w:left w:val="single" w:color="000000" w:sz="4" w:space="0"/>
              <w:bottom w:val="single" w:color="000000" w:sz="4" w:space="0"/>
              <w:right w:val="single" w:color="000000" w:sz="4" w:space="0"/>
            </w:tcBorders>
            <w:tcW w:w="5000" w:type="dxa"/>
            <w:vAlign w:val="center"/>
          </w:tcPr>
          <w:p>
            <w:pPr>
              <w:pStyle w:val="10533"/>
              <w:widowControl w:val="false"/>
              <w:pBdr/>
              <w:spacing/>
              <w:ind/>
              <w:jc w:val="center"/>
              <w:rPr>
                <w:rFonts w:eastAsia="Calibri"/>
                <w:bCs/>
                <w:sz w:val="20"/>
                <w:szCs w:val="26"/>
              </w:rPr>
            </w:pPr>
            <w:r>
              <w:rPr>
                <w:rFonts w:eastAsia="Calibri"/>
                <w:bCs/>
                <w:sz w:val="20"/>
                <w:szCs w:val="26"/>
              </w:rPr>
              <w:t xml:space="preserve">Отключение ХВС</w:t>
            </w:r>
            <w:r>
              <w:rPr>
                <w:rFonts w:eastAsia="Calibri"/>
                <w:bCs/>
                <w:sz w:val="20"/>
                <w:szCs w:val="26"/>
              </w:rPr>
            </w:r>
          </w:p>
        </w:tc>
        <w:tc>
          <w:tcPr>
            <w:tcBorders>
              <w:top w:val="single" w:color="000000" w:sz="4" w:space="0"/>
              <w:left w:val="single" w:color="000000" w:sz="4" w:space="0"/>
              <w:bottom w:val="single" w:color="000000" w:sz="4" w:space="0"/>
              <w:right w:val="single" w:color="000000" w:sz="4" w:space="0"/>
            </w:tcBorders>
            <w:tcW w:w="3108" w:type="dxa"/>
            <w:vAlign w:val="center"/>
          </w:tcPr>
          <w:p>
            <w:pPr>
              <w:pStyle w:val="10533"/>
              <w:widowControl w:val="false"/>
              <w:pBdr/>
              <w:spacing/>
              <w:ind/>
              <w:jc w:val="center"/>
              <w:rPr>
                <w:rFonts w:eastAsia="Calibri"/>
                <w:bCs/>
                <w:sz w:val="20"/>
                <w:szCs w:val="26"/>
              </w:rPr>
            </w:pPr>
            <w:r>
              <w:rPr>
                <w:rFonts w:eastAsia="Calibri"/>
                <w:bCs/>
                <w:sz w:val="20"/>
                <w:szCs w:val="26"/>
              </w:rPr>
              <w:t xml:space="preserve">4 часа</w:t>
            </w:r>
            <w:r>
              <w:rPr>
                <w:rFonts w:eastAsia="Calibri"/>
                <w:bCs/>
                <w:sz w:val="20"/>
                <w:szCs w:val="26"/>
              </w:rPr>
            </w:r>
          </w:p>
        </w:tc>
      </w:tr>
      <w:tr>
        <w:trPr>
          <w:trHeight w:val="20"/>
        </w:trPr>
        <w:tc>
          <w:tcPr>
            <w:tcBorders>
              <w:top w:val="single" w:color="000000" w:sz="4" w:space="0"/>
              <w:left w:val="single" w:color="000000" w:sz="4" w:space="0"/>
              <w:bottom w:val="single" w:color="000000" w:sz="4" w:space="0"/>
              <w:right w:val="single" w:color="000000" w:sz="4" w:space="0"/>
            </w:tcBorders>
            <w:tcW w:w="1247" w:type="dxa"/>
            <w:vAlign w:val="center"/>
          </w:tcPr>
          <w:p>
            <w:pPr>
              <w:pStyle w:val="10533"/>
              <w:widowControl w:val="false"/>
              <w:pBdr/>
              <w:spacing/>
              <w:ind/>
              <w:jc w:val="center"/>
              <w:rPr>
                <w:rFonts w:eastAsia="Calibri"/>
                <w:bCs/>
                <w:sz w:val="20"/>
                <w:szCs w:val="26"/>
              </w:rPr>
            </w:pPr>
            <w:r>
              <w:rPr>
                <w:rFonts w:eastAsia="Calibri"/>
                <w:bCs/>
                <w:sz w:val="20"/>
                <w:szCs w:val="26"/>
              </w:rPr>
              <w:t xml:space="preserve">2</w:t>
            </w:r>
            <w:r>
              <w:rPr>
                <w:rFonts w:eastAsia="Calibri"/>
                <w:bCs/>
                <w:sz w:val="20"/>
                <w:szCs w:val="26"/>
              </w:rPr>
            </w:r>
          </w:p>
        </w:tc>
        <w:tc>
          <w:tcPr>
            <w:tcBorders>
              <w:top w:val="single" w:color="000000" w:sz="4" w:space="0"/>
              <w:left w:val="single" w:color="000000" w:sz="4" w:space="0"/>
              <w:bottom w:val="single" w:color="000000" w:sz="4" w:space="0"/>
              <w:right w:val="single" w:color="000000" w:sz="4" w:space="0"/>
            </w:tcBorders>
            <w:tcW w:w="5000" w:type="dxa"/>
            <w:vAlign w:val="center"/>
          </w:tcPr>
          <w:p>
            <w:pPr>
              <w:pStyle w:val="10533"/>
              <w:widowControl w:val="false"/>
              <w:pBdr/>
              <w:spacing/>
              <w:ind/>
              <w:jc w:val="center"/>
              <w:rPr>
                <w:rFonts w:eastAsia="Calibri"/>
                <w:bCs/>
                <w:sz w:val="20"/>
                <w:szCs w:val="26"/>
              </w:rPr>
            </w:pPr>
            <w:r>
              <w:rPr>
                <w:rFonts w:eastAsia="Calibri"/>
                <w:bCs/>
                <w:sz w:val="20"/>
                <w:szCs w:val="26"/>
              </w:rPr>
              <w:t xml:space="preserve">Отключение электроснабжения</w:t>
            </w:r>
            <w:r>
              <w:rPr>
                <w:rFonts w:eastAsia="Calibri"/>
                <w:bCs/>
                <w:sz w:val="20"/>
                <w:szCs w:val="26"/>
              </w:rPr>
            </w:r>
          </w:p>
        </w:tc>
        <w:tc>
          <w:tcPr>
            <w:tcBorders>
              <w:top w:val="single" w:color="000000" w:sz="4" w:space="0"/>
              <w:left w:val="single" w:color="000000" w:sz="4" w:space="0"/>
              <w:bottom w:val="single" w:color="000000" w:sz="4" w:space="0"/>
              <w:right w:val="single" w:color="000000" w:sz="4" w:space="0"/>
            </w:tcBorders>
            <w:tcW w:w="3108" w:type="dxa"/>
            <w:vAlign w:val="center"/>
          </w:tcPr>
          <w:p>
            <w:pPr>
              <w:pStyle w:val="10533"/>
              <w:widowControl w:val="false"/>
              <w:pBdr/>
              <w:spacing/>
              <w:ind/>
              <w:jc w:val="center"/>
              <w:rPr>
                <w:rFonts w:eastAsia="Calibri"/>
                <w:bCs/>
                <w:sz w:val="20"/>
                <w:szCs w:val="26"/>
              </w:rPr>
            </w:pPr>
            <w:r>
              <w:rPr>
                <w:rFonts w:eastAsia="Calibri"/>
                <w:bCs/>
                <w:sz w:val="20"/>
                <w:szCs w:val="26"/>
              </w:rPr>
              <w:t xml:space="preserve">2 часа*</w:t>
            </w:r>
            <w:r>
              <w:rPr>
                <w:rFonts w:eastAsia="Calibri"/>
                <w:bCs/>
                <w:sz w:val="20"/>
                <w:szCs w:val="26"/>
              </w:rPr>
            </w:r>
          </w:p>
        </w:tc>
      </w:tr>
    </w:tbl>
    <w:p>
      <w:pPr>
        <w:pStyle w:val="12960"/>
        <w:pBdr/>
        <w:spacing/>
        <w:ind/>
        <w:rPr/>
      </w:pPr>
      <w:r/>
      <w:r/>
    </w:p>
    <w:p>
      <w:pPr>
        <w:pStyle w:val="12960"/>
        <w:pBdr/>
        <w:spacing/>
        <w:ind/>
        <w:rPr/>
      </w:pPr>
      <w:r>
        <w:t xml:space="preserve">*в котельных второй категории, согласно п</w:t>
      </w:r>
      <w:r>
        <w:t xml:space="preserve">. 4.8 СП 89.13330.2016,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r/>
    </w:p>
    <w:p>
      <w:pPr>
        <w:pStyle w:val="10535"/>
        <w:keepNext w:val="true"/>
        <w:widowControl w:val="true"/>
        <w:numPr>
          <w:ilvl w:val="1"/>
          <w:numId w:val="179"/>
        </w:numPr>
        <w:pBdr/>
        <w:bidi w:val="false"/>
        <w:spacing w:after="240" w:before="360" w:line="360" w:lineRule="auto"/>
        <w:ind w:right="0" w:hanging="737" w:left="737"/>
        <w:jc w:val="center"/>
        <w:rPr>
          <w:rFonts w:cs="Times New Roman"/>
        </w:rPr>
      </w:pPr>
      <w:r/>
      <w:bookmarkStart w:id="1092" w:name="_Toc198483644"/>
      <w:r/>
      <w:bookmarkStart w:id="1093" w:name="_Toc168491660"/>
      <w:r/>
      <w:bookmarkStart w:id="1094" w:name="_Toc494275850"/>
      <w:r>
        <w:rPr>
          <w:rFonts w:cs="Times New Roman"/>
        </w:rPr>
        <w:t xml:space="preserve">Организация управления ликвидацией аварий на источниках теплоснабжения и тепловых сетях</w:t>
      </w:r>
      <w:bookmarkEnd w:id="1092"/>
      <w:r/>
      <w:bookmarkEnd w:id="1093"/>
      <w:r/>
      <w:bookmarkEnd w:id="1094"/>
      <w:r/>
      <w:r>
        <w:rPr>
          <w:rFonts w:cs="Times New Roman"/>
        </w:rPr>
      </w:r>
    </w:p>
    <w:p>
      <w:pPr>
        <w:pStyle w:val="12960"/>
        <w:pBdr/>
        <w:spacing/>
        <w:ind/>
        <w:rPr/>
      </w:pPr>
      <w:r>
        <w:t xml:space="preserve">Расшифровка аббревиатур, приведённых в разделах по ликвидации чрезвычайных ситуаций:</w:t>
      </w:r>
      <w:r/>
    </w:p>
    <w:p>
      <w:pPr>
        <w:pStyle w:val="12960"/>
        <w:pBdr/>
        <w:spacing/>
        <w:ind/>
        <w:rPr/>
      </w:pPr>
      <w:r>
        <w:rPr>
          <w:b/>
        </w:rPr>
        <w:t xml:space="preserve">АДС</w:t>
      </w:r>
      <w:r>
        <w:t xml:space="preserve"> – аварийно-диспетчерские службы;</w:t>
      </w:r>
      <w:r/>
    </w:p>
    <w:p>
      <w:pPr>
        <w:pStyle w:val="12960"/>
        <w:pBdr/>
        <w:spacing/>
        <w:ind/>
        <w:rPr/>
      </w:pPr>
      <w:r>
        <w:rPr>
          <w:b/>
        </w:rPr>
        <w:t xml:space="preserve">АСДНР</w:t>
      </w:r>
      <w:r>
        <w:t xml:space="preserve"> –аварийно-спасательные и другие неотложные работы;</w:t>
      </w:r>
      <w:r/>
    </w:p>
    <w:p>
      <w:pPr>
        <w:pStyle w:val="12960"/>
        <w:pBdr/>
        <w:spacing/>
        <w:ind/>
        <w:rPr/>
      </w:pPr>
      <w:r>
        <w:rPr>
          <w:b/>
        </w:rPr>
        <w:t xml:space="preserve">ГО</w:t>
      </w:r>
      <w:r>
        <w:t xml:space="preserve"> – гражданская оборона;</w:t>
      </w:r>
      <w:r/>
    </w:p>
    <w:p>
      <w:pPr>
        <w:pStyle w:val="12960"/>
        <w:pBdr/>
        <w:spacing/>
        <w:ind/>
        <w:rPr/>
      </w:pPr>
      <w:r>
        <w:rPr>
          <w:b/>
        </w:rPr>
        <w:t xml:space="preserve">ДДС</w:t>
      </w:r>
      <w:r>
        <w:t xml:space="preserve"> – дежурно-диспетчерские службы;</w:t>
      </w:r>
      <w:r/>
    </w:p>
    <w:p>
      <w:pPr>
        <w:pStyle w:val="12960"/>
        <w:pBdr/>
        <w:spacing/>
        <w:ind/>
        <w:rPr/>
      </w:pPr>
      <w:r>
        <w:rPr>
          <w:b/>
        </w:rPr>
        <w:t xml:space="preserve">ЕДДС</w:t>
      </w:r>
      <w:r>
        <w:t xml:space="preserve"> – Единая дежурная диспетчерская служба;</w:t>
      </w:r>
      <w:r/>
    </w:p>
    <w:p>
      <w:pPr>
        <w:pStyle w:val="12960"/>
        <w:pBdr/>
        <w:spacing/>
        <w:ind/>
        <w:rPr/>
      </w:pPr>
      <w:r>
        <w:rPr>
          <w:b/>
        </w:rPr>
        <w:t xml:space="preserve">КЧС и ОПБ</w:t>
      </w:r>
      <w:r>
        <w:t xml:space="preserve"> – комиссия по предупреждению и ликвидации чрезвычайных ситуаций и обеспечению пожарной безопасности;</w:t>
      </w:r>
      <w:r/>
    </w:p>
    <w:p>
      <w:pPr>
        <w:pStyle w:val="12960"/>
        <w:pBdr/>
        <w:spacing/>
        <w:ind/>
        <w:rPr/>
      </w:pPr>
      <w:r>
        <w:rPr>
          <w:b/>
        </w:rPr>
        <w:t xml:space="preserve">ОДС</w:t>
      </w:r>
      <w:r>
        <w:t xml:space="preserve"> – объединённая диспетчерская служба;</w:t>
      </w:r>
      <w:r/>
    </w:p>
    <w:p>
      <w:pPr>
        <w:pStyle w:val="12960"/>
        <w:pBdr/>
        <w:spacing/>
        <w:ind/>
        <w:rPr/>
      </w:pPr>
      <w:r>
        <w:rPr>
          <w:b/>
        </w:rPr>
        <w:t xml:space="preserve">ТП РСЧС</w:t>
      </w:r>
      <w:r>
        <w:t xml:space="preserve"> – территориальная подсистема единой государственной системы предупреждения и ликвидации чрезвычайных ситуаций;</w:t>
      </w:r>
      <w:r/>
    </w:p>
    <w:p>
      <w:pPr>
        <w:pStyle w:val="12960"/>
        <w:pBdr/>
        <w:spacing/>
        <w:ind/>
        <w:rPr/>
      </w:pPr>
      <w:r>
        <w:rPr>
          <w:b/>
        </w:rPr>
        <w:t xml:space="preserve">ЧС</w:t>
      </w:r>
      <w:r>
        <w:t xml:space="preserve"> – чрезвычайная ситуация.</w:t>
      </w:r>
      <w:r/>
    </w:p>
    <w:p>
      <w:pPr>
        <w:pStyle w:val="10533"/>
        <w:pBdr/>
        <w:spacing/>
        <w:ind/>
        <w:rPr>
          <w:sz w:val="28"/>
          <w:szCs w:val="28"/>
        </w:rPr>
      </w:pPr>
      <w:r>
        <w:rPr>
          <w:sz w:val="28"/>
          <w:szCs w:val="28"/>
        </w:rPr>
      </w:r>
      <w:r>
        <w:rPr>
          <w:sz w:val="28"/>
          <w:szCs w:val="28"/>
        </w:rPr>
      </w:r>
    </w:p>
    <w:p>
      <w:pPr>
        <w:pStyle w:val="12960"/>
        <w:pBdr/>
        <w:spacing/>
        <w:ind/>
        <w:rPr/>
      </w:pPr>
      <w:r>
        <w:t xml:space="preserve">Координацию работ по ликвидации аварии на муниципальном у</w:t>
      </w:r>
      <w:r>
        <w:t xml:space="preserve">ровне осуществляет комиссия по предупреждению и ликвидации чрезвычайных ситуаций и обеспечению пожарной безопасности на территории муниципального образования Астаповское, на объектовом уровне – руководитель организации, осуществляющей эксплуатацию объекта.</w:t>
      </w:r>
      <w:r/>
    </w:p>
    <w:p>
      <w:pPr>
        <w:pStyle w:val="12960"/>
        <w:pBdr/>
        <w:spacing/>
        <w:ind/>
        <w:rPr/>
      </w:pPr>
      <w:r>
        <w:t xml:space="preserve">Органами повседневного управления территориальной подсистемы являются:</w:t>
      </w:r>
      <w:r/>
    </w:p>
    <w:p>
      <w:pPr>
        <w:pStyle w:val="13832"/>
        <w:keepNext w:val="false"/>
        <w:widowControl w:val="true"/>
        <w:numPr>
          <w:ilvl w:val="0"/>
          <w:numId w:val="61"/>
        </w:numPr>
        <w:pBdr/>
        <w:bidi w:val="false"/>
        <w:spacing w:after="0" w:before="0" w:line="360" w:lineRule="auto"/>
        <w:ind w:right="0" w:firstLine="567" w:left="0"/>
        <w:jc w:val="both"/>
        <w:rPr/>
      </w:pPr>
      <w:r>
        <w:t xml:space="preserve">на межмуниципальном уровне – единая дежурно-диспетчерская служба (далее – ЕДДС) по вопросам сбора, обработки и обмена информаци</w:t>
      </w:r>
      <w:r>
        <w:t xml:space="preserve">и, оперативного реагирования и координации совместных действий ДДС, АДС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ЧС.</w:t>
      </w:r>
      <w:r/>
    </w:p>
    <w:p>
      <w:pPr>
        <w:pStyle w:val="13832"/>
        <w:keepNext w:val="false"/>
        <w:widowControl w:val="true"/>
        <w:numPr>
          <w:ilvl w:val="0"/>
          <w:numId w:val="61"/>
        </w:numPr>
        <w:pBdr/>
        <w:bidi w:val="false"/>
        <w:spacing w:after="0" w:before="0" w:line="360" w:lineRule="auto"/>
        <w:ind w:right="0" w:firstLine="567" w:left="0"/>
        <w:jc w:val="both"/>
        <w:rPr/>
      </w:pPr>
      <w:r>
        <w:t xml:space="preserve">на муниципальном уровне – ответственный специалист Администрации Арсеньевского муниципального района;</w:t>
      </w:r>
      <w:r/>
    </w:p>
    <w:p>
      <w:pPr>
        <w:pStyle w:val="13832"/>
        <w:numPr>
          <w:ilvl w:val="0"/>
          <w:numId w:val="61"/>
        </w:numPr>
        <w:pBdr/>
        <w:spacing/>
        <w:ind w:hanging="284" w:left="1135"/>
        <w:rPr/>
      </w:pPr>
      <w:r>
        <w:t xml:space="preserve">на объектовом уровне – ДДС организаций (объектов).</w:t>
      </w:r>
      <w:r/>
    </w:p>
    <w:p>
      <w:pPr>
        <w:pStyle w:val="12960"/>
        <w:pBdr/>
        <w:spacing/>
        <w:ind/>
        <w:rPr/>
      </w:pPr>
      <w:r>
        <w:t xml:space="preserve">ЕДДС муниципального района в пределах своих полномочий взаимодействует со всеми ДДС экстренных оперативных служб и организаций, осуществляющих свою деятельность на территории Арсеньевского муниц</w:t>
      </w:r>
      <w:r>
        <w:t xml:space="preserve">ипального района независимо от форм собственности по вопросам сбора, обработки и обмена информацией о ЧС природного и техногенного характера, а также происшествиях и АС и совместных действий при угрозе возникновения или возникновении ЧС, происшествий и АС.</w:t>
      </w:r>
      <w:r/>
    </w:p>
    <w:p>
      <w:pPr>
        <w:pStyle w:val="12960"/>
        <w:pBdr/>
        <w:spacing/>
        <w:ind/>
        <w:rPr/>
      </w:pPr>
      <w:r>
        <w:t xml:space="preserve">Номера телефонных линий экстренной помощи приведены в таблице.</w:t>
      </w:r>
      <w:r/>
    </w:p>
    <w:p>
      <w:pPr>
        <w:pStyle w:val="12960"/>
        <w:pBdr/>
        <w:spacing/>
        <w:ind/>
        <w:rPr>
          <w:b/>
          <w:bCs w:val="0"/>
          <w:i/>
        </w:rPr>
      </w:pPr>
      <w:r/>
      <w:bookmarkStart w:id="1095" w:name="_Toc526005466"/>
      <w:r>
        <w:rPr>
          <w:b/>
          <w:bCs w:val="0"/>
        </w:rPr>
        <w:t xml:space="preserve">12.5.1. Номера телефонных линий экстренной помощи</w:t>
      </w:r>
      <w:bookmarkEnd w:id="1095"/>
      <w:r/>
      <w:r>
        <w:rPr>
          <w:b/>
          <w:bCs w:val="0"/>
          <w:i/>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5326"/>
        <w:gridCol w:w="402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326" w:type="dxa"/>
            <w:vAlign w:val="center"/>
          </w:tcPr>
          <w:p>
            <w:pPr>
              <w:pStyle w:val="12385"/>
              <w:pBdr/>
              <w:spacing/>
              <w:ind/>
              <w:rPr>
                <w:rFonts w:cs="Times New Roman"/>
              </w:rPr>
            </w:pPr>
            <w:r>
              <w:rPr>
                <w:rFonts w:cs="Times New Roman"/>
              </w:rPr>
              <w:t xml:space="preserve">Наименование службы</w:t>
            </w:r>
            <w:r>
              <w:rPr>
                <w:rFonts w:cs="Times New Roman"/>
              </w:rPr>
            </w:r>
          </w:p>
        </w:tc>
        <w:tc>
          <w:tcPr>
            <w:shd w:val="clear" w:color="auto" w:fill="d9d9d9" w:themeFill="background1" w:themeFillShade="D9"/>
            <w:tcBorders>
              <w:top w:val="single" w:color="000000" w:sz="4" w:space="0"/>
              <w:bottom w:val="single" w:color="000000" w:sz="4" w:space="0"/>
              <w:right w:val="single" w:color="000000" w:sz="4" w:space="0"/>
            </w:tcBorders>
            <w:tcW w:w="4028" w:type="dxa"/>
            <w:vAlign w:val="center"/>
          </w:tcPr>
          <w:p>
            <w:pPr>
              <w:pStyle w:val="12385"/>
              <w:pBdr/>
              <w:spacing/>
              <w:ind/>
              <w:rPr>
                <w:rFonts w:cs="Times New Roman"/>
              </w:rPr>
            </w:pPr>
            <w:r>
              <w:rPr>
                <w:rFonts w:cs="Times New Roman"/>
              </w:rPr>
              <w:t xml:space="preserve">№ </w:t>
            </w:r>
            <w:r>
              <w:rPr>
                <w:rFonts w:cs="Times New Roman"/>
              </w:rPr>
              <w:t xml:space="preserve">телефона</w:t>
            </w:r>
            <w:r>
              <w:rPr>
                <w:rFonts w:cs="Times New Roman"/>
              </w:rP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5326" w:type="dxa"/>
            <w:vAlign w:val="center"/>
          </w:tcPr>
          <w:p>
            <w:pPr>
              <w:pStyle w:val="12385"/>
              <w:pBdr/>
              <w:spacing/>
              <w:ind/>
              <w:rPr>
                <w:rFonts w:cs="Times New Roman"/>
              </w:rPr>
            </w:pPr>
            <w:r>
              <w:rPr>
                <w:rFonts w:cs="Times New Roman"/>
              </w:rPr>
              <w:t xml:space="preserve">Пожарные</w:t>
            </w:r>
            <w:r>
              <w:rPr>
                <w:rFonts w:cs="Times New Roman"/>
              </w:rPr>
            </w:r>
          </w:p>
        </w:tc>
        <w:tc>
          <w:tcPr>
            <w:shd w:val="clear" w:color="000000" w:fill="ffffff"/>
            <w:tcBorders>
              <w:top w:val="single" w:color="000000" w:sz="4" w:space="0"/>
              <w:bottom w:val="single" w:color="000000" w:sz="4" w:space="0"/>
              <w:right w:val="single" w:color="000000" w:sz="4" w:space="0"/>
            </w:tcBorders>
            <w:tcW w:w="4028" w:type="dxa"/>
            <w:vAlign w:val="center"/>
          </w:tcPr>
          <w:p>
            <w:pPr>
              <w:pStyle w:val="12385"/>
              <w:pBdr/>
              <w:spacing/>
              <w:ind/>
              <w:rPr>
                <w:rFonts w:cs="Times New Roman"/>
              </w:rPr>
            </w:pPr>
            <w:r>
              <w:rPr>
                <w:rFonts w:cs="Times New Roman"/>
              </w:rPr>
              <w:t xml:space="preserve">101</w:t>
            </w:r>
            <w:r>
              <w:rPr>
                <w:rFonts w:cs="Times New Roman"/>
              </w:rP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5326" w:type="dxa"/>
            <w:vAlign w:val="center"/>
          </w:tcPr>
          <w:p>
            <w:pPr>
              <w:pStyle w:val="12385"/>
              <w:pBdr/>
              <w:spacing/>
              <w:ind/>
              <w:rPr>
                <w:rFonts w:cs="Times New Roman"/>
              </w:rPr>
            </w:pPr>
            <w:r>
              <w:rPr>
                <w:rFonts w:cs="Times New Roman"/>
              </w:rPr>
              <w:t xml:space="preserve">Полиция</w:t>
            </w:r>
            <w:r>
              <w:rPr>
                <w:rFonts w:cs="Times New Roman"/>
              </w:rPr>
            </w:r>
          </w:p>
        </w:tc>
        <w:tc>
          <w:tcPr>
            <w:shd w:val="clear" w:color="000000" w:fill="ffffff"/>
            <w:tcBorders>
              <w:top w:val="single" w:color="000000" w:sz="4" w:space="0"/>
              <w:bottom w:val="single" w:color="000000" w:sz="4" w:space="0"/>
              <w:right w:val="single" w:color="000000" w:sz="4" w:space="0"/>
            </w:tcBorders>
            <w:tcW w:w="4028" w:type="dxa"/>
            <w:vAlign w:val="center"/>
          </w:tcPr>
          <w:p>
            <w:pPr>
              <w:pStyle w:val="12385"/>
              <w:pBdr/>
              <w:spacing/>
              <w:ind/>
              <w:rPr>
                <w:rFonts w:cs="Times New Roman"/>
              </w:rPr>
            </w:pPr>
            <w:r>
              <w:rPr>
                <w:rFonts w:cs="Times New Roman"/>
              </w:rPr>
              <w:t xml:space="preserve">102</w:t>
            </w:r>
            <w:r>
              <w:rPr>
                <w:rFonts w:cs="Times New Roman"/>
              </w:rP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5326" w:type="dxa"/>
            <w:vAlign w:val="center"/>
          </w:tcPr>
          <w:p>
            <w:pPr>
              <w:pStyle w:val="12385"/>
              <w:pBdr/>
              <w:spacing/>
              <w:ind/>
              <w:rPr>
                <w:rFonts w:cs="Times New Roman"/>
              </w:rPr>
            </w:pPr>
            <w:r>
              <w:rPr>
                <w:rFonts w:cs="Times New Roman"/>
              </w:rPr>
              <w:t xml:space="preserve">Скорая медицинская помощь</w:t>
            </w:r>
            <w:r>
              <w:rPr>
                <w:rFonts w:cs="Times New Roman"/>
              </w:rPr>
            </w:r>
          </w:p>
        </w:tc>
        <w:tc>
          <w:tcPr>
            <w:shd w:val="clear" w:color="000000" w:fill="ffffff"/>
            <w:tcBorders>
              <w:top w:val="single" w:color="000000" w:sz="4" w:space="0"/>
              <w:bottom w:val="single" w:color="000000" w:sz="4" w:space="0"/>
              <w:right w:val="single" w:color="000000" w:sz="4" w:space="0"/>
            </w:tcBorders>
            <w:tcW w:w="4028" w:type="dxa"/>
            <w:vAlign w:val="center"/>
          </w:tcPr>
          <w:p>
            <w:pPr>
              <w:pStyle w:val="12385"/>
              <w:pBdr/>
              <w:spacing/>
              <w:ind/>
              <w:rPr>
                <w:rFonts w:cs="Times New Roman"/>
              </w:rPr>
            </w:pPr>
            <w:r>
              <w:rPr>
                <w:rFonts w:cs="Times New Roman"/>
              </w:rPr>
              <w:t xml:space="preserve">103</w:t>
            </w:r>
            <w:r>
              <w:rPr>
                <w:rFonts w:cs="Times New Roman"/>
              </w:rP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5326" w:type="dxa"/>
            <w:vAlign w:val="center"/>
          </w:tcPr>
          <w:p>
            <w:pPr>
              <w:pStyle w:val="12385"/>
              <w:pBdr/>
              <w:spacing/>
              <w:ind/>
              <w:rPr>
                <w:rFonts w:cs="Times New Roman"/>
              </w:rPr>
            </w:pPr>
            <w:r>
              <w:rPr>
                <w:rFonts w:cs="Times New Roman"/>
              </w:rPr>
              <w:t xml:space="preserve">Единый номер для вызова экстренных служб</w:t>
            </w:r>
            <w:r>
              <w:rPr>
                <w:rFonts w:cs="Times New Roman"/>
              </w:rPr>
            </w:r>
          </w:p>
        </w:tc>
        <w:tc>
          <w:tcPr>
            <w:shd w:val="clear" w:color="000000" w:fill="ffffff"/>
            <w:tcBorders>
              <w:top w:val="single" w:color="000000" w:sz="4" w:space="0"/>
              <w:bottom w:val="single" w:color="000000" w:sz="4" w:space="0"/>
              <w:right w:val="single" w:color="000000" w:sz="4" w:space="0"/>
            </w:tcBorders>
            <w:tcW w:w="4028" w:type="dxa"/>
            <w:vAlign w:val="center"/>
          </w:tcPr>
          <w:p>
            <w:pPr>
              <w:pStyle w:val="12385"/>
              <w:pBdr/>
              <w:spacing/>
              <w:ind/>
              <w:rPr>
                <w:rFonts w:cs="Times New Roman"/>
              </w:rPr>
            </w:pPr>
            <w:r>
              <w:rPr>
                <w:rFonts w:cs="Times New Roman"/>
              </w:rPr>
              <w:t xml:space="preserve">112</w:t>
            </w:r>
            <w:r>
              <w:rPr>
                <w:rFonts w:cs="Times New Roman"/>
              </w:rPr>
            </w:r>
          </w:p>
        </w:tc>
      </w:tr>
    </w:tbl>
    <w:p>
      <w:pPr>
        <w:pStyle w:val="10533"/>
        <w:pBdr/>
        <w:spacing/>
        <w:ind/>
        <w:rPr>
          <w:sz w:val="28"/>
          <w:szCs w:val="28"/>
        </w:rPr>
      </w:pPr>
      <w:r>
        <w:rPr>
          <w:sz w:val="28"/>
          <w:szCs w:val="28"/>
        </w:rPr>
      </w:r>
      <w:r>
        <w:rPr>
          <w:sz w:val="28"/>
          <w:szCs w:val="28"/>
        </w:rPr>
      </w:r>
    </w:p>
    <w:p>
      <w:pPr>
        <w:pStyle w:val="12960"/>
        <w:pBdr/>
        <w:spacing/>
        <w:ind/>
        <w:rPr/>
      </w:pPr>
      <w:r>
        <w:rPr>
          <w:color w:val="000000"/>
        </w:rPr>
        <w:t xml:space="preserve">ЕДДС </w:t>
      </w:r>
      <w:r>
        <w:t xml:space="preserve">муниципального района выполняет следующие основные задачи:</w:t>
      </w:r>
      <w:r/>
    </w:p>
    <w:p>
      <w:pPr>
        <w:pStyle w:val="13832"/>
        <w:numPr>
          <w:ilvl w:val="0"/>
          <w:numId w:val="61"/>
        </w:numPr>
        <w:pBdr/>
        <w:spacing/>
        <w:ind w:hanging="284" w:left="1135"/>
        <w:rPr/>
      </w:pPr>
      <w:r>
        <w:t xml:space="preserve">прием вызовов (сообщений) о ЧС, происшествиях и АС;</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оповещение и инфо</w:t>
      </w:r>
      <w:r>
        <w:t xml:space="preserve">рмирование руководства ГО, органов управления, сил и средств на территории Арсеньевского муниципального района, предназначенных и выделяемых (привлекаемых) для предупреждения и ликвидации ЧС, происшествий и АС, сил и средств ГО на территории Арсеньевского </w:t>
      </w:r>
      <w:r>
        <w:t xml:space="preserve">муниципального района, населения и ДДС экстренных оперативных служб и организаций о ЧС, происшествиях и АС, предпринятых мерах и мероприятиях, проводимых в районе ЧС, происшествия и АС, через местную систему оповещения, оповещение населения по сигналам ГО;</w:t>
      </w:r>
      <w:r/>
    </w:p>
    <w:p>
      <w:pPr>
        <w:pStyle w:val="13832"/>
        <w:keepNext w:val="false"/>
        <w:widowControl w:val="true"/>
        <w:numPr>
          <w:ilvl w:val="0"/>
          <w:numId w:val="61"/>
        </w:numPr>
        <w:pBdr/>
        <w:bidi w:val="false"/>
        <w:spacing w:after="0" w:before="0" w:line="360" w:lineRule="auto"/>
        <w:ind w:right="0" w:firstLine="567" w:left="0"/>
        <w:jc w:val="both"/>
        <w:rPr/>
      </w:pPr>
      <w:r>
        <w:t xml:space="preserve">организация взаимодействия в установленном порядке в целях оперативного реагирования на ЧС, происшествия и АС с администрацией, органами местного самоуправления и ДДС экстренных оперативных служб Арсеньевского муниципального района;</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информирование экстренных оперативных служб и организаций, привлекаемых к ликвидации ЧС (происшествия), об обстановке, принятых и рекомендуемых мерах;</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регистрация и документирование всех входящих и исход</w:t>
      </w:r>
      <w:r>
        <w:t xml:space="preserve">ящих сообщений, вызовов от населения, обобщение информации о произошедших ЧС, происшествиях и АС, ходе работ по их ликвидации и представление соответствующих донесений (докладов) по подчиненности, формирование статистических отчетов по поступившим вызовам;</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оповещение и информирование единых дежурно-диспетчерских служб близлежащих муниципальных образований в соответствии с ситуацией по планам взаимодействия при ликвидации ЧС на других объектах и территориях;</w:t>
      </w:r>
      <w:r/>
    </w:p>
    <w:p>
      <w:pPr>
        <w:pStyle w:val="13832"/>
        <w:keepNext w:val="false"/>
        <w:widowControl w:val="true"/>
        <w:numPr>
          <w:ilvl w:val="0"/>
          <w:numId w:val="61"/>
        </w:numPr>
        <w:pBdr/>
        <w:bidi w:val="false"/>
        <w:spacing w:after="0" w:before="0" w:line="360" w:lineRule="auto"/>
        <w:ind w:right="0" w:firstLine="567" w:left="0"/>
        <w:jc w:val="both"/>
        <w:rPr/>
      </w:pPr>
      <w:r>
        <w:t xml:space="preserve">оперативное управление силами и средствами РСЧС, расположенными на территории Арсеньевского муниципального райо</w:t>
      </w:r>
      <w:r>
        <w:t xml:space="preserve">на, постановка и доведение до них задач по локализации и ликвидации последствий пожаров, аварий, стихийных бедствий и других ЧС, происшествий и АС, принятие необходимых экстренных мер и решений (в пределах, установленных вышестоящими органами, полномочий);</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мониторинг перевозок детей школьными автобусами в целях координации действий служб экстренного реагирования и осуществления операт</w:t>
      </w:r>
      <w:r>
        <w:t xml:space="preserve">ивного межведомственного информационного взаимодействия при возникновении инцидента (аварии) с участием школьных автобусов для оказания помощи пострадавшим на территории Арсеньевского муниципального района (в случае поступления соответствующей информации).</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096" w:name="_Toc168491661"/>
      <w:r/>
      <w:bookmarkStart w:id="1097" w:name="_Toc198483645"/>
      <w:r>
        <w:rPr>
          <w:rFonts w:cs="Times New Roman"/>
        </w:rPr>
        <w:t xml:space="preserve">Силы и средства для ликвидации аварий на источниках теплоснабжения и тепловых сетях</w:t>
      </w:r>
      <w:bookmarkEnd w:id="1096"/>
      <w:r/>
      <w:bookmarkEnd w:id="1097"/>
      <w:r/>
      <w:r>
        <w:rPr>
          <w:rFonts w:cs="Times New Roman"/>
        </w:rPr>
      </w:r>
    </w:p>
    <w:p>
      <w:pPr>
        <w:pStyle w:val="12960"/>
        <w:pBdr/>
        <w:spacing/>
        <w:ind/>
        <w:rPr/>
      </w:pPr>
      <w:r>
        <w:t xml:space="preserve">Резервы финансовых и материальных ресурсов для ликвидации чрезвычайных ситуаций и их последствий</w:t>
      </w:r>
      <w:r/>
    </w:p>
    <w:p>
      <w:pPr>
        <w:pStyle w:val="12960"/>
        <w:pBdr/>
        <w:spacing/>
        <w:ind/>
        <w:rPr/>
      </w:pPr>
      <w:r>
        <w:t xml:space="preserve">Для ликвидации аварий создаются и используются:</w:t>
      </w:r>
      <w:r/>
    </w:p>
    <w:p>
      <w:pPr>
        <w:pStyle w:val="13832"/>
        <w:keepNext w:val="false"/>
        <w:widowControl w:val="true"/>
        <w:numPr>
          <w:ilvl w:val="0"/>
          <w:numId w:val="61"/>
        </w:numPr>
        <w:pBdr/>
        <w:bidi w:val="false"/>
        <w:spacing w:after="0" w:before="0" w:line="360" w:lineRule="auto"/>
        <w:ind w:right="0" w:firstLine="567" w:left="0"/>
        <w:jc w:val="both"/>
        <w:rPr/>
      </w:pPr>
      <w:r>
        <w:t xml:space="preserve">в режиме повседневной деятельности на объектах ЖКХ должно осуществляться дежурство специалистами, в том числе операторами котельных.</w:t>
      </w:r>
      <w:r/>
    </w:p>
    <w:p>
      <w:pPr>
        <w:pStyle w:val="13832"/>
        <w:keepNext w:val="false"/>
        <w:widowControl w:val="true"/>
        <w:numPr>
          <w:ilvl w:val="0"/>
          <w:numId w:val="61"/>
        </w:numPr>
        <w:pBdr/>
        <w:bidi w:val="false"/>
        <w:spacing w:after="0" w:before="0" w:line="360" w:lineRule="auto"/>
        <w:ind w:right="0" w:firstLine="567" w:left="0"/>
        <w:jc w:val="both"/>
        <w:rPr/>
      </w:pPr>
      <w:r>
        <w:t xml:space="preserve">должны быть созданы резервы финансовых и материальных ресурсов администрации Арсеньевского муниципального района;</w:t>
      </w:r>
      <w:r/>
    </w:p>
    <w:p>
      <w:pPr>
        <w:pStyle w:val="13832"/>
        <w:keepNext w:val="false"/>
        <w:widowControl w:val="true"/>
        <w:numPr>
          <w:ilvl w:val="0"/>
          <w:numId w:val="61"/>
        </w:numPr>
        <w:pBdr/>
        <w:bidi w:val="false"/>
        <w:spacing w:after="0" w:before="0" w:line="360" w:lineRule="auto"/>
        <w:ind w:right="0" w:firstLine="567" w:left="0"/>
        <w:jc w:val="both"/>
        <w:rPr/>
      </w:pPr>
      <w:r>
        <w:t xml:space="preserve">должны быть созданы резервы финансовых материальных ресурсов организации, осуществляющей эксплуатацию оборудования и сетей теплоснабжения.</w:t>
      </w:r>
      <w:r/>
    </w:p>
    <w:p>
      <w:pPr>
        <w:pStyle w:val="12960"/>
        <w:pBdr/>
        <w:spacing/>
        <w:ind/>
        <w:rPr/>
      </w:pPr>
      <w:r>
        <w:t xml:space="preserve">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098" w:name="_Toc198483646"/>
      <w:r/>
      <w:bookmarkStart w:id="1099" w:name="_Toc168491662"/>
      <w:r/>
      <w:bookmarkStart w:id="1100" w:name="_Toc494275852"/>
      <w:r/>
      <w:bookmarkStart w:id="1101" w:name="_Toc422308195"/>
      <w:r>
        <w:rPr>
          <w:rFonts w:cs="Times New Roman"/>
        </w:rPr>
        <w:t xml:space="preserve">Порядок действий по ликвидации аварий на теплопроизводящих объектах и тепловых сетях</w:t>
      </w:r>
      <w:bookmarkEnd w:id="1098"/>
      <w:r/>
      <w:bookmarkEnd w:id="1099"/>
      <w:r/>
      <w:bookmarkEnd w:id="1100"/>
      <w:r/>
      <w:bookmarkEnd w:id="1101"/>
      <w:r/>
      <w:r>
        <w:rPr>
          <w:rFonts w:cs="Times New Roman"/>
        </w:rPr>
      </w:r>
    </w:p>
    <w:p>
      <w:pPr>
        <w:pStyle w:val="12960"/>
        <w:pBdr/>
        <w:spacing/>
        <w:ind/>
        <w:rPr/>
      </w:pPr>
      <w:r>
        <w:t xml:space="preserve">В зависимости от вид</w:t>
      </w:r>
      <w:r>
        <w:t xml:space="preserve">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r/>
    </w:p>
    <w:p>
      <w:pPr>
        <w:pStyle w:val="12960"/>
        <w:pBdr/>
        <w:spacing/>
        <w:ind/>
        <w:rPr/>
      </w:pPr>
      <w:r>
        <w:t xml:space="preserve">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r/>
    </w:p>
    <w:p>
      <w:pPr>
        <w:pStyle w:val="12960"/>
        <w:pBdr/>
        <w:spacing/>
        <w:ind/>
        <w:rPr/>
      </w:pPr>
      <w:r>
        <w:t xml:space="preserve">Принятию решения на ликвидацию аварии предшествует оценка сложившейся обстановки, масштаба аварии и возможных последствий.</w:t>
      </w:r>
      <w:r/>
    </w:p>
    <w:p>
      <w:pPr>
        <w:pStyle w:val="12960"/>
        <w:pBdr/>
        <w:spacing/>
        <w:ind/>
        <w:rPr/>
      </w:pPr>
      <w:r>
        <w:t xml:space="preserve">Работы проводятся на основании нормативных и распорядительных документов оформляемых организатором работ.</w:t>
      </w:r>
      <w:r/>
    </w:p>
    <w:p>
      <w:pPr>
        <w:pStyle w:val="12960"/>
        <w:pBdr/>
        <w:spacing/>
        <w:ind/>
        <w:rPr/>
      </w:pPr>
      <w:r>
        <w:t xml:space="preserve">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r/>
    </w:p>
    <w:p>
      <w:pPr>
        <w:pStyle w:val="12960"/>
        <w:pBdr/>
        <w:spacing/>
        <w:ind/>
        <w:rPr/>
      </w:pPr>
      <w:r>
        <w:t xml:space="preserve">О причинах аварии, масштабах и возможных последствия</w:t>
      </w:r>
      <w:r>
        <w:t xml:space="preserve">х, планируемых сроках ремонтно-восстановительных работ, привлекаемых силах и средствах, руководитель работ информирует ЕДДС Арсеньевского муниципального района не позднее 20 мин. с момента происшествия ЧС, администрацию Арсеньевского муниципального района.</w:t>
      </w:r>
      <w:r/>
    </w:p>
    <w:p>
      <w:pPr>
        <w:pStyle w:val="12960"/>
        <w:pBdr/>
        <w:spacing/>
        <w:ind/>
        <w:rPr/>
      </w:pPr>
      <w:r>
        <w:t xml:space="preserve">О сложившейся обстановке население информируется через местную систему оповещения и информирования, а также посредством размещения информации на официальном сайте администрации Арсеньевского муниципального района.</w:t>
      </w:r>
      <w:r/>
    </w:p>
    <w:p>
      <w:pPr>
        <w:pStyle w:val="12960"/>
        <w:pBdr/>
        <w:spacing/>
        <w:ind/>
        <w:rPr/>
      </w:pPr>
      <w:r>
        <w:t xml:space="preserve">В случае необходим</w:t>
      </w:r>
      <w:r>
        <w:t xml:space="preserve">ости привлечения дополнительных сил и средств к работам, руководитель работ докладывает Главе администрации Арсеньевского муниципального района, председателю комиссии по предупреждению и ликвидации чрезвычайных ситуаций и обеспечению пожарной безопасности.</w:t>
      </w:r>
      <w:r/>
    </w:p>
    <w:p>
      <w:pPr>
        <w:pStyle w:val="12960"/>
        <w:pBdr/>
        <w:spacing/>
        <w:ind/>
        <w:rPr/>
      </w:pPr>
      <w: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w:t>
      </w:r>
      <w:r>
        <w:t xml:space="preserve">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на территории муниципального образования Астаповское.</w:t>
      </w:r>
      <w:r/>
    </w:p>
    <w:p>
      <w:pPr>
        <w:pStyle w:val="12960"/>
        <w:pBdr/>
        <w:spacing/>
        <w:ind/>
        <w:rPr/>
        <w:sectPr>
          <w:headerReference w:type="default" r:id="rId194"/>
          <w:headerReference w:type="first" r:id="rId195"/>
          <w:footerReference w:type="default" r:id="rId462"/>
          <w:footerReference w:type="first" r:id="rId463"/>
          <w:footnotePr/>
          <w:endnotePr/>
          <w:type w:val="nextPage"/>
          <w:pgSz w:h="16838" w:orient="portrait" w:w="11906"/>
          <w:pgMar w:top="1134" w:right="850" w:bottom="1134" w:left="1701" w:header="709" w:footer="567" w:gutter="0"/>
          <w:cols w:num="1" w:sep="0" w:space="1701" w:equalWidth="1"/>
        </w:sectPr>
      </w:pPr>
      <w:r>
        <w:t xml:space="preserve">Порядок ликвидации ав</w:t>
      </w:r>
      <w:r>
        <w:t xml:space="preserve">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на территории муниципального образования Астаповское </w:t>
      </w:r>
      <w:r/>
    </w:p>
    <w:tbl>
      <w:tblPr>
        <w:tblInd w:w="0" w:type="dxa"/>
        <w:tblW w:w="5000" w:type="pct"/>
        <w:tblCellMar>
          <w:left w:w="28" w:type="dxa"/>
          <w:top w:w="0" w:type="dxa"/>
          <w:right w:w="28" w:type="dxa"/>
          <w:bottom w:w="0" w:type="dxa"/>
        </w:tblCellMar>
        <w:tblBorders/>
        <w:tblLayout w:type="fixed"/>
        <w:tblLook w:val="0000" w:firstRow="0" w:lastRow="0" w:firstColumn="0" w:lastColumn="0" w:noHBand="0" w:noVBand="0"/>
      </w:tblPr>
      <w:tblGrid>
        <w:gridCol w:w="757"/>
        <w:gridCol w:w="6069"/>
        <w:gridCol w:w="2337"/>
        <w:gridCol w:w="5123"/>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 </w:t>
            </w:r>
            <w:r>
              <w:rPr>
                <w:rFonts w:cs="Times New Roman"/>
              </w:rPr>
              <w:t xml:space="preserve">п/п</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tcBorders>
            <w:tcW w:w="6069" w:type="dxa"/>
            <w:vAlign w:val="center"/>
          </w:tcPr>
          <w:p>
            <w:pPr>
              <w:pStyle w:val="12385"/>
              <w:pBdr/>
              <w:spacing/>
              <w:ind/>
              <w:rPr>
                <w:rFonts w:cs="Times New Roman"/>
              </w:rPr>
            </w:pPr>
            <w:r>
              <w:rPr>
                <w:rFonts w:cs="Times New Roman"/>
              </w:rPr>
              <w:t xml:space="preserve">Мероприятия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tcBorders>
            <w:tcW w:w="2337" w:type="dxa"/>
            <w:vAlign w:val="center"/>
          </w:tcPr>
          <w:p>
            <w:pPr>
              <w:pStyle w:val="12385"/>
              <w:pBdr/>
              <w:spacing/>
              <w:ind/>
              <w:rPr>
                <w:rFonts w:cs="Times New Roman"/>
              </w:rPr>
            </w:pPr>
            <w:r>
              <w:rPr>
                <w:rFonts w:cs="Times New Roman"/>
              </w:rPr>
              <w:t xml:space="preserve">Срок исполнения</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rPr>
            </w:pPr>
            <w:r>
              <w:rPr>
                <w:rFonts w:cs="Times New Roman"/>
              </w:rPr>
              <w:t xml:space="preserve">Исполнитель</w:t>
            </w:r>
            <w:r>
              <w:rPr>
                <w:rFonts w:cs="Times New Roman"/>
              </w:rPr>
            </w:r>
          </w:p>
        </w:tc>
      </w:tr>
      <w:tr>
        <w:trPr>
          <w:trHeight w:val="20"/>
        </w:trPr>
        <w:tc>
          <w:tcPr>
            <w:gridSpan w:val="4"/>
            <w:tcBorders>
              <w:top w:val="single" w:color="000000" w:sz="4" w:space="0"/>
              <w:left w:val="single" w:color="000000" w:sz="4" w:space="0"/>
              <w:bottom w:val="single" w:color="000000" w:sz="4" w:space="0"/>
              <w:right w:val="single" w:color="000000" w:sz="4" w:space="0"/>
            </w:tcBorders>
            <w:tcW w:w="14286" w:type="dxa"/>
            <w:vAlign w:val="center"/>
          </w:tcPr>
          <w:p>
            <w:pPr>
              <w:pStyle w:val="12385"/>
              <w:pBdr/>
              <w:spacing/>
              <w:ind/>
              <w:rPr>
                <w:rFonts w:cs="Times New Roman"/>
              </w:rPr>
            </w:pPr>
            <w:r>
              <w:rPr>
                <w:rFonts w:cs="Times New Roman"/>
                <w:b/>
              </w:rPr>
              <w:t xml:space="preserve">При возникновении аварии на коммунальных системах жизнеобеспечения</w:t>
            </w:r>
            <w:r>
              <w:rPr>
                <w:rFonts w:cs="Times New Roman"/>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При поступлении информации (сигнала) в ДДС, АДС организаций об аварии на коммунально-технических системах жизнеобеспечения населения:</w:t>
            </w:r>
            <w:r>
              <w:rPr>
                <w:rFonts w:cs="Times New Roman"/>
                <w:color w:val="000000"/>
              </w:rPr>
            </w:r>
          </w:p>
          <w:p>
            <w:pPr>
              <w:pStyle w:val="12385"/>
              <w:pBdr/>
              <w:spacing/>
              <w:ind/>
              <w:rPr>
                <w:rFonts w:cs="Times New Roman"/>
                <w:color w:val="000000"/>
              </w:rPr>
            </w:pPr>
            <w:r>
              <w:rPr>
                <w:rFonts w:cs="Times New Roman"/>
                <w:color w:val="000000"/>
              </w:rPr>
              <w:t xml:space="preserve">определение объёма последствий аварийной ситуации (количество населённых пунктов, жилых домов, котельных, водозаборов, учреждений здравоохранения, учреждений с круглосуточным пребыванием маломобильных групп населения);</w:t>
            </w:r>
            <w:r>
              <w:rPr>
                <w:rFonts w:cs="Times New Roman"/>
                <w:color w:val="000000"/>
              </w:rPr>
            </w:r>
          </w:p>
          <w:p>
            <w:pPr>
              <w:pStyle w:val="12385"/>
              <w:pBdr/>
              <w:spacing/>
              <w:ind/>
              <w:rPr>
                <w:rFonts w:cs="Times New Roman"/>
                <w:color w:val="000000"/>
              </w:rPr>
            </w:pPr>
            <w:r>
              <w:rPr>
                <w:rFonts w:cs="Times New Roman"/>
                <w:color w:val="000000"/>
              </w:rPr>
              <w:t xml:space="preserve">принятие мер по бесперебойному обеспечению теплом и электроэнергией объектов жизнеобеспечения населения муниципального образования;</w:t>
            </w:r>
            <w:r>
              <w:rPr>
                <w:rFonts w:cs="Times New Roman"/>
                <w:color w:val="000000"/>
              </w:rPr>
            </w:r>
          </w:p>
          <w:p>
            <w:pPr>
              <w:pStyle w:val="12385"/>
              <w:pBdr/>
              <w:spacing/>
              <w:ind/>
              <w:rPr>
                <w:rFonts w:cs="Times New Roman"/>
                <w:color w:val="000000"/>
              </w:rPr>
            </w:pPr>
            <w:r>
              <w:rPr>
                <w:rFonts w:cs="Times New Roman"/>
                <w:color w:val="000000"/>
              </w:rPr>
              <w:t xml:space="preserve">организация электроснабжения объектов жизнеобеспечения населения по обводным каналам;</w:t>
            </w:r>
            <w:r>
              <w:rPr>
                <w:rFonts w:cs="Times New Roman"/>
                <w:color w:val="000000"/>
              </w:rPr>
            </w:r>
          </w:p>
          <w:p>
            <w:pPr>
              <w:pStyle w:val="12385"/>
              <w:pBdr/>
              <w:spacing/>
              <w:ind/>
              <w:rPr>
                <w:rFonts w:cs="Times New Roman"/>
                <w:color w:val="000000"/>
              </w:rPr>
            </w:pPr>
            <w:r>
              <w:rPr>
                <w:rFonts w:cs="Times New Roman"/>
                <w:color w:val="000000"/>
              </w:rPr>
              <w:t xml:space="preserve">организация работ по восстановлению линий электропередач и систем жизнеобеспечения при авариях на них;</w:t>
            </w:r>
            <w:r>
              <w:rPr>
                <w:rFonts w:cs="Times New Roman"/>
                <w:color w:val="000000"/>
              </w:rPr>
            </w:r>
          </w:p>
          <w:p>
            <w:pPr>
              <w:pStyle w:val="12385"/>
              <w:pBdr/>
              <w:spacing/>
              <w:ind/>
              <w:rPr>
                <w:rFonts w:cs="Times New Roman"/>
                <w:color w:val="000000"/>
              </w:rPr>
            </w:pPr>
            <w:r>
              <w:rPr>
                <w:rFonts w:cs="Times New Roman"/>
                <w:color w:val="000000"/>
              </w:rPr>
              <w:t xml:space="preserve">принятие мер для обеспечения электроэнергией учреждений здравоохранения, учреждений с круглосуточным пребыванием маломобильных групп населения.</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Немедленно</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ЕДДС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Администрация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2</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Усиление ДДС, АДС (при необходимости)</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Ч+ 01 ч. 30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ЕДДС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Администрация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3</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Проверка работоспособности автономных ист</w:t>
            </w:r>
            <w:r>
              <w:rPr>
                <w:rFonts w:cs="Times New Roman"/>
                <w:color w:val="000000"/>
              </w:rPr>
              <w:t xml:space="preserve">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w:t>
            </w:r>
            <w:r>
              <w:rPr>
                <w:rFonts w:cs="Times New Roman"/>
                <w:color w:val="000000"/>
              </w:rPr>
            </w:r>
          </w:p>
          <w:p>
            <w:pPr>
              <w:pStyle w:val="12385"/>
              <w:pBdr/>
              <w:spacing/>
              <w:ind/>
              <w:rPr>
                <w:rFonts w:cs="Times New Roman"/>
                <w:color w:val="000000"/>
              </w:rPr>
            </w:pPr>
            <w:r>
              <w:rPr>
                <w:rFonts w:cs="Times New Roman"/>
                <w:color w:val="000000"/>
              </w:rPr>
              <w:t xml:space="preserve">подключение дополнительных источников энергоснабжения (освещения) для работы в темное время суток;</w:t>
            </w:r>
            <w:r>
              <w:rPr>
                <w:rFonts w:cs="Times New Roman"/>
                <w:color w:val="000000"/>
              </w:rPr>
            </w:r>
          </w:p>
          <w:p>
            <w:pPr>
              <w:pStyle w:val="12385"/>
              <w:pBdr/>
              <w:spacing/>
              <w:ind/>
              <w:rPr>
                <w:rFonts w:cs="Times New Roman"/>
                <w:color w:val="000000"/>
              </w:rPr>
            </w:pPr>
            <w:r>
              <w:rPr>
                <w:rFonts w:cs="Times New Roman"/>
                <w:color w:val="000000"/>
              </w:rPr>
              <w:t xml:space="preserve">обеспечение бесперебойной подачи тепла в жилые кварталы.</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 (0 ч. 30 мин. –</w:t>
            </w:r>
            <w:r>
              <w:rPr>
                <w:rFonts w:cs="Times New Roman"/>
                <w:color w:val="000000"/>
              </w:rPr>
            </w:r>
          </w:p>
          <w:p>
            <w:pPr>
              <w:pStyle w:val="12385"/>
              <w:pBdr/>
              <w:spacing/>
              <w:ind/>
              <w:rPr>
                <w:rFonts w:cs="Times New Roman"/>
                <w:color w:val="000000"/>
              </w:rPr>
            </w:pPr>
            <w:r>
              <w:rPr>
                <w:rFonts w:cs="Times New Roman"/>
                <w:color w:val="000000"/>
              </w:rPr>
              <w:t xml:space="preserve">01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ЕДДС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Администрация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4</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При поступлении сигнала в Администрацию Арсеньевского муниципального района об аварии на коммунальных системах жизнеобеспечения:</w:t>
            </w:r>
            <w:r>
              <w:rPr>
                <w:rFonts w:cs="Times New Roman"/>
                <w:color w:val="000000"/>
              </w:rPr>
            </w:r>
          </w:p>
          <w:p>
            <w:pPr>
              <w:pStyle w:val="12385"/>
              <w:pBdr/>
              <w:spacing/>
              <w:ind/>
              <w:rPr>
                <w:rFonts w:cs="Times New Roman"/>
                <w:color w:val="000000"/>
              </w:rPr>
            </w:pPr>
            <w:r>
              <w:rPr>
                <w:rFonts w:cs="Times New Roman"/>
                <w:color w:val="000000"/>
              </w:rPr>
              <w:t xml:space="preserve">доведение информации до ОДС ЕДДС;</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оповещение и сбор КЧС и ОПБ и обеспечению пожарной безопасности (по решению председателя КЧС и ОПБ при кр</w:t>
            </w:r>
            <w:r>
              <w:rPr>
                <w:rFonts w:cs="Times New Roman"/>
                <w:color w:val="000000"/>
              </w:rPr>
              <w:t xml:space="preserve">итически низких температурах, остановкой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Немедленно, но не позднее 20 мин.</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Ч + 1 ч. 30 мин.</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Ответственный специалист Администрации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Глава администрации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5</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Арсеньевского муниципального района</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 + 2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ЕДДС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Администрация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6</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Проведение заседания КЧС и ОПБ</w:t>
            </w:r>
            <w:r>
              <w:rPr>
                <w:rFonts w:cs="Times New Roman"/>
                <w:color w:val="000000"/>
              </w:rPr>
              <w:t xml:space="preserve"> Арсеньевского муниципального района и подготовка распоряжения председателя КЧС и ОПБ Арсеньевского муниципального района «О переводе звена ТП РСЧС в режим ПОВЫШЕННОЙ ГОТОВНОСТИ» (по решению председателя КЧС и ОПБ Арсеньевского муниципального района при кр</w:t>
            </w:r>
            <w:r>
              <w:rPr>
                <w:rFonts w:cs="Times New Roman"/>
                <w:color w:val="000000"/>
              </w:rPr>
              <w:t xml:space="preserve">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 (1 ч. 30 мин-</w:t>
            </w:r>
            <w:r>
              <w:rPr>
                <w:rFonts w:cs="Times New Roman"/>
                <w:color w:val="000000"/>
              </w:rPr>
            </w:r>
          </w:p>
          <w:p>
            <w:pPr>
              <w:pStyle w:val="12385"/>
              <w:pBdr/>
              <w:spacing/>
              <w:ind/>
              <w:rPr>
                <w:rFonts w:cs="Times New Roman"/>
                <w:color w:val="000000"/>
              </w:rPr>
            </w:pPr>
            <w:r>
              <w:rPr>
                <w:rFonts w:cs="Times New Roman"/>
                <w:color w:val="000000"/>
              </w:rPr>
              <w:t xml:space="preserve">2 ч. 30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Председатель КЧС и ОПБ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7</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Организация работы оперативного штаба при КЧС и ОПБ Арсеньевского муниципального района</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Ч+2 ч. 30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Глава администрации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8</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Уточнение (при необходимости): пунктов приёма эвакуируемого населения;</w:t>
            </w:r>
            <w:r>
              <w:rPr>
                <w:rFonts w:cs="Times New Roman"/>
                <w:color w:val="000000"/>
              </w:rPr>
            </w:r>
          </w:p>
          <w:p>
            <w:pPr>
              <w:pStyle w:val="12385"/>
              <w:pBdr/>
              <w:spacing/>
              <w:ind/>
              <w:rPr>
                <w:rFonts w:cs="Times New Roman"/>
                <w:color w:val="000000"/>
              </w:rPr>
            </w:pPr>
            <w:r>
              <w:rPr>
                <w:rFonts w:cs="Times New Roman"/>
                <w:color w:val="000000"/>
              </w:rPr>
              <w:t xml:space="preserve">планов эвакуации населения из зоны чрезвычайной ситуации.</w:t>
            </w:r>
            <w:r>
              <w:rPr>
                <w:rFonts w:cs="Times New Roman"/>
                <w:color w:val="000000"/>
              </w:rPr>
            </w:r>
          </w:p>
          <w:p>
            <w:pPr>
              <w:pStyle w:val="12385"/>
              <w:pBdr/>
              <w:spacing/>
              <w:ind/>
              <w:rPr>
                <w:rFonts w:cs="Times New Roman"/>
                <w:color w:val="000000"/>
              </w:rPr>
            </w:pPr>
            <w:r>
              <w:rPr>
                <w:rFonts w:cs="Times New Roman"/>
                <w:color w:val="000000"/>
              </w:rPr>
              <w:t xml:space="preserve">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 + 2 ч. 30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Эвакоприёмная комиссия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9</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Принятие и подготовка решения КЧС и ОПБ Арсеньевского муниципального района звена ТП РСЧС в режим ПОВЫШЕННАЯ ГОТОВНОСТЬ (по решению Главы администрации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Организация взаимодействия с органами исполнительной власти по проведению АСДНР (при необходимости)</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Ч+2 ч.30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Председатель КЧС и ОПБ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10</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Вы</w:t>
            </w:r>
            <w:r>
              <w:rPr>
                <w:rFonts w:cs="Times New Roman"/>
                <w:color w:val="000000"/>
              </w:rPr>
              <w:t xml:space="preserve">езд оперативной группы Арсеньевского муниципального района в населённый пункт, в котором произошла авария. Проведение анализа обстановки, определение возможных последствий аварии и необходимых сил и средств для её ликвидации (по решению Главы администрации</w:t>
            </w:r>
            <w:r>
              <w:rPr>
                <w:rFonts w:cs="Times New Roman"/>
              </w:rPr>
              <w:t xml:space="preserve"> </w:t>
            </w:r>
            <w:r>
              <w:rPr>
                <w:rFonts w:cs="Times New Roman"/>
                <w:color w:val="000000"/>
              </w:rPr>
              <w:t xml:space="preserve">Арсеньевского муниципального района). Определение количества потенциально опасных и химически опасных предприятий, котельных, учреждений здравоохранения, учреждений с круглосуточным пребыванием маломобильных групп населения, попадающих в зону возможной ЧС.</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 (2 ч. 00 мин - </w:t>
              <w:br/>
              <w:t xml:space="preserve">-3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11</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Организация несения круглосуточного дежурства руководящего состава Арсеньевского муниципального района (по решению Главы администрации</w:t>
            </w:r>
            <w:r>
              <w:rPr>
                <w:rFonts w:cs="Times New Roman"/>
              </w:rPr>
              <w:t xml:space="preserve"> </w:t>
            </w:r>
            <w:r>
              <w:rPr>
                <w:rFonts w:cs="Times New Roman"/>
                <w:color w:val="000000"/>
              </w:rPr>
              <w:t xml:space="preserve">Арсеньевского муниципального района).</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Ч+3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12</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Организация и проведение работ по ликвидации аварии на коммунальных системах жизнеобеспечения.</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Ч+3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13</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Оповещение населения об аварии на коммунальных системах жизнеобеспечения (при необходимости).</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Ч+3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14</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Принятие дополнительных мер по обеспечению устойчивого функционирования отраслей и объектов экономики, жизнеобеспечению населения Арсеньевского муниципального района</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Ч+3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15</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Организация сбора и обобщения информации:</w:t>
            </w:r>
            <w:r>
              <w:rPr>
                <w:rFonts w:cs="Times New Roman"/>
                <w:color w:val="000000"/>
              </w:rPr>
            </w:r>
          </w:p>
          <w:p>
            <w:pPr>
              <w:pStyle w:val="12385"/>
              <w:pBdr/>
              <w:spacing/>
              <w:ind/>
              <w:rPr>
                <w:rFonts w:cs="Times New Roman"/>
                <w:color w:val="000000"/>
              </w:rPr>
            </w:pPr>
            <w:r>
              <w:rPr>
                <w:rFonts w:cs="Times New Roman"/>
                <w:color w:val="000000"/>
              </w:rPr>
              <w:t xml:space="preserve">о ходе развития аварии и проведения работ по её ликвидации;</w:t>
            </w:r>
            <w:r>
              <w:rPr>
                <w:rFonts w:cs="Times New Roman"/>
                <w:color w:val="000000"/>
              </w:rPr>
            </w:r>
          </w:p>
          <w:p>
            <w:pPr>
              <w:pStyle w:val="12385"/>
              <w:pBdr/>
              <w:spacing/>
              <w:ind/>
              <w:rPr>
                <w:rFonts w:cs="Times New Roman"/>
                <w:color w:val="000000"/>
              </w:rPr>
            </w:pPr>
            <w:r>
              <w:rPr>
                <w:rFonts w:cs="Times New Roman"/>
                <w:color w:val="000000"/>
              </w:rPr>
              <w:t xml:space="preserve">о состоянии безопасности объектов жизнеобеспечения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о состоянии отопительных котельных, тепловых пунктов, систем энергоснабжения, о наличии резервного топлива;</w:t>
            </w:r>
            <w:r>
              <w:rPr>
                <w:rFonts w:cs="Times New Roman"/>
                <w:color w:val="000000"/>
              </w:rPr>
            </w:r>
          </w:p>
          <w:p>
            <w:pPr>
              <w:pStyle w:val="12385"/>
              <w:pBdr/>
              <w:spacing/>
              <w:ind/>
              <w:rPr>
                <w:rFonts w:cs="Times New Roman"/>
                <w:color w:val="000000"/>
              </w:rPr>
            </w:pPr>
            <w:r>
              <w:rPr>
                <w:rFonts w:cs="Times New Roman"/>
                <w:color w:val="000000"/>
              </w:rPr>
              <w:t xml:space="preserve">доведение информации до ОДС ЕДДС.</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Через каждые</w:t>
            </w:r>
            <w:r>
              <w:rPr>
                <w:rFonts w:cs="Times New Roman"/>
                <w:color w:val="000000"/>
              </w:rPr>
            </w:r>
          </w:p>
          <w:p>
            <w:pPr>
              <w:pStyle w:val="12385"/>
              <w:pBdr/>
              <w:spacing/>
              <w:ind/>
              <w:rPr>
                <w:rFonts w:cs="Times New Roman"/>
                <w:color w:val="000000"/>
              </w:rPr>
            </w:pPr>
            <w:r>
              <w:rPr>
                <w:rFonts w:cs="Times New Roman"/>
                <w:color w:val="000000"/>
              </w:rPr>
              <w:t xml:space="preserve">1 час (в течение первых суток)</w:t>
            </w:r>
            <w:r>
              <w:rPr>
                <w:rFonts w:cs="Times New Roman"/>
                <w:color w:val="000000"/>
              </w:rPr>
            </w:r>
          </w:p>
          <w:p>
            <w:pPr>
              <w:pStyle w:val="12385"/>
              <w:pBdr/>
              <w:spacing/>
              <w:ind/>
              <w:rPr>
                <w:rFonts w:cs="Times New Roman"/>
                <w:color w:val="000000"/>
              </w:rPr>
            </w:pPr>
            <w:r>
              <w:rPr>
                <w:rFonts w:cs="Times New Roman"/>
                <w:color w:val="000000"/>
              </w:rPr>
              <w:t xml:space="preserve">2 часа</w:t>
            </w:r>
            <w:r>
              <w:rPr>
                <w:rFonts w:cs="Times New Roman"/>
                <w:color w:val="000000"/>
              </w:rPr>
            </w:r>
          </w:p>
          <w:p>
            <w:pPr>
              <w:pStyle w:val="12385"/>
              <w:pBdr/>
              <w:spacing/>
              <w:ind/>
              <w:rPr>
                <w:rFonts w:cs="Times New Roman"/>
                <w:color w:val="000000"/>
              </w:rPr>
            </w:pPr>
            <w:r>
              <w:rPr>
                <w:rFonts w:cs="Times New Roman"/>
                <w:color w:val="000000"/>
              </w:rPr>
              <w:t xml:space="preserve">(в послед. сутки).</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16</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Организация контроля над устойчивой работой объектов и систем жизнеобеспечения населения муниципального образования Астаповское </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В ходе ликвидации аварии.</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17</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Проведение мероприятий по обеспечению общественного порядка и обеспечение беспрепятственного проезда спецтехники в районе аварии.</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Ч+3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МВД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18</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Привлечение дополнительных сил и средств, необходимых для ликвидации аварии на коммунальных системах жизнеобеспечения</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По решению председателя КЧС и ОПБ Арсеньевского муниципального района</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ЕДДС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Администрация Арсеньевского муниципального района</w:t>
            </w:r>
            <w:r>
              <w:rPr>
                <w:rFonts w:cs="Times New Roman"/>
                <w:color w:val="000000"/>
              </w:rPr>
            </w:r>
          </w:p>
        </w:tc>
      </w:tr>
      <w:tr>
        <w:trPr>
          <w:trHeight w:val="20"/>
        </w:trPr>
        <w:tc>
          <w:tcPr>
            <w:gridSpan w:val="4"/>
            <w:tcBorders>
              <w:top w:val="single" w:color="000000" w:sz="4" w:space="0"/>
              <w:left w:val="single" w:color="000000" w:sz="4" w:space="0"/>
              <w:bottom w:val="single" w:color="000000" w:sz="4" w:space="0"/>
              <w:right w:val="single" w:color="000000" w:sz="4" w:space="0"/>
            </w:tcBorders>
            <w:tcW w:w="14286" w:type="dxa"/>
            <w:vAlign w:val="center"/>
          </w:tcPr>
          <w:p>
            <w:pPr>
              <w:pStyle w:val="12385"/>
              <w:pBdr/>
              <w:spacing/>
              <w:ind/>
              <w:rPr>
                <w:rFonts w:cs="Times New Roman"/>
                <w:color w:val="000000"/>
              </w:rPr>
            </w:pPr>
            <w:r>
              <w:rPr>
                <w:rFonts w:cs="Times New Roman"/>
                <w:color w:val="000000"/>
              </w:rPr>
              <w:t xml:space="preserve">По истечении 24 часов после возникновения аварии на коммунальных системах жизнеобеспечения (переход аварии в режим чрезвычайной ситуации)</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1</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Принятие и подготовка решения КЧС и ОПБ Арсеньевского муниципального района о переводе звена территориальной подсистемы РСЧС в режим ЧРЕЗВЫЧАЙНОЙ СИТУАЦИИ</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Ч+24 ч. 00 мин</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Председатель КЧС и ОПБ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2</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Усиление группировки сил и средств, необходимых для ликвидации ЧС.</w:t>
            </w:r>
            <w:r>
              <w:rPr>
                <w:rFonts w:cs="Times New Roman"/>
                <w:color w:val="000000"/>
              </w:rPr>
            </w:r>
          </w:p>
          <w:p>
            <w:pPr>
              <w:pStyle w:val="12385"/>
              <w:pBdr/>
              <w:spacing/>
              <w:ind/>
              <w:rPr>
                <w:rFonts w:cs="Times New Roman"/>
                <w:color w:val="000000"/>
              </w:rPr>
            </w:pPr>
            <w:r>
              <w:rPr>
                <w:rFonts w:cs="Times New Roman"/>
                <w:color w:val="000000"/>
              </w:rPr>
              <w:t xml:space="preserve">Приведение в готовность НАСФ. Определение количества сил и средств, направляемых в муниципальное образование для оказания помощи в ликвидации ЧС.</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По решению председателя КЧС и ОПБ Арсеньевского муниципального района</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ЕДДС Арсеньевского муниципального района</w:t>
            </w:r>
            <w:r>
              <w:rPr>
                <w:rFonts w:cs="Times New Roman"/>
                <w:color w:val="000000"/>
              </w:rPr>
            </w:r>
          </w:p>
          <w:p>
            <w:pPr>
              <w:pStyle w:val="12385"/>
              <w:pBdr/>
              <w:spacing/>
              <w:ind/>
              <w:rPr>
                <w:rFonts w:cs="Times New Roman"/>
                <w:color w:val="000000"/>
              </w:rPr>
            </w:pPr>
            <w:r>
              <w:rPr>
                <w:rFonts w:cs="Times New Roman"/>
                <w:color w:val="000000"/>
              </w:rPr>
            </w:r>
            <w:r>
              <w:rPr>
                <w:rFonts w:cs="Times New Roman"/>
                <w:color w:val="000000"/>
              </w:rPr>
            </w:r>
          </w:p>
          <w:p>
            <w:pPr>
              <w:pStyle w:val="12385"/>
              <w:pBdr/>
              <w:spacing/>
              <w:ind/>
              <w:rPr>
                <w:rFonts w:cs="Times New Roman"/>
                <w:color w:val="000000"/>
              </w:rPr>
            </w:pPr>
            <w:r>
              <w:rPr>
                <w:rFonts w:cs="Times New Roman"/>
                <w:color w:val="000000"/>
              </w:rPr>
              <w:t xml:space="preserve">Администрация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3</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color w:val="000000"/>
              </w:rPr>
            </w:pPr>
            <w:r>
              <w:rPr>
                <w:rFonts w:cs="Times New Roman"/>
                <w:color w:val="000000"/>
              </w:rPr>
              <w:t xml:space="preserve">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r>
              <w:rPr>
                <w:rFonts w:cs="Times New Roman"/>
                <w:color w:val="000000"/>
              </w:rPr>
            </w:r>
          </w:p>
          <w:p>
            <w:pPr>
              <w:pStyle w:val="12385"/>
              <w:pBdr/>
              <w:spacing/>
              <w:ind/>
              <w:rPr>
                <w:rFonts w:cs="Times New Roman"/>
                <w:color w:val="000000"/>
              </w:rPr>
            </w:pPr>
            <w:r>
              <w:rPr>
                <w:rFonts w:cs="Times New Roman"/>
                <w:color w:val="000000"/>
              </w:rPr>
              <w:t xml:space="preserve">Доведение информации до ОДС ЕДДС.</w:t>
            </w:r>
            <w:r>
              <w:rPr>
                <w:rFonts w:cs="Times New Roman"/>
                <w:color w:val="000000"/>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color w:val="000000"/>
              </w:rPr>
              <w:t xml:space="preserve">Через каждые 2 часа.</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color w:val="000000"/>
              </w:rPr>
            </w:pPr>
            <w:r>
              <w:rPr>
                <w:rFonts w:cs="Times New Roman"/>
                <w:color w:val="000000"/>
              </w:rPr>
              <w:t xml:space="preserve">Оперативный штаб КЧС и ОПБ Арсеньевского муниципального района</w:t>
            </w:r>
            <w:r>
              <w:rPr>
                <w:rFonts w:cs="Times New Roman"/>
                <w:color w:val="000000"/>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4</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rPr>
            </w:pPr>
            <w:r>
              <w:rPr>
                <w:rFonts w:cs="Times New Roman"/>
              </w:rPr>
              <w:t xml:space="preserve">Подготовка проекта распоряжения о переводе звена ТП РСЧС в режим ПОВСЕДНЕВНОЙ ДЕЯТЕЛЬНОСТИ.</w:t>
            </w:r>
            <w:r>
              <w:rPr>
                <w:rFonts w:cs="Times New Roman"/>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rPr>
              <w:t xml:space="preserve">При обеспечении устойчивого функционирования объектов жизнеобеспечения населения.</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rPr>
            </w:pPr>
            <w:r>
              <w:rPr>
                <w:rFonts w:cs="Times New Roman"/>
                <w:color w:val="000000"/>
              </w:rPr>
              <w:t xml:space="preserve">Секретарь КЧС и ОПБ Арсеньевского муниципального района</w:t>
            </w:r>
            <w:r>
              <w:rPr>
                <w:rFonts w:cs="Times New Roman"/>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5</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rPr>
            </w:pPr>
            <w:r>
              <w:rPr>
                <w:rFonts w:cs="Times New Roman"/>
              </w:rPr>
              <w:t xml:space="preserve">Доведение распоряжения председателя КЧС и ОПБ о переводе звена ТП РСЧС в режим ПОВСЕДНЕВНОЙ ДЕЯТЕЛЬНОСТИ.</w:t>
            </w:r>
            <w:r>
              <w:rPr>
                <w:rFonts w:cs="Times New Roman"/>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color w:val="000000"/>
              </w:rPr>
            </w:pPr>
            <w:r>
              <w:rPr>
                <w:rFonts w:cs="Times New Roman"/>
              </w:rPr>
              <w:t xml:space="preserve">По завершении работ по ликвидации ЧС.</w:t>
            </w:r>
            <w:r>
              <w:rPr>
                <w:rFonts w:cs="Times New Roman"/>
                <w:color w:val="000000"/>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rPr>
            </w:pPr>
            <w:r>
              <w:rPr>
                <w:rFonts w:cs="Times New Roman"/>
                <w:color w:val="000000"/>
              </w:rPr>
              <w:t xml:space="preserve">Оперативный штаб КЧС и ОПБ Арсеньевского муниципального района</w:t>
            </w:r>
            <w:r>
              <w:rPr>
                <w:rFonts w:cs="Times New Roman"/>
              </w:rPr>
            </w:r>
          </w:p>
        </w:tc>
      </w:tr>
      <w:tr>
        <w:trPr>
          <w:trHeight w:val="20"/>
        </w:trPr>
        <w:tc>
          <w:tcPr>
            <w:tcBorders>
              <w:top w:val="single" w:color="000000" w:sz="4" w:space="0"/>
              <w:left w:val="single" w:color="000000" w:sz="4" w:space="0"/>
              <w:bottom w:val="single" w:color="000000" w:sz="4" w:space="0"/>
            </w:tcBorders>
            <w:tcW w:w="757" w:type="dxa"/>
            <w:vAlign w:val="center"/>
          </w:tcPr>
          <w:p>
            <w:pPr>
              <w:pStyle w:val="12385"/>
              <w:pBdr/>
              <w:spacing/>
              <w:ind/>
              <w:rPr>
                <w:rFonts w:cs="Times New Roman"/>
              </w:rPr>
            </w:pPr>
            <w:r>
              <w:rPr>
                <w:rFonts w:cs="Times New Roman"/>
              </w:rPr>
              <w:t xml:space="preserve">6</w:t>
            </w:r>
            <w:r>
              <w:rPr>
                <w:rFonts w:cs="Times New Roman"/>
              </w:rPr>
            </w:r>
          </w:p>
        </w:tc>
        <w:tc>
          <w:tcPr>
            <w:tcBorders>
              <w:top w:val="single" w:color="000000" w:sz="4" w:space="0"/>
              <w:left w:val="single" w:color="000000" w:sz="4" w:space="0"/>
              <w:bottom w:val="single" w:color="000000" w:sz="4" w:space="0"/>
            </w:tcBorders>
            <w:tcW w:w="6069" w:type="dxa"/>
            <w:vAlign w:val="center"/>
          </w:tcPr>
          <w:p>
            <w:pPr>
              <w:pStyle w:val="12385"/>
              <w:pBdr/>
              <w:spacing/>
              <w:ind/>
              <w:rPr>
                <w:rFonts w:cs="Times New Roman"/>
              </w:rPr>
            </w:pPr>
            <w:r>
              <w:rPr>
                <w:rFonts w:cs="Times New Roman"/>
              </w:rPr>
              <w:t xml:space="preserve">Анализ и оценка эффективности проведенного комплекса мероприятий и действий служб, привлекаемых для ликвидации ЧС.</w:t>
            </w:r>
            <w:r>
              <w:rPr>
                <w:rFonts w:cs="Times New Roman"/>
              </w:rPr>
            </w:r>
          </w:p>
        </w:tc>
        <w:tc>
          <w:tcPr>
            <w:tcBorders>
              <w:top w:val="single" w:color="000000" w:sz="4" w:space="0"/>
              <w:left w:val="single" w:color="000000" w:sz="4" w:space="0"/>
              <w:bottom w:val="single" w:color="000000" w:sz="4" w:space="0"/>
            </w:tcBorders>
            <w:tcW w:w="2337" w:type="dxa"/>
            <w:vAlign w:val="center"/>
          </w:tcPr>
          <w:p>
            <w:pPr>
              <w:pStyle w:val="12385"/>
              <w:pBdr/>
              <w:spacing/>
              <w:ind/>
              <w:rPr>
                <w:rFonts w:cs="Times New Roman"/>
              </w:rPr>
            </w:pPr>
            <w:r>
              <w:rPr>
                <w:rFonts w:cs="Times New Roman"/>
              </w:rPr>
              <w:t xml:space="preserve">В течение месяца после ликвидации ЧС</w:t>
            </w:r>
            <w:r>
              <w:rPr>
                <w:rFonts w:cs="Times New Roman"/>
              </w:rPr>
            </w:r>
          </w:p>
        </w:tc>
        <w:tc>
          <w:tcPr>
            <w:tcBorders>
              <w:top w:val="single" w:color="000000" w:sz="4" w:space="0"/>
              <w:left w:val="single" w:color="000000" w:sz="4" w:space="0"/>
              <w:bottom w:val="single" w:color="000000" w:sz="4" w:space="0"/>
              <w:right w:val="single" w:color="000000" w:sz="4" w:space="0"/>
            </w:tcBorders>
            <w:tcW w:w="5123" w:type="dxa"/>
            <w:vAlign w:val="center"/>
          </w:tcPr>
          <w:p>
            <w:pPr>
              <w:pStyle w:val="12385"/>
              <w:pBdr/>
              <w:spacing/>
              <w:ind/>
              <w:rPr>
                <w:rFonts w:cs="Times New Roman"/>
              </w:rPr>
            </w:pPr>
            <w:r>
              <w:rPr>
                <w:rFonts w:cs="Times New Roman"/>
              </w:rPr>
              <w:t xml:space="preserve">Председатель КЧС и ОПБ </w:t>
            </w:r>
            <w:r>
              <w:rPr>
                <w:rFonts w:cs="Times New Roman"/>
                <w:color w:val="000000"/>
              </w:rPr>
              <w:t xml:space="preserve">Арсеньевского муниципального района</w:t>
            </w:r>
            <w:r>
              <w:rPr>
                <w:rFonts w:cs="Times New Roman"/>
              </w:rPr>
            </w:r>
          </w:p>
        </w:tc>
      </w:tr>
    </w:tbl>
    <w:p>
      <w:pPr>
        <w:pStyle w:val="10533"/>
        <w:pBdr/>
        <w:spacing/>
        <w:ind/>
        <w:rPr>
          <w:sz w:val="28"/>
          <w:szCs w:val="28"/>
        </w:rPr>
        <w:sectPr>
          <w:headerReference w:type="default" r:id="rId196"/>
          <w:headerReference w:type="first" r:id="rId197"/>
          <w:footerReference w:type="default" r:id="rId464"/>
          <w:footerReference w:type="first" r:id="rId465"/>
          <w:footnotePr/>
          <w:endnotePr/>
          <w:type w:val="nextPage"/>
          <w:pgSz w:h="11906" w:orient="landscape" w:w="16838"/>
          <w:pgMar w:top="1134" w:right="850" w:bottom="1134" w:left="1701" w:header="709" w:footer="567" w:gutter="0"/>
          <w:cols w:num="1" w:sep="0" w:space="1701" w:equalWidth="1"/>
        </w:sectPr>
      </w:pPr>
      <w:r>
        <w:rPr>
          <w:sz w:val="28"/>
          <w:szCs w:val="28"/>
        </w:rPr>
      </w:r>
      <w:r>
        <w:rPr>
          <w:sz w:val="28"/>
          <w:szCs w:val="28"/>
        </w:rPr>
      </w:r>
    </w:p>
    <w:p>
      <w:pPr>
        <w:pStyle w:val="10536"/>
        <w:keepNext w:val="true"/>
        <w:widowControl w:val="true"/>
        <w:numPr>
          <w:ilvl w:val="2"/>
          <w:numId w:val="13"/>
        </w:numPr>
        <w:pBdr/>
        <w:bidi w:val="false"/>
        <w:spacing w:after="120" w:before="240" w:line="271" w:lineRule="auto"/>
        <w:ind w:right="0" w:hanging="737" w:left="737"/>
        <w:jc w:val="left"/>
        <w:rPr>
          <w:rFonts w:eastAsia="Calibri" w:cs="Times New Roman"/>
        </w:rPr>
      </w:pPr>
      <w:r/>
      <w:bookmarkStart w:id="1102" w:name="_Toc198483647"/>
      <w:r/>
      <w:bookmarkStart w:id="1103" w:name="_Toc168491663"/>
      <w:r>
        <w:rPr>
          <w:rFonts w:eastAsia="Calibri" w:cs="Times New Roman"/>
        </w:rPr>
        <w:t xml:space="preserve">Взаимодействие между органами и организациями при ликвидации аварий, инцидентов</w:t>
      </w:r>
      <w:bookmarkEnd w:id="1102"/>
      <w:r/>
      <w:bookmarkEnd w:id="1103"/>
      <w:r/>
      <w:r>
        <w:rPr>
          <w:rFonts w:eastAsia="Calibri" w:cs="Times New Roman"/>
        </w:rPr>
      </w:r>
    </w:p>
    <w:p>
      <w:pPr>
        <w:pStyle w:val="12960"/>
        <w:pBdr/>
        <w:spacing/>
        <w:ind/>
        <w:rPr/>
      </w:pPr>
      <w:r/>
      <w:bookmarkStart w:id="1104" w:name="_Toc168491664"/>
      <w:r>
        <w:t xml:space="preserve">Общие положения</w:t>
      </w:r>
      <w:bookmarkEnd w:id="1104"/>
      <w:r/>
      <w:r/>
    </w:p>
    <w:p>
      <w:pPr>
        <w:pStyle w:val="12960"/>
        <w:pBdr/>
        <w:spacing/>
        <w:ind/>
        <w:rPr/>
      </w:pPr>
      <w:r>
        <w:t xml:space="preserve">Механизм оперативно-диспетчерского управления в системе теплоснабжения на территории </w:t>
      </w:r>
      <w:r>
        <w:rPr>
          <w:color w:val="000000"/>
        </w:rPr>
        <w:t xml:space="preserve">муниципального образования Астаповское </w:t>
      </w:r>
      <w:r>
        <w:t xml:space="preserve">определяет взаимодействие оперативно-диспетчерских служб теплоснабжающих, теплосетевых организаций и потребителей тепловой энергии по вопросам теплоснабжения.</w:t>
      </w:r>
      <w:r/>
    </w:p>
    <w:p>
      <w:pPr>
        <w:pStyle w:val="12960"/>
        <w:pBdr/>
        <w:spacing/>
        <w:ind/>
        <w:rPr/>
      </w:pPr>
      <w:r>
        <w:t xml:space="preserve">Основной задачей указанных организаций является обеспечение усто</w:t>
      </w:r>
      <w:r>
        <w:t xml:space="preserve">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r/>
    </w:p>
    <w:p>
      <w:pPr>
        <w:pStyle w:val="12960"/>
        <w:pBdr/>
        <w:spacing/>
        <w:ind/>
        <w:rPr/>
      </w:pPr>
      <w:r>
        <w:t xml:space="preserve">Все теплоснабжающие, теплосетевые организации, обеспечивающие теплоснабжение потребителей, должны иметь круг</w:t>
      </w:r>
      <w:r>
        <w:t xml:space="preserve">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r/>
    </w:p>
    <w:p>
      <w:pPr>
        <w:pStyle w:val="12960"/>
        <w:pBdr/>
        <w:spacing/>
        <w:ind/>
        <w:rPr/>
      </w:pPr>
      <w:r>
        <w:t xml:space="preserve">Общую координацию действий оперативно-диспетчерских служб по эксплуатации локальной систе</w:t>
      </w:r>
      <w:r>
        <w:t xml:space="preserve">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r/>
    </w:p>
    <w:p>
      <w:pPr>
        <w:pStyle w:val="12960"/>
        <w:pBdr/>
        <w:spacing/>
        <w:ind/>
        <w:rPr/>
      </w:pPr>
      <w:r>
        <w:t xml:space="preserve">Для проведения работ по локализац</w:t>
      </w:r>
      <w:r>
        <w:t xml:space="preserve">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w:t>
      </w:r>
      <w:r>
        <w:t xml:space="preserve">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r/>
    </w:p>
    <w:p>
      <w:pPr>
        <w:pStyle w:val="12960"/>
        <w:pBdr/>
        <w:spacing/>
        <w:ind/>
        <w:rPr/>
      </w:pPr>
      <w:r>
        <w:t xml:space="preserve">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r/>
    </w:p>
    <w:p>
      <w:pPr>
        <w:pStyle w:val="12960"/>
        <w:pBdr/>
        <w:spacing/>
        <w:ind/>
        <w:rPr/>
      </w:pPr>
      <w: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w:t>
      </w:r>
      <w:r>
        <w:t xml:space="preserve">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главы Администрации </w:t>
      </w:r>
      <w:r>
        <w:rPr>
          <w:color w:val="000000"/>
        </w:rPr>
        <w:t xml:space="preserve">Арсеньевского муниципального района</w:t>
      </w:r>
      <w:r>
        <w:t xml:space="preserve">, ответственного за жизнеобеспечение </w:t>
      </w:r>
      <w:r>
        <w:rPr>
          <w:color w:val="000000"/>
        </w:rPr>
        <w:t xml:space="preserve">муниципального образования Астаповское.</w:t>
      </w:r>
      <w:r/>
    </w:p>
    <w:p>
      <w:pPr>
        <w:pStyle w:val="12960"/>
        <w:pBdr/>
        <w:spacing/>
        <w:ind/>
        <w:rPr/>
      </w:pPr>
      <w:r>
        <w:t xml:space="preserve">О возникновении аварийной ситуации, принятом решении по ее лока</w:t>
      </w:r>
      <w:r>
        <w:t xml:space="preserve">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r/>
    </w:p>
    <w:p>
      <w:pPr>
        <w:pStyle w:val="12960"/>
        <w:pBdr/>
        <w:spacing/>
        <w:ind/>
        <w:rPr/>
      </w:pPr>
      <w:r>
        <w:t xml:space="preserve">Также о возникновении аварийной ситуации и времени на восстановление теплоснабжения потребителей в обязательном порядке информируется ЕДДС Арсеньевского муниципального района</w:t>
      </w:r>
      <w:r>
        <w:rPr>
          <w:color w:val="000000"/>
        </w:rPr>
        <w:t xml:space="preserve">.</w:t>
      </w:r>
      <w:r/>
    </w:p>
    <w:p>
      <w:pPr>
        <w:pStyle w:val="12960"/>
        <w:pBdr/>
        <w:spacing/>
        <w:ind/>
        <w:rPr/>
      </w:pPr>
      <w:r>
        <w:t xml:space="preserve">Решение об отключении систем горячего водоснабжения принимается теплоснабжающей (теплосетевой) организацией по согласованию с администрацией </w:t>
      </w:r>
      <w:r>
        <w:rPr>
          <w:color w:val="000000"/>
        </w:rPr>
        <w:t xml:space="preserve">Арсеньевского муниципального района</w:t>
      </w:r>
      <w:r>
        <w:t xml:space="preserve"> – по квартальным отключениям.</w:t>
      </w:r>
      <w:r/>
    </w:p>
    <w:p>
      <w:pPr>
        <w:pStyle w:val="12960"/>
        <w:pBdr/>
        <w:spacing/>
        <w:ind/>
        <w:rPr/>
      </w:pPr>
      <w:r>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w:t>
      </w:r>
      <w:r>
        <w:rPr>
          <w:color w:val="000000"/>
        </w:rPr>
        <w:t xml:space="preserve">муниципального образования Астаповское </w:t>
      </w:r>
      <w:r>
        <w:t xml:space="preserve">и ЕДДС Арсеньевского муниципального района.</w:t>
      </w:r>
      <w:r/>
    </w:p>
    <w:p>
      <w:pPr>
        <w:pStyle w:val="12960"/>
        <w:pBdr/>
        <w:spacing/>
        <w:ind/>
        <w:rPr/>
      </w:pPr>
      <w:r>
        <w:t xml:space="preserve">Команды об отключении и опорожнении систем теплоснабжения и теплопотребления проходят через соответствующие диспетчерские службы.</w:t>
      </w:r>
      <w:r/>
    </w:p>
    <w:p>
      <w:pPr>
        <w:pStyle w:val="12960"/>
        <w:pBdr/>
        <w:spacing/>
        <w:ind/>
        <w:rPr/>
      </w:pPr>
      <w:r>
        <w:t xml:space="preserve">Отключение систе</w:t>
      </w:r>
      <w:r>
        <w:t xml:space="preserve">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организацией.</w:t>
      </w:r>
      <w:r/>
    </w:p>
    <w:p>
      <w:pPr>
        <w:pStyle w:val="12960"/>
        <w:pBdr/>
        <w:spacing/>
        <w:ind/>
        <w:rPr/>
      </w:pPr>
      <w:r>
        <w:t xml:space="preserve">В случае, когда в результате аварии создается угроза жизни людей, разрушения оборудования, гор</w:t>
      </w:r>
      <w:r>
        <w:rPr>
          <w:lang w:val="en-US"/>
        </w:rPr>
        <w:t xml:space="preserve">o</w:t>
      </w:r>
      <w:r>
        <w:t xml:space="preserve">дских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w:t>
      </w:r>
      <w:r>
        <w:t xml:space="preserve"> согласования, но с обязательным немедленным извещением ЕДДС Арсеньевского муниципального района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r/>
    </w:p>
    <w:p>
      <w:pPr>
        <w:pStyle w:val="12960"/>
        <w:pBdr/>
        <w:spacing/>
        <w:ind/>
        <w:rPr/>
      </w:pPr>
      <w:r>
        <w:t xml:space="preserve">Лицо, ответственное за ликвидацию аварии, обязано:</w:t>
      </w:r>
      <w:r/>
    </w:p>
    <w:p>
      <w:pPr>
        <w:pStyle w:val="13832"/>
        <w:keepNext w:val="false"/>
        <w:widowControl w:val="true"/>
        <w:numPr>
          <w:ilvl w:val="0"/>
          <w:numId w:val="61"/>
        </w:numPr>
        <w:pBdr/>
        <w:bidi w:val="false"/>
        <w:spacing w:after="0" w:before="0" w:line="360" w:lineRule="auto"/>
        <w:ind w:right="0" w:firstLine="624" w:left="0"/>
        <w:jc w:val="both"/>
        <w:rPr/>
      </w:pPr>
      <w:r>
        <w:t xml:space="preserve">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r/>
    </w:p>
    <w:p>
      <w:pPr>
        <w:pStyle w:val="13832"/>
        <w:keepNext w:val="false"/>
        <w:widowControl w:val="true"/>
        <w:numPr>
          <w:ilvl w:val="0"/>
          <w:numId w:val="61"/>
        </w:numPr>
        <w:pBdr/>
        <w:bidi w:val="false"/>
        <w:spacing w:after="0" w:before="0" w:line="360" w:lineRule="auto"/>
        <w:ind w:right="0" w:firstLine="567" w:left="0"/>
        <w:jc w:val="both"/>
        <w:rPr/>
      </w:pPr>
      <w:r>
        <w:t xml:space="preserve">организовать выполнение работ на подземных коммуникациях и обеспечивать безопасные условия производства работ;</w:t>
      </w:r>
      <w:r/>
    </w:p>
    <w:p>
      <w:pPr>
        <w:pStyle w:val="13832"/>
        <w:keepNext w:val="false"/>
        <w:widowControl w:val="true"/>
        <w:numPr>
          <w:ilvl w:val="0"/>
          <w:numId w:val="61"/>
        </w:numPr>
        <w:pBdr/>
        <w:bidi w:val="false"/>
        <w:spacing w:after="0" w:before="0" w:line="360" w:lineRule="auto"/>
        <w:ind w:right="0" w:firstLine="567" w:left="0"/>
        <w:jc w:val="both"/>
        <w:rPr/>
      </w:pPr>
      <w:r>
        <w:t xml:space="preserve">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r/>
    </w:p>
    <w:p>
      <w:pPr>
        <w:pStyle w:val="12960"/>
        <w:pBdr/>
        <w:spacing/>
        <w:ind/>
        <w:rPr/>
      </w:pPr>
      <w:r>
        <w:t xml:space="preserve">Организации и предприятия всех форм собственн</w:t>
      </w:r>
      <w:r>
        <w:t xml:space="preserve">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для согласования условий производства работ по ликвидации аварии в течение 2 часов в любое время суток.</w:t>
      </w:r>
      <w:r/>
    </w:p>
    <w:p>
      <w:pPr>
        <w:pStyle w:val="10536"/>
        <w:keepNext w:val="true"/>
        <w:widowControl w:val="true"/>
        <w:numPr>
          <w:ilvl w:val="2"/>
          <w:numId w:val="13"/>
        </w:numPr>
        <w:pBdr/>
        <w:bidi w:val="false"/>
        <w:spacing w:after="120" w:before="240" w:line="271" w:lineRule="auto"/>
        <w:ind w:right="0" w:hanging="737" w:left="737"/>
        <w:jc w:val="left"/>
        <w:rPr>
          <w:rFonts w:eastAsia="Calibri" w:cs="Times New Roman"/>
        </w:rPr>
      </w:pPr>
      <w:r/>
      <w:bookmarkStart w:id="1105" w:name="_Toc198483648"/>
      <w:r/>
      <w:bookmarkStart w:id="1106" w:name="_Toc168491665"/>
      <w:r>
        <w:rPr>
          <w:rFonts w:eastAsia="Calibri" w:cs="Times New Roman"/>
        </w:rPr>
        <w:t xml:space="preserve">Взаимодействие оперативно-диспетчерских служб при эксплуатации систем энергоснабжения</w:t>
      </w:r>
      <w:bookmarkEnd w:id="1105"/>
      <w:r/>
      <w:bookmarkEnd w:id="1106"/>
      <w:r/>
      <w:r>
        <w:rPr>
          <w:rFonts w:eastAsia="Calibri" w:cs="Times New Roman"/>
        </w:rPr>
      </w:r>
    </w:p>
    <w:p>
      <w:pPr>
        <w:pStyle w:val="12960"/>
        <w:pBdr/>
        <w:spacing/>
        <w:ind/>
        <w:rPr/>
      </w:pPr>
      <w:r>
        <w:t xml:space="preserve">Ежедневно после приема смены, а также при необходимости в течение всей смены диспетчеры (начальники смены) теплоснабжающих и теплосетевых организаций осуществляют передачу диспетчеру ЕДДС Арсеньевского муниципального района оперативной информации: о режи</w:t>
      </w:r>
      <w:r>
        <w:t xml:space="preserve">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r/>
    </w:p>
    <w:p>
      <w:pPr>
        <w:pStyle w:val="12960"/>
        <w:pBdr/>
        <w:spacing/>
        <w:ind/>
        <w:rPr/>
      </w:pPr>
      <w:r>
        <w:t xml:space="preserve">Администрация </w:t>
      </w:r>
      <w:r>
        <w:rPr>
          <w:color w:val="000000"/>
        </w:rPr>
        <w:t xml:space="preserve">Арсеньевского муниципального района</w:t>
      </w:r>
      <w:r>
        <w:t xml:space="preserve"> и ЕДДС Арсеньевского муниципального района осуществляют контроль за соблюдением энергоснабжающими организациями утвержденных режимов работы систем теплоснабжения.</w:t>
      </w:r>
      <w:r/>
    </w:p>
    <w:p>
      <w:pPr>
        <w:pStyle w:val="12960"/>
        <w:pBdr/>
        <w:spacing/>
        <w:ind/>
        <w:rPr/>
      </w:pPr>
      <w:r>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w:t>
      </w:r>
      <w:r>
        <w:rPr>
          <w:color w:val="000000"/>
        </w:rPr>
        <w:t xml:space="preserve">Арсеньевского муниципального района</w:t>
      </w:r>
      <w:r>
        <w:t xml:space="preserve">, ЕДДС Арсеньевского муниципального района и потребителей за пять дней до намеченных работ.</w:t>
      </w:r>
      <w:r/>
    </w:p>
    <w:p>
      <w:pPr>
        <w:pStyle w:val="12960"/>
        <w:pBdr/>
        <w:spacing/>
        <w:ind/>
        <w:rPr/>
      </w:pPr>
      <w:r>
        <w:t xml:space="preserve">Планируемый вывод в ремонт оборудования, находящегося на балансе потребителей, производится с обязательным информированием ЕДДС Арсеньевского муниципального района за 10 дней до намеченных работ, а в случае аварии - немедленно.</w:t>
      </w:r>
      <w:r/>
    </w:p>
    <w:p>
      <w:pPr>
        <w:pStyle w:val="12960"/>
        <w:pBdr/>
        <w:spacing/>
        <w:ind/>
        <w:rPr/>
      </w:pPr>
      <w:r>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Pr>
          <w:color w:val="000000"/>
        </w:rPr>
        <w:t xml:space="preserve">на территории муниципального образования Астаповское,</w:t>
      </w:r>
      <w:r>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Pr>
          <w:color w:val="000000"/>
        </w:rPr>
        <w:t xml:space="preserve">Арсеньевского муниципального района</w:t>
      </w:r>
      <w:r>
        <w:t xml:space="preserve"> и ЕДДС Арсеньевского муниципального района об этих отключениях с указанием сроков начала и окончания работ.</w:t>
      </w:r>
      <w:r/>
    </w:p>
    <w:p>
      <w:pPr>
        <w:pStyle w:val="12960"/>
        <w:pBdr/>
        <w:spacing/>
        <w:ind/>
        <w:rPr/>
      </w:pPr>
      <w:r>
        <w:t xml:space="preserve">При авариях, повлекших за собой длительное прекращение подачи холодной воды на источники тепловой энергии на территории </w:t>
      </w:r>
      <w:r>
        <w:rPr>
          <w:color w:val="000000"/>
        </w:rPr>
        <w:t xml:space="preserve">муниципального образования Астаповское,</w:t>
      </w:r>
      <w:r>
        <w:t xml:space="preserve"> диспетчер теплоснабжающей организации вводит ограничение горячего водоснабжения потребителей вплоть до полного его прекращения.</w:t>
      </w:r>
      <w:r/>
    </w:p>
    <w:p>
      <w:pPr>
        <w:pStyle w:val="12960"/>
        <w:pBdr/>
        <w:spacing/>
        <w:ind/>
        <w:rPr/>
      </w:pPr>
      <w:r>
        <w:t xml:space="preserve">При проведении плановых или аварийно-восстановительных работ </w:t>
      </w:r>
      <w:r>
        <w:t xml:space="preserve">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w:t>
      </w:r>
      <w:r>
        <w:t xml:space="preserve">орные подстанции, должен сообщать, соответственно, за 10 дней или немедленно диспетчеру соответствующей теплоснабжающей или теплосетевой организации и ЕДДС Арсеньевского муниципального района об этих отключениях с указанием сроков начала и окончания работ.</w:t>
      </w:r>
      <w:r/>
    </w:p>
    <w:p>
      <w:pPr>
        <w:pStyle w:val="12960"/>
        <w:pBdr/>
        <w:spacing/>
        <w:ind/>
        <w:rPr/>
      </w:pPr>
      <w:r>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Pr>
          <w:color w:val="000000"/>
        </w:rPr>
        <w:t xml:space="preserve">Арсеньевского муниципального района</w:t>
      </w:r>
      <w:r>
        <w:t xml:space="preserve"> вводит ограничение отпуска тепловой энергии потребителям, одновременно извещая об этом ЕДДС Арсеньевского муниципального района.</w:t>
      </w:r>
      <w:r/>
    </w:p>
    <w:p>
      <w:pPr>
        <w:pStyle w:val="12960"/>
        <w:pBdr/>
        <w:spacing/>
        <w:ind/>
        <w:rPr/>
      </w:pPr>
      <w:r>
        <w:t xml:space="preserve">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ЕДДС Арсеньевского муниципального района.</w:t>
      </w:r>
      <w:r/>
    </w:p>
    <w:p>
      <w:pPr>
        <w:pStyle w:val="12960"/>
        <w:pBdr/>
        <w:spacing/>
        <w:ind/>
        <w:rPr/>
      </w:pPr>
      <w:r>
        <w:t xml:space="preserve">Включение объектов, которые выводились в ремонт по заявке потребителей, производится по разрешению персонала теплоснабжающих и тепло</w:t>
      </w:r>
      <w:r>
        <w:t xml:space="preserve">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ЕДДС Арсеньевского муниципального района время начала включения.</w:t>
      </w:r>
      <w:r/>
    </w:p>
    <w:p>
      <w:pPr>
        <w:pStyle w:val="10535"/>
        <w:keepNext w:val="true"/>
        <w:widowControl w:val="true"/>
        <w:numPr>
          <w:ilvl w:val="1"/>
          <w:numId w:val="13"/>
        </w:numPr>
        <w:pBdr/>
        <w:bidi w:val="false"/>
        <w:spacing w:after="240" w:before="360" w:line="360" w:lineRule="auto"/>
        <w:ind w:right="0" w:hanging="850" w:left="850"/>
        <w:jc w:val="center"/>
        <w:rPr>
          <w:rFonts w:eastAsia="Calibri" w:cs="Times New Roman"/>
        </w:rPr>
      </w:pPr>
      <w:r/>
      <w:bookmarkStart w:id="1107" w:name="_Toc198483649"/>
      <w:r>
        <w:rPr>
          <w:rFonts w:eastAsia="Calibri" w:cs="Times New Roman"/>
        </w:rPr>
        <w:t xml:space="preserve">Порядок ограничения, прекращения подачи тепловой энергии при возникновении (угрозе возникновения) аварийных ситуаций в системе теплоснабжения на территории муниципального образования Астаповское </w:t>
      </w:r>
      <w:bookmarkEnd w:id="1107"/>
      <w:r/>
      <w:r>
        <w:rPr>
          <w:rFonts w:eastAsia="Calibri" w:cs="Times New Roman"/>
        </w:rPr>
      </w:r>
    </w:p>
    <w:p>
      <w:pPr>
        <w:pStyle w:val="12960"/>
        <w:pBdr/>
        <w:spacing/>
        <w:ind/>
        <w:rPr/>
      </w:pPr>
      <w:r>
        <w:t xml:space="preserve">1.1 Общие положения</w:t>
      </w:r>
      <w:r/>
    </w:p>
    <w:p>
      <w:pPr>
        <w:pStyle w:val="12960"/>
        <w:pBdr/>
        <w:spacing/>
        <w:ind/>
        <w:rPr/>
      </w:pPr>
      <w:r>
        <w:t xml:space="preserve">Ограничение и прекращение подачи тепловой энергии потребителям может вводиться в следующих случаях:</w:t>
      </w:r>
      <w:r/>
    </w:p>
    <w:p>
      <w:pPr>
        <w:pStyle w:val="13832"/>
        <w:keepNext w:val="false"/>
        <w:widowControl w:val="true"/>
        <w:numPr>
          <w:ilvl w:val="0"/>
          <w:numId w:val="61"/>
        </w:numPr>
        <w:pBdr/>
        <w:bidi w:val="false"/>
        <w:spacing w:after="0" w:before="0" w:line="360" w:lineRule="auto"/>
        <w:ind w:right="0" w:firstLine="567" w:left="0"/>
        <w:jc w:val="both"/>
        <w:rPr/>
      </w:pPr>
      <w:r>
        <w:t xml:space="preserve">неисполнение или ненадлежащее исполнение потребителем обязательств по оплате тепловой энергии (мощности) и (или) теплоносителя, в том ч</w:t>
      </w:r>
      <w:r>
        <w:t xml:space="preserve">исле обязательств по их предварительной оплате, если такое условие предусмотрено договором, а также нарушение условий договора о количестве, качестве и значениях термодинамических параметров возвращаемого теплоносителя и (или) нарушения режима потребления </w:t>
      </w:r>
      <w:r>
        <w:t xml:space="preserve">тепловой энергии, существенно влияющих на теплоснабжение других потребителей в данной системе теплоснабжения, а также в случае несоблюдения установленных техническими регламентами обязательных требований безопасной эксплуатации теплопотребляющих установок;</w:t>
      </w:r>
      <w:r/>
    </w:p>
    <w:p>
      <w:pPr>
        <w:pStyle w:val="13832"/>
        <w:numPr>
          <w:ilvl w:val="0"/>
          <w:numId w:val="61"/>
        </w:numPr>
        <w:pBdr/>
        <w:spacing/>
        <w:ind w:hanging="284" w:left="1135"/>
        <w:rPr/>
      </w:pPr>
      <w:r>
        <w:t xml:space="preserve">прекращение обязательств сторон по договору теплоснабжения;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выявление фактов бездоговорного потребления тепловой энергии (мощности) и (или) теплоносителя;</w:t>
      </w:r>
      <w:r/>
    </w:p>
    <w:p>
      <w:pPr>
        <w:pStyle w:val="13832"/>
        <w:keepNext w:val="false"/>
        <w:widowControl w:val="true"/>
        <w:numPr>
          <w:ilvl w:val="0"/>
          <w:numId w:val="61"/>
        </w:numPr>
        <w:pBdr/>
        <w:bidi w:val="false"/>
        <w:spacing w:after="0" w:before="0" w:line="360" w:lineRule="auto"/>
        <w:ind w:right="0" w:firstLine="567" w:left="0"/>
        <w:jc w:val="both"/>
        <w:rPr/>
      </w:pPr>
      <w:r>
        <w:t xml:space="preserve">возникновение (угроза возникновения) аварийных ситуаций в системе теплоснабжения;</w:t>
      </w:r>
      <w:r/>
    </w:p>
    <w:p>
      <w:pPr>
        <w:pStyle w:val="13832"/>
        <w:numPr>
          <w:ilvl w:val="0"/>
          <w:numId w:val="61"/>
        </w:numPr>
        <w:pBdr/>
        <w:spacing/>
        <w:ind w:hanging="284" w:left="1135"/>
        <w:rPr/>
      </w:pPr>
      <w:r>
        <w:t xml:space="preserve">наличие обращения потребителя о введении ограничения;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иные случаи, предусмотренные нормативными правовыми актами Российской Федерации или договором теплоснабжения.</w:t>
      </w:r>
      <w:r/>
    </w:p>
    <w:p>
      <w:pPr>
        <w:pStyle w:val="12960"/>
        <w:pBdr/>
        <w:spacing/>
        <w:ind/>
        <w:rPr/>
      </w:pPr>
      <w:r>
        <w:t xml:space="preserve">Ограничение режима потребления тепловой энергии может быть полным или частичным.</w:t>
      </w:r>
      <w:r/>
    </w:p>
    <w:p>
      <w:pPr>
        <w:pStyle w:val="12960"/>
        <w:pBdr/>
        <w:spacing/>
        <w:ind/>
        <w:rPr/>
      </w:pPr>
      <w:r>
        <w:t xml:space="preserve">Полное ограничение</w:t>
      </w:r>
      <w:r>
        <w:t xml:space="preserve"> режима потребления влечет за собой прекращение подачи тепловой энергии, теплоносителя потребителю путем осуществления переключений на тепловых сетях. При отсутствии такой возможности прекращение подачи тепловой энергии осуществляется путем отсоединения те</w:t>
      </w:r>
      <w:r>
        <w:t xml:space="preserve">плопотребляющих установок потребителя от тепловой сети. Возобновление режима потребления после введения полного ограничения режима потребления осуществляется за счет потребителя на основании расчета затрат теплоснабжающей организацией, но не может рассматр</w:t>
      </w:r>
      <w:r>
        <w:t xml:space="preserve">иваться как новое подключение и не требует заключения нового договора о подключении к системе теплоснабжения, за исключением случаев введения ограничения режима потребления в результате самовольного подключения теплопотребляющих установок к тепловым сетям.</w:t>
      </w:r>
      <w:r/>
    </w:p>
    <w:p>
      <w:pPr>
        <w:pStyle w:val="12960"/>
        <w:pBdr/>
        <w:spacing/>
        <w:ind/>
        <w:rPr/>
      </w:pPr>
      <w:r>
        <w:t xml:space="preserve">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w:t>
      </w:r>
      <w:r>
        <w:t xml:space="preserve">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w:t>
      </w:r>
      <w:r>
        <w:t xml:space="preserve">ается от обязанности поставить объем тепловой энергии, недопоставленный в период 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r/>
    </w:p>
    <w:p>
      <w:pPr>
        <w:pStyle w:val="12960"/>
        <w:pBdr/>
        <w:spacing/>
        <w:ind/>
        <w:rPr/>
      </w:pPr>
      <w:r>
        <w:t xml:space="preserve">При невыполнении потребителем действий по самостоятельному ограничению режима потребления и отсутствии технической возможности введения частичного ограничения силами теплоснабжа</w:t>
      </w:r>
      <w:r>
        <w:t xml:space="preserve">ющей или теплосетевой организации потребитель обязан обеспечить доступ к принадлежащим ему теплопотребляющим установкам уполномоченных представителей теплоснабжающей или теплосетевой организации для осуществления действий по ограничению режима потребления.</w:t>
      </w:r>
      <w:r/>
    </w:p>
    <w:p>
      <w:pPr>
        <w:pStyle w:val="12960"/>
        <w:pBdr/>
        <w:spacing/>
        <w:ind/>
        <w:rPr/>
      </w:pPr>
      <w:r>
        <w:t xml:space="preserve">Если потребитель отказал в доступе к принадлежащим ему теплопотребляющим установкам, теплоснабжающая (теплосетевая) организация составляет соответствующий акт. В акте о</w:t>
      </w:r>
      <w:r>
        <w:t xml:space="preserve">б отказе в доступе к теплопотребляющим установкам потребителя указываются дата и время его составления, основания введения ограничения, причины отказа в доступе, указанные потребителем, фамилия, инициалы и должность лиц, подписывающих акт. Акт составляется</w:t>
      </w:r>
      <w:r>
        <w:t xml:space="preserve"> в день, когда теплоснабжающая (теплосетевая) организация получила отказ в доступе к теплопотребляющим установкам потребителя, и подписывается уполномоченными представителями потребителя и теплоснабжающей (теплосетевой) организации. В случае отказа потреби</w:t>
      </w:r>
      <w:r>
        <w:t xml:space="preserve">теля от подписания указанного акта теплоснабжающая (теплосетевая) организация отражает данный факт в акте. Указанный акт составляется в присутствии 2 любых незаинтересованных лиц, которые подтверждают своими подписями факт отказа потребителя подписать акт.</w:t>
      </w:r>
      <w:r/>
    </w:p>
    <w:p>
      <w:pPr>
        <w:pStyle w:val="12960"/>
        <w:pBdr/>
        <w:spacing/>
        <w:ind/>
        <w:rPr/>
      </w:pPr>
      <w:r>
        <w:t xml:space="preserve">В случае невыполнения потребителем действий по самостоятельному частичному или полному ограничению режима потребления теплоснабжающая (теплосетевая) организация вправе осуществить полное ограничение режима потребления.</w:t>
      </w:r>
      <w:r/>
    </w:p>
    <w:p>
      <w:pPr>
        <w:pStyle w:val="12960"/>
        <w:pBdr/>
        <w:spacing/>
        <w:ind/>
        <w:rPr/>
      </w:pPr>
      <w:r>
        <w:t xml:space="preserve">В отношении социально значимых категорий потребителей применяется специальный порядок введения ограничения режима потребления. В отношении таких потребителей в обязательном порядке в договоре теплоснабжения определяются режимы введения ограничений.</w:t>
      </w:r>
      <w:r/>
    </w:p>
    <w:p>
      <w:pPr>
        <w:pStyle w:val="12960"/>
        <w:pBdr/>
        <w:spacing/>
        <w:ind/>
        <w:rPr/>
      </w:pPr>
      <w:r>
        <w:t xml:space="preserve">К социально значимым категориям потребителей (объектам потребителей) относятся:</w:t>
      </w:r>
      <w:r/>
    </w:p>
    <w:p>
      <w:pPr>
        <w:pStyle w:val="13832"/>
        <w:numPr>
          <w:ilvl w:val="0"/>
          <w:numId w:val="61"/>
        </w:numPr>
        <w:pBdr/>
        <w:spacing/>
        <w:ind w:hanging="284" w:left="1135"/>
        <w:rPr/>
      </w:pPr>
      <w:r>
        <w:t xml:space="preserve">органы государственной власти;</w:t>
      </w:r>
      <w:r/>
    </w:p>
    <w:p>
      <w:pPr>
        <w:pStyle w:val="13832"/>
        <w:numPr>
          <w:ilvl w:val="0"/>
          <w:numId w:val="61"/>
        </w:numPr>
        <w:pBdr/>
        <w:spacing/>
        <w:ind w:hanging="284" w:left="1135"/>
        <w:rPr/>
      </w:pPr>
      <w:r>
        <w:t xml:space="preserve">медицинские учреждения;</w:t>
      </w:r>
      <w:r/>
    </w:p>
    <w:p>
      <w:pPr>
        <w:pStyle w:val="13832"/>
        <w:numPr>
          <w:ilvl w:val="0"/>
          <w:numId w:val="61"/>
        </w:numPr>
        <w:pBdr/>
        <w:spacing/>
        <w:ind w:hanging="284" w:left="1135"/>
        <w:rPr/>
      </w:pPr>
      <w:r>
        <w:t xml:space="preserve">учебные заведения начального и среднего образования;</w:t>
      </w:r>
      <w:r/>
    </w:p>
    <w:p>
      <w:pPr>
        <w:pStyle w:val="13832"/>
        <w:numPr>
          <w:ilvl w:val="0"/>
          <w:numId w:val="61"/>
        </w:numPr>
        <w:pBdr/>
        <w:spacing/>
        <w:ind w:hanging="284" w:left="1135"/>
        <w:rPr/>
      </w:pPr>
      <w:r>
        <w:t xml:space="preserve">учреждения социального обеспечения;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воинские части Министерства обороны Российской Федерации, Минист</w:t>
      </w:r>
      <w:r>
        <w:t xml:space="preserve">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r/>
    </w:p>
    <w:p>
      <w:pPr>
        <w:pStyle w:val="13832"/>
        <w:numPr>
          <w:ilvl w:val="0"/>
          <w:numId w:val="61"/>
        </w:numPr>
        <w:pBdr/>
        <w:spacing/>
        <w:ind w:hanging="284" w:left="1135"/>
        <w:rPr/>
      </w:pPr>
      <w:r>
        <w:t xml:space="preserve">животноводческие и птицеводческие хозяйства, теплицы;</w:t>
      </w:r>
      <w:r/>
    </w:p>
    <w:p>
      <w:pPr>
        <w:pStyle w:val="12960"/>
        <w:pBdr/>
        <w:spacing/>
        <w:ind/>
        <w:rPr/>
      </w:pPr>
      <w:r>
        <w:t xml:space="preserve">В отношении граждан-потребителей, упра</w:t>
      </w:r>
      <w:r>
        <w:t xml:space="preserve">вляющих организаций, товариществ собственников жилья, жилищных кооперативов или иных специализированных потребительских кооперативов, осуществляющих деятельность по управлению многоквартирным домом и заключивших договор с ресурсоснабжающими организациями, </w:t>
      </w:r>
      <w:hyperlink r:id="rId628" w:tooltip="consultantplus://offline/ref=6D70FF1FCE4AC3C5B12CFE73E6DDD7767BB8DB60DF34A547E76CD316F4A359D3BECACC8A6C0A2F81LAa7K" w:history="1">
        <w:r>
          <w:t xml:space="preserve">порядок</w:t>
        </w:r>
      </w:hyperlink>
      <w:r>
        <w:t xml:space="preserve"> ограничения и прекращения подачи тепловой энергии устанавливается в соответствии с жилищным </w:t>
      </w:r>
      <w:hyperlink r:id="rId629" w:tooltip="consultantplus://offline/ref=6D70FF1FCE4AC3C5B12CFE73E6DDD7767BB9D164D937A547E76CD316F4A359D3BECACC8CL6a5K" w:history="1">
        <w:r>
          <w:t xml:space="preserve">законодательством</w:t>
        </w:r>
      </w:hyperlink>
      <w:r>
        <w:t xml:space="preserve">.</w:t>
      </w:r>
      <w:r/>
    </w:p>
    <w:p>
      <w:pPr>
        <w:pStyle w:val="12960"/>
        <w:pBdr/>
        <w:spacing/>
        <w:ind/>
        <w:rPr/>
      </w:pPr>
      <w:r>
        <w:t xml:space="preserve">Специальный порядок ограничения (прекращения) теплоснабжения социально значимых категорий потребителей применяется в отношении тех объектов потребителей, которые используются для непосредственного выполнения социально значимых функций.</w:t>
      </w:r>
      <w:r/>
    </w:p>
    <w:p>
      <w:pPr>
        <w:pStyle w:val="12960"/>
        <w:pBdr/>
        <w:spacing/>
        <w:ind/>
        <w:rPr/>
      </w:pPr>
      <w:r>
        <w:t xml:space="preserve">Ограничение режима потребления социально значимых категорий потребителей применяется в следующем порядке:</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rFonts w:eastAsia="Calibri"/>
        </w:rPr>
      </w:pPr>
      <w:r>
        <w:rPr>
          <w:rFonts w:eastAsia="Calibri"/>
        </w:rPr>
        <w:t xml:space="preserve">теплоснабжающая организация направляет потребителю увед</w:t>
      </w:r>
      <w:r>
        <w:rPr>
          <w:rFonts w:eastAsia="Calibri"/>
        </w:rPr>
        <w:t xml:space="preserve">омление о возможном ограничении режима потребления в случае непогашения (неоплаты) образовавшейся у него задолженности по оплате тепловой энергии в определенный в уведомлении срок. В указанный срок такой потребитель обязан погасить (оплатить) имеющуюся зад</w:t>
      </w:r>
      <w:r>
        <w:rPr>
          <w:rFonts w:eastAsia="Calibri"/>
        </w:rPr>
        <w:t xml:space="preserve">олженность или принять меры к безаварийному прекращению технологического процесса при условии обеспечения им безопасности людей и сохранности оборудования в связи с введением ограничения режима потребления до момента погашения образовавшейся задолженности.</w:t>
      </w:r>
      <w:r>
        <w:rPr>
          <w:rFonts w:eastAsia="Calibri"/>
        </w:rPr>
      </w:r>
    </w:p>
    <w:p>
      <w:pPr>
        <w:pStyle w:val="10535"/>
        <w:keepNext w:val="true"/>
        <w:widowControl w:val="true"/>
        <w:numPr>
          <w:ilvl w:val="1"/>
          <w:numId w:val="13"/>
        </w:numPr>
        <w:pBdr/>
        <w:bidi w:val="false"/>
        <w:spacing w:after="240" w:before="360" w:line="360" w:lineRule="auto"/>
        <w:ind w:right="0" w:hanging="737" w:left="737"/>
        <w:jc w:val="center"/>
        <w:rPr>
          <w:rFonts w:eastAsia="Calibri" w:cs="Times New Roman"/>
        </w:rPr>
      </w:pPr>
      <w:r/>
      <w:bookmarkStart w:id="1108" w:name="_Toc198483650"/>
      <w:r>
        <w:rPr>
          <w:rFonts w:eastAsia="Calibri" w:cs="Times New Roman"/>
        </w:rPr>
        <w:t xml:space="preserve">Порядок ограничения, прекращения подачи тепловой энергии при возникновении (угрозе возникновения) аварийных ситуаций в системе теплоснабжения</w:t>
      </w:r>
      <w:bookmarkEnd w:id="1108"/>
      <w:r/>
      <w:r>
        <w:rPr>
          <w:rFonts w:eastAsia="Calibri" w:cs="Times New Roman"/>
        </w:rPr>
      </w:r>
    </w:p>
    <w:p>
      <w:pPr>
        <w:pStyle w:val="12960"/>
        <w:pBdr/>
        <w:spacing/>
        <w:ind/>
        <w:rPr/>
      </w:pPr>
      <w:r>
        <w:t xml:space="preserve">В случае возникновения (угрозы возникновения) аварийных ситуаций в системе теплоснабжения для не</w:t>
      </w:r>
      <w:r>
        <w:t xml:space="preserve">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w:t>
      </w:r>
      <w:r>
        <w:t xml:space="preserve">аничение), в том числе без согласования с потребителем при необходимости принятия неотложных мер. 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w:t>
      </w:r>
      <w:r/>
    </w:p>
    <w:p>
      <w:pPr>
        <w:pStyle w:val="12960"/>
        <w:pBdr/>
        <w:spacing/>
        <w:ind/>
        <w:rPr/>
      </w:pPr>
      <w:r>
        <w:t xml:space="preserve">Аварийные ограничения осуществляются в соответствии с графиками аварийного ограничения.</w:t>
      </w:r>
      <w:r/>
    </w:p>
    <w:p>
      <w:pPr>
        <w:pStyle w:val="12960"/>
        <w:pBdr/>
        <w:spacing/>
        <w:ind/>
        <w:rPr/>
      </w:pPr>
      <w:r>
        <w:t xml:space="preserve">Необходимость введения аварийных ограничений может возникнуть в следующих случаях:</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понижение температуры наружного воздуха ниже расчетных значений более чем на 10 градусов на срок более 3 суток;</w:t>
      </w:r>
      <w:r/>
    </w:p>
    <w:p>
      <w:pPr>
        <w:pStyle w:val="13832"/>
        <w:numPr>
          <w:ilvl w:val="0"/>
          <w:numId w:val="61"/>
        </w:numPr>
        <w:pBdr/>
        <w:spacing/>
        <w:ind w:hanging="284" w:left="1135"/>
        <w:rPr/>
      </w:pPr>
      <w:r>
        <w:t xml:space="preserve">возникновение недостатка топлива на источниках тепловой энергии;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возникновение недостатка тепловой мощности вс</w:t>
      </w:r>
      <w:r>
        <w:t xml:space="preserve">ледствие аварийной остановки или выхода из строя основного теплогенерирующего оборудования источников тепловой энергии (паровых и водогрейных котлов, водоподогревателей и другого оборудования), требующего восстановления более 6 часов в отопительный период;</w:t>
      </w:r>
      <w:r/>
    </w:p>
    <w:p>
      <w:pPr>
        <w:pStyle w:val="13832"/>
        <w:keepNext w:val="false"/>
        <w:widowControl w:val="true"/>
        <w:numPr>
          <w:ilvl w:val="0"/>
          <w:numId w:val="61"/>
        </w:numPr>
        <w:pBdr/>
        <w:bidi w:val="false"/>
        <w:spacing w:after="0" w:before="0" w:line="360" w:lineRule="auto"/>
        <w:ind w:right="0" w:firstLine="567" w:left="0"/>
        <w:jc w:val="both"/>
        <w:rPr/>
      </w:pPr>
      <w:r>
        <w:t xml:space="preserve">нарушение или у</w:t>
      </w:r>
      <w:r>
        <w:t xml:space="preserve">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 а также прекращение подачи воды на источник тепловой энергии от системы водоснабжения;</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нарушение гидравлического режима тепловой сети по причине аварийного прекращения электропитания сетевых и подпиточных насосов на источнике тепловой энергии и подкачивающих насосов на тепловой сети;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r/>
    </w:p>
    <w:p>
      <w:pPr>
        <w:pStyle w:val="12960"/>
        <w:pBdr/>
        <w:spacing/>
        <w:ind/>
        <w:rPr/>
      </w:pPr>
      <w:r>
        <w:t xml:space="preserve">Размер ограничиваемой нагрузки потребителей по расходу сетевой воды или пара определяется исходя из конкретных нарушений, происшедших на источниках тепловой энергии или в тепловых сетях, к которым подключены потребители.</w:t>
      </w:r>
      <w:r/>
    </w:p>
    <w:p>
      <w:pPr>
        <w:pStyle w:val="12960"/>
        <w:pBdr/>
        <w:spacing/>
        <w:ind/>
        <w:rPr/>
      </w:pPr>
      <w:r>
        <w:t xml:space="preserve">Размер ограничиваемой нагрузки потребителей устанавливается теплоснабжающей организацией по согласованию с администрацией Арсеньевского муниципального района.</w:t>
      </w:r>
      <w:r/>
    </w:p>
    <w:p>
      <w:pPr>
        <w:pStyle w:val="12960"/>
        <w:pBdr/>
        <w:spacing/>
        <w:ind/>
        <w:rPr/>
      </w:pPr>
      <w:r>
        <w:t xml:space="preserve">Графики ограничений потребителей должны разрабатываться на 1 год с начала отопительного периода. Перечень потребителей, не подлежащих включению в указанные графики, составляется по согласованию с органами местного самоуправления.</w:t>
      </w:r>
      <w:r/>
    </w:p>
    <w:p>
      <w:pPr>
        <w:pStyle w:val="12960"/>
        <w:pBdr/>
        <w:spacing/>
        <w:ind/>
        <w:rPr/>
      </w:pPr>
      <w:r>
        <w:t xml:space="preserve">Размеры ограничиваемых нагрузок, включенные в график ограничений, вносятся в договор теплоснабжения.</w:t>
      </w:r>
      <w:r/>
    </w:p>
    <w:p>
      <w:pPr>
        <w:pStyle w:val="12960"/>
        <w:pBdr/>
        <w:spacing/>
        <w:ind/>
        <w:rPr/>
      </w:pPr>
      <w:r>
        <w:t xml:space="preserve">Разногласия между теплоснабжающей организацией и потребителем в части размеров и очередности ограничений, включаемых в график, рассматриваются администрацией Арсеньевского муниципального района.</w:t>
      </w:r>
      <w:r/>
    </w:p>
    <w:p>
      <w:pPr>
        <w:pStyle w:val="12960"/>
        <w:pBdr/>
        <w:spacing/>
        <w:ind/>
        <w:rPr/>
      </w:pPr>
      <w:r>
        <w:t xml:space="preserve">Графики ограничений потребителей в случае угрозы возникновения аварийной ситуации вводятся в действие единой теплоснабжающей организацией по решению администрации Арсеньевского муниципального района.</w:t>
      </w:r>
      <w:r/>
    </w:p>
    <w:p>
      <w:pPr>
        <w:pStyle w:val="12960"/>
        <w:pBdr/>
        <w:spacing/>
        <w:ind/>
        <w:rPr/>
      </w:pPr>
      <w:r>
        <w:t xml:space="preserve">Об ограничениях теплоснабжения теплоснабжающая организация сообщает потребителям:</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при возникновении дефицита тепловой мощности и отсутствии резервов на источниках тепловой энергии - за 10 часов до начала ограничений;</w:t>
      </w:r>
      <w:r/>
    </w:p>
    <w:p>
      <w:pPr>
        <w:pStyle w:val="13832"/>
        <w:numPr>
          <w:ilvl w:val="0"/>
          <w:numId w:val="61"/>
        </w:numPr>
        <w:pBdr/>
        <w:spacing/>
        <w:ind w:hanging="284" w:left="1135"/>
        <w:rPr/>
      </w:pPr>
      <w:r>
        <w:t xml:space="preserve">при дефиците топлива - не более чем за 24 часа до начала ограничений.</w:t>
      </w:r>
      <w:r/>
    </w:p>
    <w:p>
      <w:pPr>
        <w:pStyle w:val="12960"/>
        <w:pBdr/>
        <w:spacing/>
        <w:ind/>
        <w:rPr/>
      </w:pPr>
      <w:r>
        <w:t xml:space="preserve">При аварийных ситуациях, требующих принятия безотлагательных мер, осуществляется срочное введение графиков ограничения и отключения с последующим в течение 1 часа оповещением потребителей о причинах и предполагаемой продолжительности отключения.</w:t>
      </w:r>
      <w:r/>
    </w:p>
    <w:p>
      <w:pPr>
        <w:pStyle w:val="12960"/>
        <w:pBdr/>
        <w:spacing/>
        <w:ind/>
        <w:rPr/>
      </w:pPr>
      <w:r>
        <w:t xml:space="preserve">На основе ожидаемых сроков и длительности ограничения потребитель при наличии технической возможности может принять решение о сливе воды из теплопотребляющих установок по согласованию с теплоснабжающей организацией.</w:t>
      </w:r>
      <w:r/>
    </w:p>
    <w:p>
      <w:pPr>
        <w:pStyle w:val="12960"/>
        <w:pBdr/>
        <w:spacing/>
        <w:ind/>
        <w:rPr/>
      </w:pPr>
      <w:r>
        <w:t xml:space="preserve">Теплоснабжающая организация обязана обеспечить оперативный контроль за выполнением потребителями распоряжений о введении графиков и размерах ограничения потребления тепловой энергии.</w:t>
      </w:r>
      <w:r/>
    </w:p>
    <w:p>
      <w:pPr>
        <w:pStyle w:val="12960"/>
        <w:pBdr/>
        <w:spacing/>
        <w:ind/>
        <w:rPr/>
      </w:pPr>
      <w:r>
        <w:t xml:space="preserve">Теплосн</w:t>
      </w:r>
      <w:r>
        <w:t xml:space="preserve">абжающие и теплосетевые организации обязаны информировать о введенных аварийных ограничениях и прекращении теплоснабжения соответствующие органы местного самоуправления и органы государственного энергетического надзора в течение 1 суток со дня их введения.</w:t>
      </w:r>
      <w:r/>
    </w:p>
    <w:p>
      <w:pPr>
        <w:pStyle w:val="10535"/>
        <w:keepNext w:val="true"/>
        <w:widowControl w:val="true"/>
        <w:numPr>
          <w:ilvl w:val="1"/>
          <w:numId w:val="13"/>
        </w:numPr>
        <w:pBdr/>
        <w:bidi w:val="false"/>
        <w:spacing w:after="240" w:before="360" w:line="360" w:lineRule="auto"/>
        <w:ind w:right="0" w:hanging="737" w:left="737"/>
        <w:jc w:val="center"/>
        <w:rPr>
          <w:rFonts w:eastAsia="Calibri" w:cs="Times New Roman"/>
        </w:rPr>
      </w:pPr>
      <w:r>
        <w:rPr>
          <w:rFonts w:eastAsia="Calibri" w:cs="Times New Roman"/>
        </w:rPr>
        <w:t xml:space="preserve"> </w:t>
      </w:r>
      <w:bookmarkStart w:id="1109" w:name="_Toc198483651"/>
      <w:r>
        <w:rPr>
          <w:rFonts w:eastAsia="Calibri" w:cs="Times New Roman"/>
        </w:rPr>
        <w:t xml:space="preserve">Общие требования к составлению графиков ограничения аварийного отключения потребителей тепловой энергии и мощности</w:t>
      </w:r>
      <w:bookmarkEnd w:id="1109"/>
      <w:r/>
      <w:r>
        <w:rPr>
          <w:rFonts w:eastAsia="Calibri" w:cs="Times New Roman"/>
        </w:rPr>
      </w:r>
    </w:p>
    <w:p>
      <w:pPr>
        <w:pStyle w:val="12960"/>
        <w:pBdr/>
        <w:spacing/>
        <w:ind/>
        <w:rPr/>
      </w:pPr>
      <w:r>
        <w:t xml:space="preserve">Графики ограничения и аварийного отключения потребителей тепловой энергии и мощности разрабатываются ежегодно теплоснабжающими предприятиями и действуют на период с 1 октября текущего года до 1 октября следующего года.</w:t>
      </w:r>
      <w:r/>
    </w:p>
    <w:p>
      <w:pPr>
        <w:pStyle w:val="12960"/>
        <w:pBdr/>
        <w:spacing/>
        <w:ind/>
        <w:rPr/>
      </w:pPr>
      <w:r>
        <w:t xml:space="preserve">Разработанные графики утверждаются в органе местного самоуправления и доводятся письменно до сведения потребителей не позднее 1 сентября.</w:t>
      </w:r>
      <w:r/>
    </w:p>
    <w:p>
      <w:pPr>
        <w:pStyle w:val="12960"/>
        <w:pBdr/>
        <w:spacing/>
        <w:ind/>
        <w:rPr/>
      </w:pPr>
      <w:r>
        <w:t xml:space="preserve">При определении величины и очередности ог</w:t>
      </w:r>
      <w:r>
        <w:t xml:space="preserve">раничения и аварийного отключения потребителей тепловой энергии и мощности должны учитываться государственное, хозяйственное, социальное значения и технологически особенности производства потребителя с тем, чтобы ущерб от введения графиков был минимальным.</w:t>
      </w:r>
      <w:r/>
    </w:p>
    <w:p>
      <w:pPr>
        <w:pStyle w:val="12960"/>
        <w:pBdr/>
        <w:spacing/>
        <w:ind/>
        <w:rPr/>
      </w:pPr>
      <w:r>
        <w:t xml:space="preserve">Должны учитываться также особенности схемы теплоснабжения потребителей и возможность обеспечения эффективного контроля за выполнением ограничения и аварийных отключений потребителей тепловой энергии и мощности.</w:t>
      </w:r>
      <w:r/>
    </w:p>
    <w:p>
      <w:pPr>
        <w:pStyle w:val="12960"/>
        <w:pBdr/>
        <w:spacing/>
        <w:ind/>
        <w:rPr/>
      </w:pPr>
      <w:r>
        <w:t xml:space="preserve">В графики ограничения и аварийного отключения потребителей тепловой энергии и мощности не включаются:</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850" w:left="0"/>
        <w:jc w:val="both"/>
        <w:rPr/>
      </w:pPr>
      <w:r>
        <w:t xml:space="preserve">производства, отключение теплоснабжения которых может привести к выделению взрывоопасных продуктов и смесей;</w:t>
      </w:r>
      <w:r/>
    </w:p>
    <w:p>
      <w:pPr>
        <w:pStyle w:val="13832"/>
        <w:keepNext w:val="false"/>
        <w:widowControl w:val="true"/>
        <w:numPr>
          <w:ilvl w:val="0"/>
          <w:numId w:val="61"/>
        </w:numPr>
        <w:pBdr/>
        <w:bidi w:val="false"/>
        <w:spacing w:after="0" w:before="0" w:line="360" w:lineRule="auto"/>
        <w:ind w:right="0" w:firstLine="624" w:left="0"/>
        <w:jc w:val="both"/>
        <w:rPr/>
      </w:pPr>
      <w:r>
        <w:t xml:space="preserve">детские дошкольные учреждения (ясли, сады) и детские внешкольные учреждения для детей и подростков, школы дополнительного образования;</w:t>
      </w:r>
      <w:r/>
    </w:p>
    <w:p>
      <w:pPr>
        <w:pStyle w:val="13832"/>
        <w:numPr>
          <w:ilvl w:val="0"/>
          <w:numId w:val="61"/>
        </w:numPr>
        <w:pBdr/>
        <w:spacing/>
        <w:ind w:hanging="284" w:left="1135"/>
        <w:rPr/>
      </w:pPr>
      <w:r>
        <w:t xml:space="preserve">больницы и поликлиники всех профилей;</w:t>
      </w:r>
      <w:r/>
    </w:p>
    <w:p>
      <w:pPr>
        <w:pStyle w:val="12960"/>
        <w:pBdr/>
        <w:spacing/>
        <w:ind/>
        <w:rPr/>
      </w:pPr>
      <w:r>
        <w:t xml:space="preserve">Совме</w:t>
      </w:r>
      <w:r>
        <w:t xml:space="preserve">стно с потребителями, включенными в графики ограничения и аварийного отключения тепловой энергии и мощности, составляются двусторонние акты аварийной и технологической брони теплоснабжения. Нагрузка аварийной и технологической брони определяется раздельно.</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110" w:name="_Toc198483652"/>
      <w:r>
        <w:rPr>
          <w:rFonts w:cs="Times New Roman"/>
        </w:rPr>
        <w:t xml:space="preserve">Технологическая бронь теплоснабжения</w:t>
      </w:r>
      <w:bookmarkEnd w:id="1110"/>
      <w:r/>
      <w:r>
        <w:rPr>
          <w:rFonts w:cs="Times New Roman"/>
        </w:rPr>
      </w:r>
    </w:p>
    <w:p>
      <w:pPr>
        <w:pStyle w:val="12960"/>
        <w:pBdr/>
        <w:spacing/>
        <w:ind/>
        <w:rPr/>
      </w:pPr>
      <w:r>
        <w:t xml:space="preserve">Минимальная потребляемая тепловая мо</w:t>
      </w:r>
      <w:r>
        <w:t xml:space="preserve">щность, необходимая предприятию для завершения технологического процесса производства с продолжительностью времени в часах, по истечении которого может быть произведено снижение нагрузки до аварийной брони или отключение соответствующих тепловых установок.</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111" w:name="_Toc198483653"/>
      <w:r>
        <w:rPr>
          <w:rFonts w:cs="Times New Roman"/>
        </w:rPr>
        <w:t xml:space="preserve"> </w:t>
      </w:r>
      <w:r>
        <w:rPr>
          <w:rFonts w:cs="Times New Roman"/>
        </w:rPr>
        <w:t xml:space="preserve">Аварийная бронь теплоснабжения</w:t>
      </w:r>
      <w:bookmarkEnd w:id="1111"/>
      <w:r/>
      <w:r>
        <w:rPr>
          <w:rFonts w:cs="Times New Roman"/>
        </w:rPr>
      </w:r>
    </w:p>
    <w:p>
      <w:pPr>
        <w:pStyle w:val="12960"/>
        <w:pBdr/>
        <w:spacing/>
        <w:ind/>
        <w:rPr/>
      </w:pPr>
      <w:r>
        <w:t xml:space="preserve">Минимальная потребляемая тепловая мощность или расход тепловой энергии, обеспечивающий жизнь людей, сохранность оборудования, технологического сырья, продукции и средств пожарной безопасности.</w:t>
      </w:r>
      <w:r/>
    </w:p>
    <w:p>
      <w:pPr>
        <w:pStyle w:val="12960"/>
        <w:pBdr/>
        <w:spacing/>
        <w:ind/>
        <w:rPr/>
      </w:pPr>
      <w:r>
        <w:t xml:space="preserve">При составлении (пересмотре) актов аварийной и технологической брони потреб</w:t>
      </w:r>
      <w:r>
        <w:t xml:space="preserve">итель обязан представить в орган местного самоуправления перечень непрерывных технологических процессов с указанием минимального времени для их завершения без порчи продукции и оборудования, режимные карты на циклические технологические процессы; паспортны</w:t>
      </w:r>
      <w:r>
        <w:t xml:space="preserve">е данные и эксплуатационные инструкции (завода-изготовителя и местные) на оборудование, подтверждающие недопустимость внезапного прекращения подачи тепловой энергии, необходимую потребляемую тепловую мощность и фактические схемы внутреннего теплоснабжения.</w:t>
      </w:r>
      <w:r/>
    </w:p>
    <w:p>
      <w:pPr>
        <w:pStyle w:val="12960"/>
        <w:pBdr/>
        <w:spacing/>
        <w:ind/>
        <w:rPr/>
      </w:pPr>
      <w:r>
        <w:t xml:space="preserve">При изм</w:t>
      </w:r>
      <w:r>
        <w:t xml:space="preserve">енении величин аварийной и технологической брони теплоснабжения у потребителей, вызванных изменением объема производства, технологического процесса или схемой теплоснабжения пересмотр актов производится по заявке потребителей в течение месяца со дня поступ</w:t>
      </w:r>
      <w:r>
        <w:t xml:space="preserve">ления заявки. В течение этого месяца, при введении ограничений и отключений потребителей, теплоснабжение осуществляется в соответствии с ранее составленными актами технологической и аварийной брони, а введение ограничений - по ранее разработанным графикам.</w:t>
      </w:r>
      <w:r/>
    </w:p>
    <w:p>
      <w:pPr>
        <w:pStyle w:val="12960"/>
        <w:pBdr/>
        <w:spacing/>
        <w:ind/>
        <w:rPr/>
      </w:pPr>
      <w:r>
        <w:t xml:space="preserve">При изменении величин аварийной и технологической брони вносится изменение в графики и письменно сообщает потребителю и руководству котельных в 10-дневный срок.</w:t>
      </w:r>
      <w:r/>
    </w:p>
    <w:p>
      <w:pPr>
        <w:pStyle w:val="12960"/>
        <w:pBdr/>
        <w:spacing/>
        <w:ind/>
        <w:rPr/>
      </w:pPr>
      <w:r>
        <w:t xml:space="preserve">При письменном отказе потребителя от составления акта аварийной и технологической брони теплоснабжения, в месячный </w:t>
      </w:r>
      <w:r>
        <w:t xml:space="preserve">срок включаются тепловые установки потребителя в графики ограничения и аварийного отключения тепловой энергии и мощности в соответствии с действующими нормативными документами и настоящим Положением, с письменным уведомлением потребителя в 10-дневный срок.</w:t>
      </w:r>
      <w:r/>
    </w:p>
    <w:p>
      <w:pPr>
        <w:pStyle w:val="12960"/>
        <w:pBdr/>
        <w:spacing/>
        <w:ind/>
        <w:rPr/>
      </w:pPr>
      <w:r>
        <w:t xml:space="preserve">Ответственность за последствия ограничения потребления и отключения тепловой энергии и мощности в этом случае несет потребитель.</w:t>
      </w:r>
      <w:r/>
    </w:p>
    <w:p>
      <w:pPr>
        <w:pStyle w:val="12960"/>
        <w:pBdr/>
        <w:spacing/>
        <w:ind/>
        <w:rPr>
          <w:b/>
        </w:rPr>
      </w:pPr>
      <w:r>
        <w:t xml:space="preserve">В примечании к графикам ограничений и аварийных отключений указывается перечень потребителей, не подлежащих ограничениям и отключениям.</w:t>
      </w:r>
      <w:r>
        <w:rPr>
          <w:b/>
        </w:rP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112" w:name="_Toc198483654"/>
      <w:r>
        <w:rPr>
          <w:rFonts w:cs="Times New Roman"/>
        </w:rPr>
        <w:t xml:space="preserve"> </w:t>
      </w:r>
      <w:r>
        <w:rPr>
          <w:rFonts w:cs="Times New Roman"/>
        </w:rPr>
        <w:t xml:space="preserve">Порядок ввода графиков ограничения потребителей тепловой энергии и мощности</w:t>
      </w:r>
      <w:bookmarkEnd w:id="1112"/>
      <w:r/>
      <w:r>
        <w:rPr>
          <w:rFonts w:cs="Times New Roman"/>
        </w:rPr>
      </w:r>
    </w:p>
    <w:p>
      <w:pPr>
        <w:pStyle w:val="12960"/>
        <w:pBdr/>
        <w:spacing/>
        <w:ind/>
        <w:rPr/>
      </w:pPr>
      <w:r>
        <w:t xml:space="preserve">Граф</w:t>
      </w:r>
      <w:r>
        <w:t xml:space="preserve">ики ограничения потребителей тепловой энергии по согласованию с органом местного самоуправления вводятся через диспетчерские службы. Диспетчер доводит задание дежурным котельных и тепловых сетей с указанием величины, времени начала и окончания ограничений.</w:t>
      </w:r>
      <w:r/>
    </w:p>
    <w:p>
      <w:pPr>
        <w:pStyle w:val="12960"/>
        <w:pBdr/>
        <w:spacing/>
        <w:ind/>
        <w:rPr/>
      </w:pPr>
      <w:r>
        <w:t xml:space="preserve">Дежурный котельной и тепловых сетей</w:t>
      </w:r>
      <w:r>
        <w:t xml:space="preserve"> телефонограммой извещает потребителя (руководителя предприятия) о введении графиков не позднее 12 часов до начала их реализации, с указанием величины, времени начала и окончания ограничений. Об ограничениях по отпуску тепла абонентам письменно сообщается:</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при возникновении дефицита тепловой мощности и отсутствии резервов на источниках тепла - за 10 часов до начала ограничений;</w:t>
      </w:r>
      <w:r/>
    </w:p>
    <w:p>
      <w:pPr>
        <w:pStyle w:val="13832"/>
        <w:numPr>
          <w:ilvl w:val="0"/>
          <w:numId w:val="61"/>
        </w:numPr>
        <w:pBdr/>
        <w:spacing/>
        <w:ind w:hanging="284" w:left="1135"/>
        <w:rPr/>
      </w:pPr>
      <w:r>
        <w:t xml:space="preserve">при дефиците топлива - за 24 часа до начала ограничений.</w:t>
      </w:r>
      <w:r/>
    </w:p>
    <w:p>
      <w:pPr>
        <w:pStyle w:val="12960"/>
        <w:pBdr/>
        <w:spacing/>
        <w:ind/>
        <w:rPr/>
      </w:pPr>
      <w:r>
        <w:t xml:space="preserve">При аварийных ситуациях, требующих принятия безотлагательных мер, осуществляется срочное введение графиков ограничения и отключения с последующим в течение одного часа оповещением абонентов о причинах и предполагаемой продолжительности отключения. </w:t>
      </w:r>
      <w:r/>
    </w:p>
    <w:p>
      <w:pPr>
        <w:pStyle w:val="12960"/>
        <w:pBdr/>
        <w:spacing/>
        <w:ind/>
        <w:rPr/>
      </w:pPr>
      <w:r>
        <w:t xml:space="preserve">Порядок действий по ограничению отпуска тепловой энергии и теплоносителей установлен Федеральным законом от 27.07.2010 №190-ФЗ (ред. от 2</w:t>
      </w:r>
      <w:r>
        <w:t xml:space="preserve">6.02.2025) «О теплоснабжении» Статьей 22. Порядок ограничения, прекращения подачи тепловой энергии, теплоносителя потребителям в случае ненадлежащего исполнения ими договора теплоснабжения, а также при выявлении бездоговорного потребления тепловой энергии.</w:t>
      </w:r>
      <w:r/>
    </w:p>
    <w:p>
      <w:pPr>
        <w:pStyle w:val="10535"/>
        <w:keepNext w:val="true"/>
        <w:widowControl w:val="true"/>
        <w:numPr>
          <w:ilvl w:val="1"/>
          <w:numId w:val="13"/>
        </w:numPr>
        <w:pBdr/>
        <w:bidi w:val="false"/>
        <w:spacing w:after="240" w:before="360" w:line="360" w:lineRule="auto"/>
        <w:ind w:right="0" w:hanging="737" w:left="680"/>
        <w:jc w:val="center"/>
        <w:rPr>
          <w:rFonts w:cs="Times New Roman"/>
        </w:rPr>
      </w:pPr>
      <w:r/>
      <w:bookmarkStart w:id="1113" w:name="_Toc198483655"/>
      <w:r>
        <w:rPr>
          <w:rFonts w:cs="Times New Roman"/>
        </w:rPr>
        <w:t xml:space="preserve"> </w:t>
      </w:r>
      <w:r>
        <w:rPr>
          <w:rFonts w:cs="Times New Roman"/>
        </w:rPr>
        <w:t xml:space="preserve">Порядок ввода графиков аварийного ограничения и отключения потребителей тепловой мощности</w:t>
      </w:r>
      <w:bookmarkEnd w:id="1113"/>
      <w:r/>
      <w:r>
        <w:rPr>
          <w:rFonts w:cs="Times New Roman"/>
        </w:rPr>
      </w:r>
    </w:p>
    <w:p>
      <w:pPr>
        <w:pStyle w:val="12960"/>
        <w:pBdr/>
        <w:spacing/>
        <w:ind/>
        <w:rPr/>
      </w:pPr>
      <w:r>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w:t>
      </w:r>
      <w:r>
        <w:t xml:space="preserve">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w:t>
      </w:r>
      <w:r/>
    </w:p>
    <w:p>
      <w:pPr>
        <w:pStyle w:val="12960"/>
        <w:pBdr/>
        <w:spacing/>
        <w:ind/>
        <w:rPr/>
      </w:pPr>
      <w:r>
        <w:t xml:space="preserve">Необходимость ограничения и отключения абонентов для локализации аварийных ситуаций и предотвращения их развития, недопущения длительного и глубокого нарушения режимов систем теплоснабжения может возникнуть в случаях:</w:t>
      </w: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pPr>
      <w:r>
        <w:t xml:space="preserve">понижения температуры наружного воздуха ниже расчетных значений на срок более 2 - 3 суток;</w:t>
      </w:r>
      <w:r/>
    </w:p>
    <w:p>
      <w:pPr>
        <w:pStyle w:val="13832"/>
        <w:keepNext w:val="false"/>
        <w:widowControl w:val="true"/>
        <w:numPr>
          <w:ilvl w:val="0"/>
          <w:numId w:val="61"/>
        </w:numPr>
        <w:pBdr/>
        <w:bidi w:val="false"/>
        <w:spacing w:after="0" w:before="0" w:line="360" w:lineRule="auto"/>
        <w:ind w:right="0" w:firstLine="567" w:left="0"/>
        <w:jc w:val="both"/>
        <w:rPr/>
      </w:pPr>
      <w:r>
        <w:t xml:space="preserve">непредвиденного возникновения недостатка топлива на источниках тепловой энергии;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возникнове</w:t>
      </w:r>
      <w:r>
        <w:t xml:space="preserve">ния недостатка тепловой мощности вследствие аварийной остановки или выхода из строя основного теплогенерирующего оборудования источников тепла (паровых и водогрейных котлов, водоподогревателей и другого оборудования), требующего длительного восстановления;</w:t>
      </w: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pPr>
      <w:r>
        <w:t xml:space="preserve">нару</w:t>
      </w:r>
      <w:r>
        <w:t xml:space="preserve">шения или угрозы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 а также прекращения подачи воды на источник тепла от системы водоснабжения;</w:t>
      </w: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567" w:left="0"/>
        <w:jc w:val="both"/>
        <w:rPr/>
      </w:pPr>
      <w:r>
        <w:t xml:space="preserve">нарушения гидравлического режима тепловой сети по причине аварийного прекращения электропитания сетевых и подпиточных насосов на источнике тепла и подкачивающих насосов на тепловой сети;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b/>
        </w:rPr>
      </w:pPr>
      <w:r>
        <w:t xml:space="preserve">повреждений тепловой сети, требующих полного или частичного отключения нерезервируемых магистральных и распределительных трубопроводов.</w:t>
      </w:r>
      <w:r>
        <w:rPr>
          <w:b/>
        </w:rPr>
      </w:r>
    </w:p>
    <w:p>
      <w:pPr>
        <w:pStyle w:val="12960"/>
        <w:pBdr/>
        <w:spacing/>
        <w:ind/>
        <w:rPr/>
      </w:pPr>
      <w:r>
        <w:t xml:space="preserve">При внезапно возникшей аварийной ситуации на котельных или тепловых сетях потребители тепловой энергии отключаются немедленно, с последующим извещением потребителя о причинах отключения в течение 2 часов.</w:t>
      </w:r>
      <w:r/>
    </w:p>
    <w:p>
      <w:pPr>
        <w:pStyle w:val="12960"/>
        <w:pBdr/>
        <w:spacing/>
        <w:ind/>
        <w:rPr/>
      </w:pPr>
      <w:r>
        <w:t xml:space="preserve">В случае выхода из строя на длительное время (аварии) основного оборудования котельной, участков тепловых сетей заменяется график отключения потребителей тепловой энергии графиком ограничения на ту же величину.</w:t>
      </w:r>
      <w:r/>
    </w:p>
    <w:p>
      <w:pPr>
        <w:pStyle w:val="12960"/>
        <w:pBdr/>
        <w:spacing/>
        <w:ind/>
        <w:rPr/>
      </w:pPr>
      <w:r>
        <w:t xml:space="preserve">О факте и причина</w:t>
      </w:r>
      <w:r>
        <w:t xml:space="preserve">х введения ограничений и отключений потребителей, о величине недоотпуска тепловой энергии, об авариях у потребителей, если таковые произошли в период введения графиков, дежурный ЕДДС муниципального района докладывает не позднее 12.00 часов следующих суток.</w:t>
      </w:r>
      <w:r/>
    </w:p>
    <w:p>
      <w:pPr>
        <w:pStyle w:val="12960"/>
        <w:pBdr/>
        <w:spacing/>
        <w:ind/>
        <w:rPr/>
      </w:pPr>
      <w:r>
        <w:t xml:space="preserve">На основе ожидаемых сроков и длительности ограничения абонент принимает решение о сливе воды из теплопотребляющих систем по согласованию с теплоснабжающей организацией.</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114" w:name="_Toc198483656"/>
      <w:r>
        <w:rPr>
          <w:rFonts w:cs="Times New Roman"/>
        </w:rPr>
        <w:t xml:space="preserve"> </w:t>
      </w:r>
      <w:r>
        <w:rPr>
          <w:rFonts w:cs="Times New Roman"/>
        </w:rPr>
        <w:t xml:space="preserve">Обязанности, права и ответственность теплоснабжающих организаций</w:t>
      </w:r>
      <w:bookmarkEnd w:id="1114"/>
      <w:r/>
      <w:r>
        <w:rPr>
          <w:rFonts w:cs="Times New Roman"/>
        </w:rPr>
      </w:r>
    </w:p>
    <w:p>
      <w:pPr>
        <w:pStyle w:val="12960"/>
        <w:pBdr/>
        <w:spacing/>
        <w:ind/>
        <w:rPr/>
      </w:pPr>
      <w:r>
        <w:t xml:space="preserve">Теплосна</w:t>
      </w:r>
      <w:r>
        <w:t xml:space="preserve">бжающие организации обязаны довести до потребителей задания на ограничения тепловой энергии и мощности и время действия ограничений. Контроль за выполнением потребителями графиков ограничений и аварийных отключений осуществляет теплоснабжающие организации.</w:t>
      </w:r>
      <w:r/>
    </w:p>
    <w:p>
      <w:pPr>
        <w:pStyle w:val="12960"/>
        <w:pBdr/>
        <w:spacing/>
        <w:ind/>
        <w:rPr/>
      </w:pPr>
      <w:r>
        <w:t xml:space="preserve">Теплоснабжающие организации обязаны в назначенные сроки сообщить о заданных объемах и обеспечить выполнение распоряжений о введении графиков ограничений и аварий</w:t>
      </w:r>
      <w:r>
        <w:t xml:space="preserve">ных отключений потребителей тепловой энергии и мощности и несут ответственность, в соответствии с действующим законодательством, за быстроту и точность выполнения распоряжений по введению в действие графиков ограничений и аварийных отключений потребителей.</w:t>
      </w:r>
      <w:r/>
    </w:p>
    <w:p>
      <w:pPr>
        <w:pStyle w:val="12960"/>
        <w:pBdr/>
        <w:spacing/>
        <w:ind/>
        <w:rPr/>
      </w:pPr>
      <w:r>
        <w:t xml:space="preserve">Руководители теплоснабжающих организаций несут ответственность за обоснованность введения графиков ограничений и отключений потребителей тепловой энергии, величину и сроки введения ограничений.</w:t>
      </w:r>
      <w:r/>
    </w:p>
    <w:p>
      <w:pPr>
        <w:pStyle w:val="12960"/>
        <w:pBdr/>
        <w:spacing/>
        <w:ind/>
        <w:rPr/>
      </w:pPr>
      <w:r>
        <w:t xml:space="preserve">При необоснованном введении графиков ограничений или отключений потребителей тепловой энергии теплоснабжающие организации несет ответственность в порядке, предусмотренном законодательством.</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bookmarkStart w:id="1115" w:name="_Toc198483657"/>
      <w:r>
        <w:rPr>
          <w:rFonts w:cs="Times New Roman"/>
        </w:rPr>
        <w:t xml:space="preserve"> </w:t>
      </w:r>
      <w:r>
        <w:rPr>
          <w:rFonts w:cs="Times New Roman"/>
        </w:rPr>
        <w:t xml:space="preserve">Обязанности, права и ответственность потребителей тепловой энергии</w:t>
      </w:r>
      <w:bookmarkEnd w:id="1115"/>
      <w:r/>
      <w:r>
        <w:rPr>
          <w:rFonts w:cs="Times New Roman"/>
        </w:rPr>
      </w:r>
    </w:p>
    <w:p>
      <w:pPr>
        <w:pStyle w:val="12960"/>
        <w:pBdr/>
        <w:spacing/>
        <w:ind/>
        <w:rPr/>
      </w:pPr>
      <w:r>
        <w:t xml:space="preserve">Потребители (руковод</w:t>
      </w:r>
      <w:r>
        <w:t xml:space="preserve">ители предприятий, объединений, организаций и учреждений всех форм собственности) несут ответственность за безусловное выполнение графиков аварийных ограничений и отключений тепловой энергии и мощности, а также за последствия, связанные с их невыполнением.</w:t>
      </w:r>
      <w:r/>
    </w:p>
    <w:p>
      <w:pPr>
        <w:pStyle w:val="12960"/>
        <w:pBdr/>
        <w:spacing/>
        <w:ind/>
        <w:rPr/>
      </w:pPr>
      <w:r>
        <w:t xml:space="preserve">Потребитель обязан:</w:t>
      </w:r>
      <w:r/>
    </w:p>
    <w:p>
      <w:pPr>
        <w:pStyle w:val="12960"/>
        <w:pBdr/>
        <w:spacing/>
        <w:ind/>
        <w:rPr/>
      </w:pPr>
      <w:r>
        <w:t xml:space="preserve">Обеспечить прием от теплоснабжающих организаций сообщений о введении графиков ограничения или аварийного отключения тепловой энергии и мощности независимо от времени суток.</w:t>
      </w:r>
      <w:r/>
    </w:p>
    <w:p>
      <w:pPr>
        <w:pStyle w:val="12960"/>
        <w:pBdr/>
        <w:spacing/>
        <w:ind/>
        <w:rPr/>
      </w:pPr>
      <w:r>
        <w:t xml:space="preserve">Обеспечить безотлагательное выполнение законных требований при введении графиков ограничения или аварийного отключения тепловой энергии и мощности.</w:t>
      </w:r>
      <w:r/>
    </w:p>
    <w:p>
      <w:pPr>
        <w:pStyle w:val="12960"/>
        <w:pBdr/>
        <w:spacing/>
        <w:ind/>
        <w:rPr/>
      </w:pPr>
      <w:r>
        <w:t xml:space="preserve">Беспрепятственно допускать в любое время суток представителей теплоснабжающих организаций ко всем тепловым установкам и тепловым пунктам для контроля за выполнением заданных величин ограничения и отключения потребления тепловой энергии и мощности.</w:t>
      </w:r>
      <w:r/>
    </w:p>
    <w:p>
      <w:pPr>
        <w:pStyle w:val="12960"/>
        <w:pBdr/>
        <w:spacing/>
        <w:ind/>
        <w:rPr/>
      </w:pPr>
      <w:r>
        <w:t xml:space="preserve">Обеспечить, в соответствии с двусторонним актом, схему теплоснабжения с выделением нагрузок аварийной и технологической брони.</w:t>
      </w:r>
      <w:r/>
    </w:p>
    <w:p>
      <w:pPr>
        <w:pStyle w:val="12960"/>
        <w:pBdr/>
        <w:spacing/>
        <w:ind/>
        <w:rPr/>
      </w:pPr>
      <w:r>
        <w:t xml:space="preserve">Потребитель имеет право письменно обратиться в теплоснабжающие организации с заявлением о необоснованности введения графиков ограничения в части величины и времени ограничения.</w:t>
      </w:r>
      <w:r/>
    </w:p>
    <w:p>
      <w:pPr>
        <w:pStyle w:val="12960"/>
        <w:pBdr/>
        <w:spacing/>
        <w:ind/>
        <w:rPr/>
        <w:sectPr>
          <w:headerReference w:type="default" r:id="rId198"/>
          <w:headerReference w:type="first" r:id="rId199"/>
          <w:footerReference w:type="default" r:id="rId466"/>
          <w:footerReference w:type="first" r:id="rId467"/>
          <w:footnotePr/>
          <w:endnotePr/>
          <w:type w:val="nextPage"/>
          <w:pgSz w:h="16838" w:orient="portrait" w:w="11906"/>
          <w:pgMar w:top="1134" w:right="850" w:bottom="1134" w:left="1701" w:header="709" w:footer="709" w:gutter="0"/>
          <w:cols w:num="1" w:sep="0" w:space="1701" w:equalWidth="1"/>
        </w:sectPr>
      </w:pPr>
      <w:r/>
      <w:r/>
    </w:p>
    <w:p>
      <w:pPr>
        <w:pStyle w:val="10534"/>
        <w:numPr>
          <w:ilvl w:val="0"/>
          <w:numId w:val="0"/>
        </w:numPr>
        <w:pBdr/>
        <w:spacing/>
        <w:ind w:firstLine="0" w:left="0"/>
        <w:rPr>
          <w:spacing w:val="0"/>
        </w:rPr>
        <w:sectPr>
          <w:headerReference w:type="default" r:id="rId200"/>
          <w:headerReference w:type="first" r:id="rId201"/>
          <w:footerReference w:type="default" r:id="rId468"/>
          <w:footerReference w:type="first" r:id="rId469"/>
          <w:footnotePr/>
          <w:endnotePr/>
          <w:type w:val="nextPage"/>
          <w:pgSz w:h="16838" w:orient="portrait" w:w="11906"/>
          <w:pgMar w:top="1134" w:right="850" w:bottom="1134" w:left="1701" w:header="567" w:footer="454" w:gutter="0"/>
          <w:cols w:num="1" w:sep="0" w:space="1701" w:equalWidth="1"/>
        </w:sectPr>
      </w:pPr>
      <w:r/>
      <w:bookmarkStart w:id="1116" w:name="_Toc9154928"/>
      <w:r/>
      <w:bookmarkStart w:id="1117" w:name="_Toc166767303"/>
      <w:r/>
      <w:bookmarkStart w:id="1118" w:name="_Toc198483658"/>
      <w:r/>
      <w:bookmarkStart w:id="1119" w:name="_Toc84971074"/>
      <w:r>
        <w:rPr>
          <w:spacing w:val="0"/>
        </w:rPr>
        <w:t xml:space="preserve">ГЛАВА 12. ОБОСНОВАНИЕ ИНВЕСТИЦИЙ В СТРОИТЕЛЬСТВО, РЕКОНСТРУКЦИЮ, ТЕХНИЧЕСКОЕ ПЕРЕВООРУЖЕНИЕ И (ИЛИ) МОДЕРНИЗАЦИЮ</w:t>
      </w:r>
      <w:bookmarkEnd w:id="1116"/>
      <w:r/>
      <w:bookmarkEnd w:id="1117"/>
      <w:r/>
      <w:bookmarkEnd w:id="1118"/>
      <w:r/>
      <w:bookmarkEnd w:id="1119"/>
      <w:r/>
      <w:r>
        <w:rPr>
          <w:spacing w:val="0"/>
        </w:rPr>
      </w:r>
    </w:p>
    <w:p>
      <w:pPr>
        <w:pStyle w:val="10534"/>
        <w:numPr>
          <w:ilvl w:val="0"/>
          <w:numId w:val="180"/>
        </w:numPr>
        <w:pBdr/>
        <w:spacing/>
        <w:ind/>
        <w:rPr>
          <w:rFonts w:ascii="Times New Roman" w:hAnsi="Times New Roman" w:eastAsia="Times New Roman" w:cs="Times New Roman"/>
          <w:b/>
          <w:smallCaps/>
          <w:spacing w:val="0"/>
          <w:sz w:val="28"/>
          <w:szCs w:val="36"/>
          <w:lang w:eastAsia="en-US" w:bidi="en-US"/>
        </w:rPr>
      </w:pPr>
      <w:r/>
      <w:bookmarkStart w:id="1120" w:name="_Toc166767304"/>
      <w:r/>
      <w:bookmarkStart w:id="1121" w:name="_Toc84971075"/>
      <w:r/>
      <w:bookmarkStart w:id="1122" w:name="_Toc9154929"/>
      <w:r/>
      <w:bookmarkStart w:id="1123" w:name="_Toc198483659"/>
      <w:r>
        <w:rPr>
          <w:rFonts w:eastAsia="Times New Roman" w:cs="Times New Roman"/>
          <w:b/>
          <w:smallCaps/>
          <w:spacing w:val="0"/>
          <w:sz w:val="28"/>
          <w:szCs w:val="36"/>
          <w:lang w:eastAsia="en-US" w:bidi="en-US"/>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120"/>
      <w:r/>
      <w:bookmarkEnd w:id="1121"/>
      <w:r/>
      <w:bookmarkEnd w:id="1122"/>
      <w:r/>
      <w:bookmarkEnd w:id="1123"/>
      <w:r/>
      <w:r>
        <w:rPr>
          <w:rFonts w:ascii="Times New Roman" w:hAnsi="Times New Roman" w:eastAsia="Times New Roman" w:cs="Times New Roman"/>
          <w:b/>
          <w:smallCaps/>
          <w:spacing w:val="0"/>
          <w:sz w:val="28"/>
          <w:szCs w:val="36"/>
          <w:lang w:eastAsia="en-US" w:bidi="en-US"/>
        </w:rPr>
      </w:r>
    </w:p>
    <w:p>
      <w:pPr>
        <w:pStyle w:val="12960"/>
        <w:pBdr/>
        <w:spacing/>
        <w:ind/>
        <w:rPr/>
      </w:pPr>
      <w:r/>
      <w:bookmarkStart w:id="1124" w:name="_Hlk208774607"/>
      <w:r/>
      <w:bookmarkStart w:id="1125" w:name="_Hlk205237090"/>
      <w:r/>
      <w:bookmarkEnd w:id="1124"/>
      <w:r>
        <w:t xml:space="preserve">Мероприятия по дооснащению приборами учёта абонентов муниципального образования Аст</w:t>
      </w:r>
      <w:r>
        <w:t xml:space="preserve">аповское согласно постановлению Правительства РФ от 6 мая 2011 г. №354 «О предоставлении коммунальных услуг собственником и пользователям помещений в многоквартирных домах и жилых домов», должны быть обеспечены собственниками жилого или нежилого помещения.</w:t>
      </w:r>
      <w:bookmarkEnd w:id="1125"/>
      <w:r/>
      <w:r/>
    </w:p>
    <w:p>
      <w:pPr>
        <w:pStyle w:val="12960"/>
        <w:pBdr/>
        <w:spacing/>
        <w:ind/>
        <w:rPr/>
        <w:sectPr>
          <w:headerReference w:type="default" r:id="rId202"/>
          <w:headerReference w:type="first" r:id="rId203"/>
          <w:footerReference w:type="default" r:id="rId470"/>
          <w:footerReference w:type="first" r:id="rId471"/>
          <w:footnotePr/>
          <w:endnotePr/>
          <w:type w:val="nextPage"/>
          <w:pgSz w:h="16838" w:orient="portrait" w:w="11906"/>
          <w:pgMar w:top="1134" w:right="850" w:bottom="1134" w:left="1701" w:header="708" w:footer="708" w:gutter="0"/>
          <w:cols w:num="1" w:sep="0" w:space="1701" w:equalWidth="1"/>
        </w:sectPr>
      </w:pPr>
      <w:r>
        <w:t xml:space="preserve">Расчет капитальных вложений на строительство, реконструкцию и модернизацию источников тепловой энергии и тепловых сетей муниципального образования Астаповское Арсеньевского муниципального района Тульской области, представлен в таблице.</w:t>
      </w:r>
      <w:r/>
    </w:p>
    <w:p>
      <w:pPr>
        <w:pStyle w:val="10533"/>
        <w:pBdr/>
        <w:spacing w:line="360" w:lineRule="auto"/>
        <w:ind w:firstLine="709"/>
        <w:jc w:val="both"/>
        <w:rPr>
          <w:rFonts w:eastAsia="Calibri"/>
          <w:b/>
          <w:bCs/>
          <w:iCs/>
          <w:color w:val="0a0a0c"/>
          <w:lang w:eastAsia="en-US"/>
        </w:rPr>
      </w:pPr>
      <w:r/>
      <w:bookmarkStart w:id="1126" w:name="_Hlk208774607"/>
      <w:r/>
      <w:bookmarkStart w:id="1127" w:name="_Hlk182506752"/>
      <w:r/>
      <w:r/>
      <w:r/>
      <w:bookmarkEnd w:id="1126"/>
      <w:r/>
      <w:bookmarkEnd w:id="1127"/>
      <w:r>
        <w:rPr>
          <w:rFonts w:eastAsia="Calibri"/>
          <w:b/>
          <w:bCs/>
          <w:iCs/>
          <w:color w:val="0a0a0c"/>
          <w:lang w:eastAsia="en-US"/>
        </w:rPr>
        <w:t xml:space="preserve">Таблица 12.1.1 - Расчет капитальных вложений на строительство, реконструкцию и модернизацию источников тепловой энергии и тепловых сетей, тыс. руб. (Вариант 1)</w:t>
      </w:r>
      <w:r>
        <w:rPr>
          <w:rFonts w:eastAsia="Calibri"/>
          <w:b/>
          <w:bCs/>
          <w:iCs/>
          <w:color w:val="0a0a0c"/>
          <w:lang w:eastAsia="en-US"/>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0930"/>
        <w:gridCol w:w="1120"/>
        <w:gridCol w:w="1119"/>
        <w:gridCol w:w="1117"/>
      </w:tblGrid>
      <w:tr>
        <w:trPr>
          <w:trHeight w:val="85"/>
        </w:trPr>
        <w:tc>
          <w:tcPr>
            <w:shd w:val="clear" w:color="000000" w:fill="d9d9d9"/>
            <w:tcBorders>
              <w:top w:val="single" w:color="000000" w:sz="4" w:space="0"/>
              <w:left w:val="single" w:color="000000" w:sz="4" w:space="0"/>
              <w:bottom w:val="single" w:color="000000" w:sz="4" w:space="0"/>
              <w:right w:val="single" w:color="000000" w:sz="4" w:space="0"/>
            </w:tcBorders>
            <w:tcW w:w="10930" w:type="dxa"/>
            <w:vAlign w:val="center"/>
          </w:tcPr>
          <w:p>
            <w:pPr>
              <w:pStyle w:val="12385"/>
              <w:pBdr/>
              <w:spacing/>
              <w:ind/>
              <w:rPr>
                <w:rFonts w:cs="Times New Roman"/>
              </w:rPr>
            </w:pPr>
            <w:r>
              <w:rPr>
                <w:rFonts w:cs="Times New Roman"/>
              </w:rPr>
              <w:t xml:space="preserve">Описание мероприятий</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20" w:type="dxa"/>
            <w:vAlign w:val="center"/>
          </w:tcPr>
          <w:p>
            <w:pPr>
              <w:pStyle w:val="12385"/>
              <w:pBdr/>
              <w:spacing/>
              <w:ind/>
              <w:rPr>
                <w:rFonts w:cs="Times New Roman"/>
              </w:rPr>
            </w:pPr>
            <w:r>
              <w:rPr>
                <w:rFonts w:cs="Times New Roman"/>
              </w:rPr>
              <w:t xml:space="preserve">2026-2027 годы</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19" w:type="dxa"/>
            <w:vAlign w:val="center"/>
          </w:tcPr>
          <w:p>
            <w:pPr>
              <w:pStyle w:val="12385"/>
              <w:pBdr/>
              <w:spacing/>
              <w:ind/>
              <w:rPr>
                <w:rFonts w:cs="Times New Roman"/>
              </w:rPr>
            </w:pPr>
            <w:r>
              <w:rPr>
                <w:rFonts w:cs="Times New Roman"/>
              </w:rPr>
              <w:t xml:space="preserve">2028-2038 годы</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17" w:type="dxa"/>
            <w:vAlign w:val="center"/>
          </w:tcPr>
          <w:p>
            <w:pPr>
              <w:pStyle w:val="12385"/>
              <w:pBdr/>
              <w:spacing/>
              <w:ind/>
              <w:rPr>
                <w:rFonts w:cs="Times New Roman"/>
                <w:b/>
              </w:rPr>
            </w:pPr>
            <w:r>
              <w:rPr>
                <w:rFonts w:cs="Times New Roman"/>
                <w:b/>
              </w:rPr>
              <w:t xml:space="preserve">ИТОГО</w:t>
            </w:r>
            <w:r>
              <w:rPr>
                <w:rFonts w:cs="Times New Roman"/>
                <w:b/>
              </w:rP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10930" w:type="dxa"/>
            <w:vAlign w:val="center"/>
          </w:tcPr>
          <w:p>
            <w:pPr>
              <w:pStyle w:val="12385"/>
              <w:pBdr/>
              <w:spacing/>
              <w:ind/>
              <w:rPr>
                <w:rFonts w:cs="Times New Roman"/>
              </w:rPr>
            </w:pPr>
            <w:r>
              <w:rPr>
                <w:rFonts w:cs="Times New Roman"/>
              </w:rPr>
              <w:t xml:space="preserve">Обеспечение потребителей приборами учета тепловой энергии.</w:t>
            </w:r>
            <w:r>
              <w:rPr>
                <w:rFonts w:cs="Times New Roman"/>
              </w:rPr>
            </w:r>
          </w:p>
        </w:tc>
        <w:tc>
          <w:tcPr>
            <w:shd w:val="clear" w:color="000000" w:fill="ffffff"/>
            <w:tcBorders>
              <w:top w:val="single" w:color="000000" w:sz="4" w:space="0"/>
              <w:left w:val="single" w:color="000000" w:sz="4" w:space="0"/>
              <w:bottom w:val="single" w:color="000000" w:sz="4" w:space="0"/>
              <w:right w:val="single" w:color="000000" w:sz="4" w:space="0"/>
            </w:tcBorders>
            <w:tcW w:w="1120" w:type="dxa"/>
            <w:vAlign w:val="center"/>
          </w:tcPr>
          <w:p>
            <w:pPr>
              <w:pStyle w:val="12385"/>
              <w:pBdr/>
              <w:spacing/>
              <w:ind/>
              <w:rPr>
                <w:rFonts w:cs="Times New Roman"/>
              </w:rPr>
            </w:pPr>
            <w:r>
              <w:rPr>
                <w:rFonts w:cs="Times New Roman"/>
                <w:sz w:val="18"/>
                <w:szCs w:val="18"/>
              </w:rPr>
              <w:t xml:space="preserve">*ПСД</w:t>
            </w:r>
            <w:r>
              <w:rPr>
                <w:rFonts w:cs="Times New Roman"/>
              </w:rPr>
            </w:r>
          </w:p>
        </w:tc>
        <w:tc>
          <w:tcPr>
            <w:shd w:val="clear" w:color="000000" w:fill="ffffff"/>
            <w:tcBorders>
              <w:top w:val="single" w:color="000000" w:sz="4" w:space="0"/>
              <w:left w:val="single" w:color="000000" w:sz="4" w:space="0"/>
              <w:bottom w:val="single" w:color="000000" w:sz="4" w:space="0"/>
              <w:right w:val="single" w:color="000000" w:sz="4" w:space="0"/>
            </w:tcBorders>
            <w:tcW w:w="1119" w:type="dxa"/>
            <w:vAlign w:val="center"/>
          </w:tcPr>
          <w:p>
            <w:pPr>
              <w:pStyle w:val="12385"/>
              <w:pBdr/>
              <w:spacing/>
              <w:ind/>
              <w:rPr>
                <w:rFonts w:cs="Times New Roman"/>
              </w:rPr>
            </w:pPr>
            <w:r>
              <w:rPr>
                <w:rFonts w:cs="Times New Roman"/>
                <w:sz w:val="18"/>
                <w:szCs w:val="18"/>
              </w:rPr>
              <w:t xml:space="preserve">*ПСД</w:t>
            </w:r>
            <w:r>
              <w:rPr>
                <w:rFonts w:cs="Times New Roman"/>
              </w:rPr>
            </w:r>
          </w:p>
        </w:tc>
        <w:tc>
          <w:tcPr>
            <w:shd w:val="clear" w:color="000000" w:fill="ffffff"/>
            <w:tcBorders>
              <w:top w:val="single" w:color="000000" w:sz="4" w:space="0"/>
              <w:left w:val="single" w:color="000000" w:sz="4" w:space="0"/>
              <w:bottom w:val="single" w:color="000000" w:sz="4" w:space="0"/>
              <w:right w:val="single" w:color="000000" w:sz="4" w:space="0"/>
            </w:tcBorders>
            <w:tcW w:w="1117" w:type="dxa"/>
            <w:vAlign w:val="center"/>
          </w:tcPr>
          <w:p>
            <w:pPr>
              <w:pStyle w:val="12385"/>
              <w:pBdr/>
              <w:spacing/>
              <w:ind/>
              <w:rPr>
                <w:rFonts w:cs="Times New Roman"/>
                <w:b/>
              </w:rPr>
            </w:pPr>
            <w:r>
              <w:rPr>
                <w:rFonts w:cs="Times New Roman"/>
                <w:sz w:val="18"/>
                <w:szCs w:val="18"/>
              </w:rPr>
              <w:t xml:space="preserve">*ПСД</w:t>
            </w:r>
            <w:r>
              <w:rPr>
                <w:rFonts w:cs="Times New Roman"/>
                <w:b/>
              </w:rPr>
            </w:r>
          </w:p>
        </w:tc>
      </w:tr>
      <w:tr>
        <w:trPr>
          <w:trHeight w:val="20"/>
        </w:trPr>
        <w:tc>
          <w:tcPr>
            <w:shd w:val="clear" w:color="000000" w:fill="ffffff"/>
            <w:tcBorders>
              <w:top w:val="single" w:color="000000" w:sz="4" w:space="0"/>
              <w:left w:val="single" w:color="000000" w:sz="4" w:space="0"/>
              <w:bottom w:val="single" w:color="000000" w:sz="4" w:space="0"/>
              <w:right w:val="single" w:color="000000" w:sz="4" w:space="0"/>
            </w:tcBorders>
            <w:tcW w:w="10930" w:type="dxa"/>
            <w:vAlign w:val="center"/>
          </w:tcPr>
          <w:p>
            <w:pPr>
              <w:pStyle w:val="12385"/>
              <w:pBdr/>
              <w:spacing/>
              <w:ind/>
              <w:rPr>
                <w:rFonts w:cs="Times New Roman"/>
                <w:b/>
              </w:rPr>
            </w:pPr>
            <w:r>
              <w:rPr>
                <w:rFonts w:cs="Times New Roman"/>
                <w:b/>
              </w:rPr>
              <w:t xml:space="preserve">Итого</w:t>
            </w:r>
            <w:r>
              <w:rPr>
                <w:rFonts w:cs="Times New Roman"/>
                <w:b/>
              </w:rPr>
            </w:r>
          </w:p>
        </w:tc>
        <w:tc>
          <w:tcPr>
            <w:shd w:val="clear" w:color="000000" w:fill="ffffff"/>
            <w:tcBorders>
              <w:top w:val="single" w:color="000000" w:sz="4" w:space="0"/>
              <w:left w:val="single" w:color="000000" w:sz="4" w:space="0"/>
              <w:bottom w:val="single" w:color="000000" w:sz="4" w:space="0"/>
              <w:right w:val="single" w:color="000000" w:sz="4" w:space="0"/>
            </w:tcBorders>
            <w:tcW w:w="1120" w:type="dxa"/>
            <w:vAlign w:val="center"/>
          </w:tcPr>
          <w:p>
            <w:pPr>
              <w:pStyle w:val="12385"/>
              <w:pBdr/>
              <w:spacing/>
              <w:ind/>
              <w:rPr>
                <w:rFonts w:cs="Times New Roman"/>
                <w:b/>
              </w:rPr>
            </w:pPr>
            <w:r>
              <w:rPr>
                <w:rFonts w:cs="Times New Roman"/>
                <w:sz w:val="18"/>
                <w:szCs w:val="18"/>
              </w:rPr>
              <w:t xml:space="preserve">*ПСД</w:t>
            </w:r>
            <w:r>
              <w:rPr>
                <w:rFonts w:cs="Times New Roman"/>
                <w:b/>
              </w:rPr>
            </w:r>
          </w:p>
        </w:tc>
        <w:tc>
          <w:tcPr>
            <w:shd w:val="clear" w:color="000000" w:fill="ffffff"/>
            <w:tcBorders>
              <w:top w:val="single" w:color="000000" w:sz="4" w:space="0"/>
              <w:left w:val="single" w:color="000000" w:sz="4" w:space="0"/>
              <w:bottom w:val="single" w:color="000000" w:sz="4" w:space="0"/>
              <w:right w:val="single" w:color="000000" w:sz="4" w:space="0"/>
            </w:tcBorders>
            <w:tcW w:w="1119" w:type="dxa"/>
            <w:vAlign w:val="center"/>
          </w:tcPr>
          <w:p>
            <w:pPr>
              <w:pStyle w:val="12385"/>
              <w:pBdr/>
              <w:spacing/>
              <w:ind/>
              <w:rPr>
                <w:rFonts w:cs="Times New Roman"/>
                <w:b/>
              </w:rPr>
            </w:pPr>
            <w:r>
              <w:rPr>
                <w:rFonts w:cs="Times New Roman"/>
                <w:sz w:val="18"/>
                <w:szCs w:val="18"/>
              </w:rPr>
              <w:t xml:space="preserve">*ПСД</w:t>
            </w:r>
            <w:r>
              <w:rPr>
                <w:rFonts w:cs="Times New Roman"/>
                <w:b/>
              </w:rPr>
            </w:r>
          </w:p>
        </w:tc>
        <w:tc>
          <w:tcPr>
            <w:shd w:val="clear" w:color="000000" w:fill="ffffff"/>
            <w:tcBorders>
              <w:top w:val="single" w:color="000000" w:sz="4" w:space="0"/>
              <w:left w:val="single" w:color="000000" w:sz="4" w:space="0"/>
              <w:bottom w:val="single" w:color="000000" w:sz="4" w:space="0"/>
              <w:right w:val="single" w:color="000000" w:sz="4" w:space="0"/>
            </w:tcBorders>
            <w:tcW w:w="1117" w:type="dxa"/>
            <w:vAlign w:val="center"/>
          </w:tcPr>
          <w:p>
            <w:pPr>
              <w:pStyle w:val="12385"/>
              <w:pBdr/>
              <w:spacing/>
              <w:ind/>
              <w:rPr>
                <w:rFonts w:cs="Times New Roman"/>
                <w:b/>
              </w:rPr>
            </w:pPr>
            <w:r>
              <w:rPr>
                <w:rFonts w:cs="Times New Roman"/>
                <w:sz w:val="18"/>
                <w:szCs w:val="18"/>
              </w:rPr>
              <w:t xml:space="preserve">*ПСД</w:t>
            </w:r>
            <w:bookmarkStart w:id="1130" w:name="_Hlk198845417"/>
            <w:r/>
            <w:bookmarkEnd w:id="1130"/>
            <w:r/>
            <w:r>
              <w:rPr>
                <w:rFonts w:cs="Times New Roman"/>
                <w:b/>
              </w:rPr>
            </w:r>
          </w:p>
        </w:tc>
      </w:tr>
    </w:tbl>
    <w:p>
      <w:pPr>
        <w:pStyle w:val="10533"/>
        <w:pBdr/>
        <w:spacing w:line="360" w:lineRule="auto"/>
        <w:ind w:firstLine="709"/>
        <w:jc w:val="both"/>
        <w:rPr>
          <w:rFonts w:eastAsia="Calibri"/>
          <w:bCs/>
          <w:iCs/>
          <w:color w:val="0a0a0c"/>
          <w:sz w:val="18"/>
          <w:szCs w:val="18"/>
          <w:lang w:eastAsia="en-US"/>
        </w:rPr>
      </w:pPr>
      <w:r>
        <w:rPr>
          <w:rFonts w:eastAsia="Calibri"/>
          <w:bCs/>
          <w:iCs/>
          <w:color w:val="0a0a0c"/>
          <w:sz w:val="18"/>
          <w:szCs w:val="18"/>
          <w:lang w:eastAsia="en-US"/>
        </w:rPr>
        <w:t xml:space="preserve">*Все мероприятия предложены посредством предварительного анализа. Окончательные мероприятия и цены будут выявлены на этапе проектирования.</w:t>
      </w:r>
      <w:r>
        <w:rPr>
          <w:rFonts w:eastAsia="Calibri"/>
          <w:bCs/>
          <w:iCs/>
          <w:color w:val="0a0a0c"/>
          <w:sz w:val="18"/>
          <w:szCs w:val="18"/>
          <w:lang w:eastAsia="en-US"/>
        </w:rPr>
      </w:r>
    </w:p>
    <w:p>
      <w:pPr>
        <w:pStyle w:val="10533"/>
        <w:pBdr/>
        <w:spacing w:line="360" w:lineRule="auto"/>
        <w:ind w:firstLine="709"/>
        <w:jc w:val="both"/>
        <w:rPr>
          <w:rFonts w:eastAsia="Calibri"/>
          <w:bCs/>
          <w:iCs/>
          <w:color w:val="0a0a0c"/>
          <w:sz w:val="18"/>
          <w:szCs w:val="18"/>
          <w:lang w:eastAsia="en-US"/>
        </w:rPr>
      </w:pPr>
      <w:r>
        <w:rPr>
          <w:rFonts w:eastAsia="Calibri"/>
          <w:bCs/>
          <w:iCs/>
          <w:color w:val="0a0a0c"/>
          <w:sz w:val="18"/>
          <w:szCs w:val="18"/>
          <w:lang w:eastAsia="en-US"/>
        </w:rPr>
        <w:t xml:space="preserve">*ПСД – стоимость мероприятий будет выявлена после разработки проектно-сметной документации</w:t>
      </w:r>
      <w:r>
        <w:rPr>
          <w:rFonts w:eastAsia="Calibri"/>
          <w:bCs/>
          <w:iCs/>
          <w:color w:val="0a0a0c"/>
          <w:sz w:val="18"/>
          <w:szCs w:val="18"/>
          <w:lang w:eastAsia="en-US"/>
        </w:rPr>
      </w:r>
    </w:p>
    <w:p>
      <w:pPr>
        <w:pStyle w:val="10533"/>
        <w:pBdr/>
        <w:spacing w:line="360" w:lineRule="auto"/>
        <w:ind w:firstLine="709"/>
        <w:jc w:val="both"/>
        <w:rPr>
          <w:rFonts w:eastAsia="Calibri"/>
          <w:b/>
          <w:bCs/>
          <w:iCs/>
          <w:color w:val="0a0a0c"/>
          <w:lang w:eastAsia="en-US"/>
        </w:rPr>
      </w:pPr>
      <w:r>
        <w:rPr>
          <w:rFonts w:eastAsia="Calibri"/>
          <w:b/>
          <w:bCs/>
          <w:iCs/>
          <w:color w:val="0a0a0c"/>
          <w:lang w:eastAsia="en-US"/>
        </w:rPr>
        <w:t xml:space="preserve">Таблица 12.1.2 – Расчет капитальных вложений на строительство, реконструкцию и модернизацию источников тепловой энергии и тепловых сетей, тыс. руб. (Вариант 2).</w:t>
      </w:r>
      <w:r>
        <w:rPr>
          <w:rFonts w:eastAsia="Calibri"/>
          <w:b/>
          <w:bCs/>
          <w:iCs/>
          <w:color w:val="0a0a0c"/>
          <w:lang w:eastAsia="en-US"/>
        </w:rPr>
      </w:r>
    </w:p>
    <w:tbl>
      <w:tblPr>
        <w:tblInd w:w="0" w:type="dxa"/>
        <w:tblW w:w="14278" w:type="dxa"/>
        <w:tblCellMar>
          <w:left w:w="108" w:type="dxa"/>
          <w:top w:w="0" w:type="dxa"/>
          <w:right w:w="108" w:type="dxa"/>
          <w:bottom w:w="0" w:type="dxa"/>
        </w:tblCellMar>
        <w:tblBorders/>
        <w:tblLayout w:type="fixed"/>
        <w:tblLook w:val="04A0" w:firstRow="1" w:lastRow="0" w:firstColumn="1" w:lastColumn="0" w:noHBand="0" w:noVBand="1"/>
      </w:tblPr>
      <w:tblGrid>
        <w:gridCol w:w="3853"/>
        <w:gridCol w:w="1167"/>
        <w:gridCol w:w="1042"/>
        <w:gridCol w:w="1136"/>
        <w:gridCol w:w="1138"/>
        <w:gridCol w:w="671"/>
        <w:gridCol w:w="617"/>
        <w:gridCol w:w="616"/>
        <w:gridCol w:w="616"/>
        <w:gridCol w:w="934"/>
        <w:gridCol w:w="1197"/>
        <w:gridCol w:w="1290"/>
      </w:tblGrid>
      <w:tr>
        <w:trPr>
          <w:tblHeader/>
        </w:trPr>
        <w:tc>
          <w:tcPr>
            <w:shd w:val="clear" w:color="000000" w:fill="d9d9d9"/>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rPr>
            </w:pPr>
            <w:r>
              <w:rPr>
                <w:rFonts w:cs="Times New Roman"/>
              </w:rPr>
              <w:t xml:space="preserve">Наименование мероприятия</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67" w:type="dxa"/>
            <w:vAlign w:val="center"/>
          </w:tcPr>
          <w:p>
            <w:pPr>
              <w:pStyle w:val="12385"/>
              <w:pBdr/>
              <w:spacing/>
              <w:ind/>
              <w:rPr>
                <w:rFonts w:cs="Times New Roman"/>
              </w:rPr>
            </w:pPr>
            <w:r>
              <w:rPr>
                <w:rFonts w:cs="Times New Roman"/>
              </w:rPr>
              <w:t xml:space="preserve">Итого</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042" w:type="dxa"/>
            <w:vAlign w:val="center"/>
          </w:tcPr>
          <w:p>
            <w:pPr>
              <w:pStyle w:val="12385"/>
              <w:pBdr/>
              <w:spacing/>
              <w:ind/>
              <w:rPr>
                <w:rFonts w:cs="Times New Roman"/>
              </w:rPr>
            </w:pPr>
            <w:r>
              <w:rPr>
                <w:rFonts w:cs="Times New Roman"/>
              </w:rPr>
              <w:t xml:space="preserve">2026</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36" w:type="dxa"/>
            <w:vAlign w:val="center"/>
          </w:tcPr>
          <w:p>
            <w:pPr>
              <w:pStyle w:val="12385"/>
              <w:pBdr/>
              <w:spacing/>
              <w:ind/>
              <w:rPr>
                <w:rFonts w:cs="Times New Roman"/>
              </w:rPr>
            </w:pPr>
            <w:r>
              <w:rPr>
                <w:rFonts w:cs="Times New Roman"/>
              </w:rPr>
              <w:t xml:space="preserve">2027</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38" w:type="dxa"/>
            <w:vAlign w:val="center"/>
          </w:tcPr>
          <w:p>
            <w:pPr>
              <w:pStyle w:val="12385"/>
              <w:pBdr/>
              <w:spacing/>
              <w:ind/>
              <w:rPr>
                <w:rFonts w:cs="Times New Roman"/>
              </w:rPr>
            </w:pPr>
            <w:r>
              <w:rPr>
                <w:rFonts w:cs="Times New Roman"/>
              </w:rPr>
              <w:t xml:space="preserve">2028</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671" w:type="dxa"/>
            <w:vAlign w:val="center"/>
          </w:tcPr>
          <w:p>
            <w:pPr>
              <w:pStyle w:val="12385"/>
              <w:pBdr/>
              <w:spacing/>
              <w:ind/>
              <w:rPr>
                <w:rFonts w:cs="Times New Roman"/>
              </w:rPr>
            </w:pPr>
            <w:r>
              <w:rPr>
                <w:rFonts w:cs="Times New Roman"/>
              </w:rPr>
              <w:t xml:space="preserve">2029</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rPr>
            </w:pPr>
            <w:r>
              <w:rPr>
                <w:rFonts w:cs="Times New Roman"/>
              </w:rPr>
              <w:t xml:space="preserve">2030</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t xml:space="preserve">2031</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t xml:space="preserve">2032</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934" w:type="dxa"/>
            <w:vAlign w:val="center"/>
          </w:tcPr>
          <w:p>
            <w:pPr>
              <w:pStyle w:val="12385"/>
              <w:pBdr/>
              <w:spacing/>
              <w:ind/>
              <w:rPr>
                <w:rFonts w:cs="Times New Roman"/>
              </w:rPr>
            </w:pPr>
            <w:r>
              <w:rPr>
                <w:rFonts w:cs="Times New Roman"/>
              </w:rPr>
              <w:t xml:space="preserve">2033</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197" w:type="dxa"/>
            <w:vAlign w:val="center"/>
          </w:tcPr>
          <w:p>
            <w:pPr>
              <w:pStyle w:val="12385"/>
              <w:pBdr/>
              <w:spacing/>
              <w:ind/>
              <w:rPr>
                <w:rFonts w:cs="Times New Roman"/>
              </w:rPr>
            </w:pPr>
            <w:r>
              <w:rPr>
                <w:rFonts w:cs="Times New Roman"/>
              </w:rPr>
              <w:t xml:space="preserve">2034</w:t>
            </w:r>
            <w:r>
              <w:rPr>
                <w:rFonts w:cs="Times New Roman"/>
              </w:rPr>
            </w:r>
          </w:p>
        </w:tc>
        <w:tc>
          <w:tcPr>
            <w:shd w:val="clear" w:color="000000" w:fill="d9d9d9"/>
            <w:tcBorders>
              <w:top w:val="single" w:color="000000" w:sz="4" w:space="0"/>
              <w:left w:val="single" w:color="000000" w:sz="4" w:space="0"/>
              <w:bottom w:val="single" w:color="000000" w:sz="4" w:space="0"/>
              <w:right w:val="single" w:color="000000" w:sz="4" w:space="0"/>
            </w:tcBorders>
            <w:tcW w:w="1290" w:type="dxa"/>
            <w:vAlign w:val="center"/>
          </w:tcPr>
          <w:p>
            <w:pPr>
              <w:pStyle w:val="12385"/>
              <w:pBdr/>
              <w:spacing/>
              <w:ind/>
              <w:rPr>
                <w:rFonts w:cs="Times New Roman"/>
              </w:rPr>
            </w:pPr>
            <w:r>
              <w:rPr>
                <w:rFonts w:cs="Times New Roman"/>
              </w:rPr>
              <w:t xml:space="preserve">2035-2038</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color w:val="0a0a0c"/>
              </w:rPr>
            </w:pPr>
            <w:r/>
            <w:bookmarkStart w:id="1131" w:name="RANGE!D170"/>
            <w:r>
              <w:rPr>
                <w:rFonts w:cs="Times New Roman"/>
                <w:color w:val="0a0a0c"/>
              </w:rPr>
              <w:t xml:space="preserve">Техническое обследование сооружений и сетей теплоснабжения;</w:t>
            </w:r>
            <w:bookmarkEnd w:id="1131"/>
            <w:r/>
            <w:r>
              <w:rPr>
                <w:rFonts w:cs="Times New Roman"/>
                <w:color w:val="0a0a0c"/>
              </w:rPr>
            </w:r>
          </w:p>
        </w:tc>
        <w:tc>
          <w:tcPr>
            <w:tcBorders>
              <w:top w:val="single" w:color="000000" w:sz="4" w:space="0"/>
              <w:left w:val="single" w:color="000000" w:sz="4" w:space="0"/>
              <w:bottom w:val="single" w:color="000000" w:sz="4" w:space="0"/>
              <w:right w:val="single" w:color="000000" w:sz="4" w:space="0"/>
            </w:tcBorders>
            <w:tcW w:w="1167" w:type="dxa"/>
            <w:vAlign w:val="center"/>
          </w:tcPr>
          <w:p>
            <w:pPr>
              <w:pStyle w:val="12385"/>
              <w:pBdr/>
              <w:spacing/>
              <w:ind/>
              <w:rPr>
                <w:rFonts w:cs="Times New Roman"/>
              </w:rPr>
            </w:pPr>
            <w:r>
              <w:rPr>
                <w:rFonts w:cs="Times New Roman"/>
              </w:rPr>
              <w:t xml:space="preserve">800</w:t>
            </w:r>
            <w:r>
              <w:rPr>
                <w:rFonts w:cs="Times New Roman"/>
              </w:rPr>
            </w:r>
          </w:p>
        </w:tc>
        <w:tc>
          <w:tcPr>
            <w:tcBorders>
              <w:top w:val="single" w:color="000000" w:sz="4" w:space="0"/>
              <w:left w:val="single" w:color="000000" w:sz="4" w:space="0"/>
              <w:bottom w:val="single" w:color="000000" w:sz="4" w:space="0"/>
              <w:right w:val="single" w:color="000000" w:sz="4" w:space="0"/>
            </w:tcBorders>
            <w:tcW w:w="1042"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136" w:type="dxa"/>
            <w:vAlign w:val="center"/>
          </w:tcPr>
          <w:p>
            <w:pPr>
              <w:pStyle w:val="12385"/>
              <w:pBdr/>
              <w:spacing/>
              <w:ind/>
              <w:rPr>
                <w:rFonts w:cs="Times New Roman"/>
              </w:rPr>
            </w:pPr>
            <w:r>
              <w:rPr>
                <w:rFonts w:cs="Times New Roman"/>
              </w:rPr>
              <w:t xml:space="preserve">800</w:t>
            </w:r>
            <w:r>
              <w:rPr>
                <w:rFonts w:cs="Times New Roman"/>
              </w:rPr>
            </w:r>
          </w:p>
        </w:tc>
        <w:tc>
          <w:tcPr>
            <w:tcBorders>
              <w:top w:val="single" w:color="000000" w:sz="4" w:space="0"/>
              <w:left w:val="single" w:color="000000" w:sz="4" w:space="0"/>
              <w:bottom w:val="single" w:color="000000" w:sz="4" w:space="0"/>
              <w:right w:val="single" w:color="000000" w:sz="4" w:space="0"/>
            </w:tcBorders>
            <w:tcW w:w="1138"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71"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934"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197"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290" w:type="dxa"/>
            <w:vAlign w:val="center"/>
          </w:tcPr>
          <w:p>
            <w:pPr>
              <w:pStyle w:val="12385"/>
              <w:pBdr/>
              <w:spacing/>
              <w:ind/>
              <w:rPr>
                <w:rFonts w:cs="Times New Roman"/>
              </w:rPr>
            </w:pPr>
            <w:r>
              <w:rPr>
                <w:rFonts w:cs="Times New Roman"/>
              </w:rPr>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rPr>
            </w:pPr>
            <w:r>
              <w:rPr>
                <w:rFonts w:cs="Times New Roman"/>
              </w:rPr>
              <w:t xml:space="preserve">Установка водоподготовительных установок;</w:t>
            </w:r>
            <w:r>
              <w:rPr>
                <w:rFonts w:cs="Times New Roman"/>
              </w:rPr>
            </w:r>
          </w:p>
        </w:tc>
        <w:tc>
          <w:tcPr>
            <w:tcBorders>
              <w:top w:val="single" w:color="000000" w:sz="4" w:space="0"/>
              <w:left w:val="single" w:color="000000" w:sz="4" w:space="0"/>
              <w:bottom w:val="single" w:color="000000" w:sz="4" w:space="0"/>
              <w:right w:val="single" w:color="000000" w:sz="4" w:space="0"/>
            </w:tcBorders>
            <w:tcW w:w="1167" w:type="dxa"/>
            <w:vAlign w:val="center"/>
          </w:tcPr>
          <w:p>
            <w:pPr>
              <w:pStyle w:val="12385"/>
              <w:pBdr/>
              <w:spacing/>
              <w:ind/>
              <w:rPr>
                <w:rFonts w:cs="Times New Roman"/>
              </w:rPr>
            </w:pPr>
            <w:r>
              <w:rPr>
                <w:rFonts w:cs="Times New Roman"/>
              </w:rPr>
              <w:t xml:space="preserve">1800</w:t>
            </w:r>
            <w:r>
              <w:rPr>
                <w:rFonts w:cs="Times New Roman"/>
              </w:rPr>
            </w:r>
          </w:p>
        </w:tc>
        <w:tc>
          <w:tcPr>
            <w:tcBorders>
              <w:top w:val="single" w:color="000000" w:sz="4" w:space="0"/>
              <w:left w:val="single" w:color="000000" w:sz="4" w:space="0"/>
              <w:bottom w:val="single" w:color="000000" w:sz="4" w:space="0"/>
              <w:right w:val="single" w:color="000000" w:sz="4" w:space="0"/>
            </w:tcBorders>
            <w:tcW w:w="1042"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136" w:type="dxa"/>
            <w:vAlign w:val="center"/>
          </w:tcPr>
          <w:p>
            <w:pPr>
              <w:pStyle w:val="12385"/>
              <w:pBdr/>
              <w:spacing/>
              <w:ind/>
              <w:rPr>
                <w:rFonts w:cs="Times New Roman"/>
              </w:rPr>
            </w:pPr>
            <w:r>
              <w:rPr>
                <w:rFonts w:cs="Times New Roman"/>
              </w:rPr>
              <w:t xml:space="preserve">1800</w:t>
            </w:r>
            <w:r>
              <w:rPr>
                <w:rFonts w:cs="Times New Roman"/>
              </w:rPr>
            </w:r>
          </w:p>
        </w:tc>
        <w:tc>
          <w:tcPr>
            <w:tcBorders>
              <w:top w:val="single" w:color="000000" w:sz="4" w:space="0"/>
              <w:left w:val="single" w:color="000000" w:sz="4" w:space="0"/>
              <w:bottom w:val="single" w:color="000000" w:sz="4" w:space="0"/>
              <w:right w:val="single" w:color="000000" w:sz="4" w:space="0"/>
            </w:tcBorders>
            <w:tcW w:w="1138"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71"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934"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197"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290" w:type="dxa"/>
            <w:vAlign w:val="center"/>
          </w:tcPr>
          <w:p>
            <w:pPr>
              <w:pStyle w:val="12385"/>
              <w:pBdr/>
              <w:spacing/>
              <w:ind/>
              <w:rPr>
                <w:rFonts w:cs="Times New Roman"/>
              </w:rPr>
            </w:pPr>
            <w:r>
              <w:rPr>
                <w:rFonts w:cs="Times New Roman"/>
              </w:rPr>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3853" w:type="dxa"/>
            <w:vAlign w:val="center"/>
          </w:tcPr>
          <w:p>
            <w:pPr>
              <w:pStyle w:val="12385"/>
              <w:pBdr/>
              <w:spacing/>
              <w:ind/>
              <w:rPr>
                <w:rFonts w:cs="Times New Roman"/>
              </w:rPr>
            </w:pPr>
            <w:r>
              <w:rPr>
                <w:rFonts w:cs="Times New Roman"/>
              </w:rPr>
              <w:t xml:space="preserve">Установка дизель-генераторных установок</w:t>
            </w:r>
            <w:r>
              <w:rPr>
                <w:rFonts w:cs="Times New Roman"/>
              </w:rPr>
            </w:r>
          </w:p>
        </w:tc>
        <w:tc>
          <w:tcPr>
            <w:tcBorders>
              <w:top w:val="single" w:color="000000" w:sz="4" w:space="0"/>
              <w:left w:val="single" w:color="000000" w:sz="4" w:space="0"/>
              <w:bottom w:val="single" w:color="000000" w:sz="4" w:space="0"/>
              <w:right w:val="single" w:color="000000" w:sz="4" w:space="0"/>
            </w:tcBorders>
            <w:tcW w:w="1167" w:type="dxa"/>
            <w:vAlign w:val="center"/>
          </w:tcPr>
          <w:p>
            <w:pPr>
              <w:pStyle w:val="12385"/>
              <w:pBdr/>
              <w:spacing/>
              <w:ind/>
              <w:rPr>
                <w:rFonts w:cs="Times New Roman"/>
              </w:rPr>
            </w:pPr>
            <w:r>
              <w:rPr>
                <w:rFonts w:cs="Times New Roman"/>
              </w:rPr>
              <w:t xml:space="preserve">2200</w:t>
            </w:r>
            <w:r>
              <w:rPr>
                <w:rFonts w:cs="Times New Roman"/>
              </w:rPr>
            </w:r>
          </w:p>
        </w:tc>
        <w:tc>
          <w:tcPr>
            <w:tcBorders>
              <w:top w:val="single" w:color="000000" w:sz="4" w:space="0"/>
              <w:left w:val="single" w:color="000000" w:sz="4" w:space="0"/>
              <w:bottom w:val="single" w:color="000000" w:sz="4" w:space="0"/>
              <w:right w:val="single" w:color="000000" w:sz="4" w:space="0"/>
            </w:tcBorders>
            <w:tcW w:w="1042"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136" w:type="dxa"/>
            <w:vAlign w:val="center"/>
          </w:tcPr>
          <w:p>
            <w:pPr>
              <w:pStyle w:val="12385"/>
              <w:pBdr/>
              <w:spacing/>
              <w:ind/>
              <w:rPr>
                <w:rFonts w:cs="Times New Roman"/>
              </w:rPr>
            </w:pPr>
            <w:r>
              <w:rPr>
                <w:rFonts w:cs="Times New Roman"/>
              </w:rPr>
              <w:t xml:space="preserve">2200</w:t>
            </w:r>
            <w:r>
              <w:rPr>
                <w:rFonts w:cs="Times New Roman"/>
              </w:rPr>
            </w:r>
          </w:p>
        </w:tc>
        <w:tc>
          <w:tcPr>
            <w:tcBorders>
              <w:top w:val="single" w:color="000000" w:sz="4" w:space="0"/>
              <w:left w:val="single" w:color="000000" w:sz="4" w:space="0"/>
              <w:bottom w:val="single" w:color="000000" w:sz="4" w:space="0"/>
              <w:right w:val="single" w:color="000000" w:sz="4" w:space="0"/>
            </w:tcBorders>
            <w:tcW w:w="1138"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71"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7"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616"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934"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197" w:type="dxa"/>
            <w:vAlign w:val="center"/>
          </w:tcPr>
          <w:p>
            <w:pPr>
              <w:pStyle w:val="12385"/>
              <w:pBdr/>
              <w:spacing/>
              <w:ind/>
              <w:rPr>
                <w:rFonts w:cs="Times New Roman"/>
              </w:rPr>
            </w:pPr>
            <w:r>
              <w:rPr>
                <w:rFonts w:cs="Times New Roman"/>
              </w:rPr>
            </w:r>
            <w:r>
              <w:rPr>
                <w:rFonts w:cs="Times New Roman"/>
              </w:rPr>
            </w:r>
          </w:p>
        </w:tc>
        <w:tc>
          <w:tcPr>
            <w:tcBorders>
              <w:top w:val="single" w:color="000000" w:sz="4" w:space="0"/>
              <w:left w:val="single" w:color="000000" w:sz="4" w:space="0"/>
              <w:bottom w:val="single" w:color="000000" w:sz="4" w:space="0"/>
              <w:right w:val="single" w:color="000000" w:sz="4" w:space="0"/>
            </w:tcBorders>
            <w:tcW w:w="1290" w:type="dxa"/>
            <w:vAlign w:val="center"/>
          </w:tcPr>
          <w:p>
            <w:pPr>
              <w:pStyle w:val="12385"/>
              <w:pBdr/>
              <w:spacing/>
              <w:ind/>
              <w:rPr>
                <w:rFonts w:cs="Times New Roman"/>
              </w:rPr>
            </w:pPr>
            <w:r>
              <w:rPr>
                <w:rFonts w:cs="Times New Roman"/>
              </w:rPr>
            </w:r>
            <w:r/>
            <w:r/>
            <w:bookmarkStart w:id="1134" w:name="_Hlk223556275"/>
            <w:r/>
            <w:bookmarkStart w:id="1135" w:name="_Hlk215473861"/>
            <w:r/>
            <w:bookmarkEnd w:id="1134"/>
            <w:r/>
            <w:bookmarkEnd w:id="1135"/>
            <w:r/>
            <w:r>
              <w:rPr>
                <w:rFonts w:cs="Times New Roman"/>
              </w:rPr>
            </w:r>
          </w:p>
        </w:tc>
      </w:tr>
    </w:tbl>
    <w:p>
      <w:pPr>
        <w:pStyle w:val="10533"/>
        <w:pBdr/>
        <w:spacing w:line="360" w:lineRule="auto"/>
        <w:ind w:firstLine="709"/>
        <w:jc w:val="both"/>
        <w:rPr>
          <w:rFonts w:eastAsia="Calibri"/>
          <w:bCs/>
          <w:iCs/>
          <w:color w:val="0a0a0c"/>
          <w:sz w:val="18"/>
          <w:szCs w:val="18"/>
          <w:lang w:eastAsia="en-US"/>
        </w:rPr>
      </w:pPr>
      <w:r>
        <w:rPr>
          <w:rFonts w:eastAsia="Calibri"/>
          <w:bCs/>
          <w:iCs/>
          <w:color w:val="0a0a0c"/>
          <w:sz w:val="18"/>
          <w:szCs w:val="18"/>
          <w:lang w:eastAsia="en-US"/>
        </w:rPr>
        <w:t xml:space="preserve">*Мероприятия предложены посредством предварительного анализа. Окончательные мероприятия и цены будут выявлены на этапе проектирования.</w:t>
      </w:r>
      <w:r>
        <w:rPr>
          <w:rFonts w:eastAsia="Calibri"/>
          <w:bCs/>
          <w:iCs/>
          <w:color w:val="0a0a0c"/>
          <w:sz w:val="18"/>
          <w:szCs w:val="18"/>
          <w:lang w:eastAsia="en-US"/>
        </w:rPr>
      </w:r>
    </w:p>
    <w:p>
      <w:pPr>
        <w:pStyle w:val="10533"/>
        <w:pBdr/>
        <w:spacing w:line="360" w:lineRule="auto"/>
        <w:ind/>
        <w:jc w:val="both"/>
        <w:rPr>
          <w:rFonts w:eastAsia="Calibri"/>
          <w:bCs/>
          <w:iCs/>
          <w:color w:val="0a0a0c"/>
          <w:sz w:val="18"/>
          <w:szCs w:val="18"/>
          <w:lang w:eastAsia="en-US"/>
        </w:rPr>
      </w:pPr>
      <w:r/>
      <w:bookmarkStart w:id="1136" w:name="_Hlk205435502"/>
      <w:r/>
      <w:bookmarkStart w:id="1137" w:name="_Hlk216659983"/>
      <w:r>
        <w:rPr>
          <w:rFonts w:eastAsia="Calibri"/>
          <w:bCs/>
          <w:iCs/>
          <w:color w:val="0a0a0c"/>
          <w:sz w:val="18"/>
          <w:szCs w:val="18"/>
          <w:lang w:eastAsia="en-US"/>
        </w:rPr>
        <w:t xml:space="preserve">*ПСД – стоимость мероприятий будет выявлена после разработки проектно-сметной документации</w:t>
      </w:r>
      <w:bookmarkEnd w:id="1136"/>
      <w:r/>
      <w:bookmarkEnd w:id="1137"/>
      <w:r/>
      <w:r>
        <w:rPr>
          <w:rFonts w:eastAsia="Calibri"/>
          <w:bCs/>
          <w:iCs/>
          <w:color w:val="0a0a0c"/>
          <w:sz w:val="18"/>
          <w:szCs w:val="18"/>
          <w:lang w:eastAsia="en-US"/>
        </w:rPr>
      </w:r>
    </w:p>
    <w:p>
      <w:pPr>
        <w:pStyle w:val="10533"/>
        <w:pBdr/>
        <w:spacing/>
        <w:ind/>
        <w:rPr/>
        <w:sectPr>
          <w:headerReference w:type="default" r:id="rId204"/>
          <w:headerReference w:type="first" r:id="rId205"/>
          <w:footerReference w:type="default" r:id="rId472"/>
          <w:footerReference w:type="first" r:id="rId473"/>
          <w:footnotePr/>
          <w:endnotePr/>
          <w:type w:val="nextPage"/>
          <w:pgSz w:h="11906" w:orient="landscape" w:w="16838"/>
          <w:pgMar w:top="1134" w:right="850" w:bottom="1134" w:left="1701" w:header="709" w:footer="709" w:gutter="0"/>
          <w:cols w:num="1" w:sep="0" w:space="1701" w:equalWidth="1"/>
        </w:sectPr>
      </w:pPr>
      <w:r/>
      <w:r/>
    </w:p>
    <w:p>
      <w:pPr>
        <w:pStyle w:val="10534"/>
        <w:numPr>
          <w:ilvl w:val="0"/>
          <w:numId w:val="181"/>
        </w:numPr>
        <w:pBdr/>
        <w:spacing/>
        <w:ind w:hanging="357" w:left="1066"/>
        <w:rPr>
          <w:spacing w:val="0"/>
        </w:rPr>
      </w:pPr>
      <w:r/>
      <w:bookmarkStart w:id="1138" w:name="_Hlk182506752"/>
      <w:r/>
      <w:bookmarkStart w:id="1139" w:name="_Toc198483660"/>
      <w:r/>
      <w:bookmarkStart w:id="1140" w:name="_Toc166767305"/>
      <w:r/>
      <w:bookmarkStart w:id="1141" w:name="_Toc84971076"/>
      <w:r/>
      <w:bookmarkStart w:id="1142" w:name="_Toc9154930"/>
      <w:r/>
      <w:bookmarkEnd w:id="1138"/>
      <w:r>
        <w:rPr>
          <w:spacing w:val="0"/>
        </w:rPr>
        <w:t xml:space="preserve">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139"/>
      <w:r/>
      <w:bookmarkEnd w:id="1140"/>
      <w:r/>
      <w:bookmarkEnd w:id="1141"/>
      <w:r/>
      <w:bookmarkEnd w:id="1142"/>
      <w:r/>
      <w:r>
        <w:rPr>
          <w:spacing w:val="0"/>
        </w:rPr>
      </w:r>
    </w:p>
    <w:p>
      <w:pPr>
        <w:pStyle w:val="12960"/>
        <w:pBdr/>
        <w:spacing/>
        <w:ind/>
        <w:rPr/>
      </w:pPr>
      <w:r>
        <w:t xml:space="preserve">Основными внутренними источниками финансирования любого коммерческого предприятия являются чистая прибыль, амортизационные отчисления, реализация или сдача в аренду неиспользуемых активов и др.</w:t>
      </w:r>
      <w:r/>
    </w:p>
    <w:p>
      <w:pPr>
        <w:pStyle w:val="12960"/>
        <w:pBdr/>
        <w:spacing/>
        <w:ind/>
        <w:rPr/>
      </w:pPr>
      <w:r>
        <w:t xml:space="preserve">Чистая прибыль. В современных условиях предприятия самостоятельно распределяют прибыль, остающуюся в их распоряжении. </w:t>
      </w:r>
      <w:r>
        <w:t xml:space="preserve">Рациональное использование прибыли предполагает учет таких факторов, как планы дальнейшего развития предприятия, а также соблюдение интересов собственников, инвесторов и работников. В общем случае, чем больше прибыли направляется на расширение хозяйственно</w:t>
      </w:r>
      <w:r>
        <w:t xml:space="preserve">й деятельности, тем меньше потребность в дополнительном финансировании. Величина нераспределенной прибыли зависит от рентабельности хозяйственных операций, а также от принятой на предприятии политики в отношении выплат собственникам (дивидендная политика).</w:t>
      </w:r>
      <w:r/>
    </w:p>
    <w:p>
      <w:pPr>
        <w:pStyle w:val="12960"/>
        <w:pBdr/>
        <w:spacing/>
        <w:ind/>
        <w:rPr/>
      </w:pPr>
      <w:r>
        <w:t xml:space="preserve">К достоинствам реинвестирования прибыли следует отнести:</w:t>
      </w:r>
      <w:r/>
    </w:p>
    <w:p>
      <w:pPr>
        <w:pStyle w:val="13832"/>
        <w:keepNext w:val="false"/>
        <w:widowControl w:val="true"/>
        <w:numPr>
          <w:ilvl w:val="0"/>
          <w:numId w:val="61"/>
        </w:numPr>
        <w:pBdr/>
        <w:bidi w:val="false"/>
        <w:spacing w:after="0" w:before="0" w:line="360" w:lineRule="auto"/>
        <w:ind w:right="0" w:firstLine="567" w:left="0"/>
        <w:jc w:val="both"/>
        <w:rPr/>
      </w:pPr>
      <w:r>
        <w:t xml:space="preserve">отсутствие расходов, связанных с привлечением капитала из внешних источников;</w:t>
      </w:r>
      <w:r/>
    </w:p>
    <w:p>
      <w:pPr>
        <w:pStyle w:val="13832"/>
        <w:numPr>
          <w:ilvl w:val="0"/>
          <w:numId w:val="61"/>
        </w:numPr>
        <w:pBdr/>
        <w:spacing/>
        <w:ind w:hanging="284" w:left="1135"/>
        <w:rPr/>
      </w:pPr>
      <w:r>
        <w:t xml:space="preserve">сохранение контроля за деятельностью предприятия со стороны собственников;</w:t>
      </w:r>
      <w:r/>
    </w:p>
    <w:p>
      <w:pPr>
        <w:pStyle w:val="13832"/>
        <w:keepNext w:val="false"/>
        <w:widowControl w:val="true"/>
        <w:numPr>
          <w:ilvl w:val="0"/>
          <w:numId w:val="61"/>
        </w:numPr>
        <w:pBdr/>
        <w:bidi w:val="false"/>
        <w:spacing w:after="0" w:before="0" w:line="360" w:lineRule="auto"/>
        <w:ind w:right="0" w:firstLine="567" w:left="0"/>
        <w:jc w:val="both"/>
        <w:rPr/>
      </w:pPr>
      <w:r>
        <w:t xml:space="preserve">повышение финансовой устойчивости и более благоприятные возможности для привлечения средств из внешних источников.</w:t>
      </w:r>
      <w:r/>
    </w:p>
    <w:p>
      <w:pPr>
        <w:pStyle w:val="12960"/>
        <w:pBdr/>
        <w:spacing/>
        <w:ind/>
        <w:rPr/>
      </w:pPr>
      <w:r>
        <w:t xml:space="preserve">В свою очередь, недостатками использования данного источника</w:t>
      </w:r>
      <w:r>
        <w:t xml:space="preserve"> являются его ограниченная и изменяющаяся величина, сложность прогнозирования, а также зависимость от внешних, не поддающихся контролю со стороны менеджмента факторов (например, конъюнктура рынка, фаза экономического цикла, изменение спроса и цен и т. п.).</w:t>
      </w:r>
      <w:r/>
    </w:p>
    <w:p>
      <w:pPr>
        <w:pStyle w:val="12960"/>
        <w:pBdr/>
        <w:spacing/>
        <w:ind/>
        <w:rPr/>
      </w:pPr>
      <w:r>
        <w:t xml:space="preserve">Амортизационные отчисления. Еще одним важнейшим источником самофинансирования предприятий служат амортизационные отчисления.</w:t>
      </w:r>
      <w:r/>
    </w:p>
    <w:p>
      <w:pPr>
        <w:pStyle w:val="12960"/>
        <w:pBdr/>
        <w:spacing/>
        <w:ind/>
        <w:rPr/>
      </w:pPr>
      <w:r>
        <w:t xml:space="preserve">Они относятся на затраты предприятия, отражая износ основных и нематериальных активов, и поступают в составе денежных средств за реализованные продукты и услуги. Их основное назначение - обеспечивать не только простое, но и расширенное воспроизводство.</w:t>
      </w:r>
      <w:r/>
    </w:p>
    <w:p>
      <w:pPr>
        <w:pStyle w:val="12960"/>
        <w:pBdr/>
        <w:spacing/>
        <w:ind/>
        <w:rPr/>
      </w:pPr>
      <w:r>
        <w:t xml:space="preserve">Преимущество амортизационных отчислений как источника средств заключается в том, что он существует при любом финансовом положении предприятия и всегда остается в его распоряжении.</w:t>
      </w:r>
      <w:r/>
    </w:p>
    <w:p>
      <w:pPr>
        <w:pStyle w:val="12960"/>
        <w:pBdr/>
        <w:spacing/>
        <w:ind/>
        <w:rPr/>
      </w:pPr>
      <w:r>
        <w:t xml:space="preserve">Величина амортизации как источника финансирования инвестиций во многом зависит от способа ее начисления, как правило, определяемого и регулируемого государством.</w:t>
      </w:r>
      <w:r/>
    </w:p>
    <w:p>
      <w:pPr>
        <w:pStyle w:val="12960"/>
        <w:pBdr/>
        <w:spacing/>
        <w:ind/>
        <w:rPr/>
      </w:pPr>
      <w:r>
        <w:t xml:space="preserve">Выбранный способ начисления амортизации фиксируется в учетной политике предприятия и применяется в течение всего срока эксплуатации объекта основных средств.</w:t>
      </w:r>
      <w:r/>
    </w:p>
    <w:p>
      <w:pPr>
        <w:pStyle w:val="12960"/>
        <w:pBdr/>
        <w:spacing/>
        <w:ind/>
        <w:rPr/>
      </w:pPr>
      <w:r>
        <w:t xml:space="preserve">Применение ускоренных способов (уменьшаемого остатка, суммы чисел лет и др.) позволяет увеличить амортизационные отчисления в начальные периоды эксплуатации объектов инвестиций, что при прочих равных условиях приводит к росту объемов самофинансирования.</w:t>
      </w:r>
      <w:r/>
    </w:p>
    <w:p>
      <w:pPr>
        <w:pStyle w:val="12960"/>
        <w:pBdr/>
        <w:spacing/>
        <w:ind/>
        <w:rPr/>
      </w:pPr>
      <w:r>
        <w:t xml:space="preserve">Для более эффективного использования амортизационных отчислений в качестве финансовых ресурсов предприятию необходимо проводи</w:t>
      </w:r>
      <w:r>
        <w:t xml:space="preserve">ть адекватную амортизационную политику. Она включает в себя политику воспроизводства основных активов, политику в области применения тех или иных методов расчета амортизационных отчислений, выбор приоритетных направлений их использования и другие элементы.</w:t>
      </w:r>
      <w:r/>
    </w:p>
    <w:p>
      <w:pPr>
        <w:pStyle w:val="12960"/>
        <w:pBdr/>
        <w:spacing/>
        <w:ind/>
        <w:rPr/>
      </w:pPr>
      <w:r>
        <w:t xml:space="preserve">Несмотря на преимущества внутренних источников финансирования, их объемы, как правило, недостаточны для расширения масштабов хозяйственной деятельности, реализации инвестиционных проектов, внедрения новых технологий и т. д.</w:t>
      </w:r>
      <w:r/>
    </w:p>
    <w:p>
      <w:pPr>
        <w:pStyle w:val="12960"/>
        <w:pBdr/>
        <w:spacing/>
        <w:ind/>
        <w:rPr/>
      </w:pPr>
      <w:r>
        <w:t xml:space="preserve">Кредитное финансирование используется, как правило, в процессе реализации краткосрочных </w:t>
      </w:r>
      <w:r>
        <w:t xml:space="preserve">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r/>
    </w:p>
    <w:p>
      <w:pPr>
        <w:pStyle w:val="12960"/>
        <w:pBdr/>
        <w:spacing/>
        <w:ind/>
        <w:rPr/>
      </w:pPr>
      <w:r>
        <w:t xml:space="preserve">Основным показателем, характеризующим рентабельность использования заемного капитала, является эффект финансового рычага.</w:t>
      </w:r>
      <w:r/>
    </w:p>
    <w:p>
      <w:pPr>
        <w:pStyle w:val="12960"/>
        <w:pBdr/>
        <w:spacing/>
        <w:ind/>
        <w:rPr/>
      </w:pPr>
      <w:r>
        <w:t xml:space="preserve">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r/>
    </w:p>
    <w:p>
      <w:pPr>
        <w:pStyle w:val="12960"/>
        <w:pBdr/>
        <w:spacing/>
        <w:ind/>
        <w:rPr/>
      </w:pPr>
      <w:r>
        <w:t xml:space="preserve">Положительный эффект финансового рычага базируется на том, что банковская ставка в</w:t>
      </w:r>
      <w:r>
        <w:t xml:space="preserve">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r/>
    </w:p>
    <w:p>
      <w:pPr>
        <w:pStyle w:val="12960"/>
        <w:pBdr/>
        <w:spacing/>
        <w:ind/>
        <w:rPr/>
      </w:pPr>
      <w:r>
        <w:t xml:space="preserve">Надбавка к цене (тарифу) для потребителей - ценовая ставка, которая учитывается при расчетах потребителей с организациями коммунального комплекса, устанавливается в целях финансирования инвести</w:t>
      </w:r>
      <w:r>
        <w:t xml:space="preserve">ционных программ организаций коммунального комплекса и общий размер которой соответствует сумме надбавок к тарифам на товары и услуги организаций коммунального комплекса, реализующих инвестиционные программы по развитию системы коммунальной инфраструктуры.</w:t>
      </w:r>
      <w:r/>
    </w:p>
    <w:p>
      <w:pPr>
        <w:pStyle w:val="12960"/>
        <w:pBdr/>
        <w:spacing/>
        <w:ind/>
        <w:rPr/>
      </w:pPr>
      <w:r/>
      <w:r/>
    </w:p>
    <w:p>
      <w:pPr>
        <w:pStyle w:val="12960"/>
        <w:pBdr/>
        <w:spacing/>
        <w:ind/>
        <w:rPr/>
        <w:sectPr>
          <w:headerReference w:type="default" r:id="rId206"/>
          <w:headerReference w:type="first" r:id="rId207"/>
          <w:footerReference w:type="default" r:id="rId474"/>
          <w:footerReference w:type="first" r:id="rId475"/>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82"/>
        </w:numPr>
        <w:pBdr/>
        <w:spacing/>
        <w:ind w:hanging="357" w:left="1066"/>
        <w:rPr>
          <w:spacing w:val="0"/>
        </w:rPr>
      </w:pPr>
      <w:r/>
      <w:bookmarkStart w:id="1143" w:name="_Toc198483661"/>
      <w:r/>
      <w:bookmarkStart w:id="1144" w:name="_Toc166767306"/>
      <w:r/>
      <w:bookmarkStart w:id="1145" w:name="_Toc84971077"/>
      <w:r/>
      <w:bookmarkStart w:id="1146" w:name="_Toc9154931"/>
      <w:r>
        <w:rPr>
          <w:spacing w:val="0"/>
        </w:rPr>
        <w:t xml:space="preserve">Расчеты экономической эффективности инвестиций</w:t>
      </w:r>
      <w:bookmarkEnd w:id="1143"/>
      <w:r/>
      <w:bookmarkEnd w:id="1144"/>
      <w:r/>
      <w:bookmarkEnd w:id="1145"/>
      <w:r/>
      <w:bookmarkEnd w:id="1146"/>
      <w:r/>
      <w:r>
        <w:rPr>
          <w:spacing w:val="0"/>
        </w:rPr>
      </w:r>
    </w:p>
    <w:p>
      <w:pPr>
        <w:pStyle w:val="12960"/>
        <w:pBdr/>
        <w:spacing/>
        <w:ind/>
        <w:rPr/>
      </w:pPr>
      <w:r>
        <w:t xml:space="preserve">Мероприятия по реконструкции тепловых сетей, техническому перевооружению источников теплово</w:t>
      </w:r>
      <w:r>
        <w:t xml:space="preserve">й энергии, в первую очередь, на обеспечение бесперебойного функционирования систем теплоснабжения и повышения их надежности. Экономический эффект от таких мероприятий незначителен, а срок окупаемости данной группы мероприятий превышает период эксплуатации.</w:t>
      </w:r>
      <w:r/>
    </w:p>
    <w:p>
      <w:pPr>
        <w:pStyle w:val="12960"/>
        <w:pBdr/>
        <w:spacing/>
        <w:ind/>
        <w:rPr/>
      </w:pPr>
      <w:r>
        <w:t xml:space="preserve">Мероприятия схемы теплоснабжения не несут значительного экономического эффекта.</w:t>
      </w:r>
      <w:r/>
    </w:p>
    <w:p>
      <w:pPr>
        <w:pStyle w:val="12960"/>
        <w:pBdr/>
        <w:spacing/>
        <w:ind/>
        <w:rPr/>
      </w:pPr>
      <w:r>
        <w:t xml:space="preserve">Основные цели схемы теплоснабжения:</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выполнение требований п.9 Федерального закона от 27.07.2010 №190-ФЗ (ред. от 29.07.2018) "</w:t>
      </w:r>
      <w:r>
        <w:t xml:space="preserve">О теплоснабжении" "9.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r/>
    </w:p>
    <w:p>
      <w:pPr>
        <w:pStyle w:val="13832"/>
        <w:numPr>
          <w:ilvl w:val="0"/>
          <w:numId w:val="61"/>
        </w:numPr>
        <w:pBdr/>
        <w:spacing/>
        <w:ind w:hanging="284" w:left="1135"/>
        <w:rPr/>
      </w:pPr>
      <w:r>
        <w:t xml:space="preserve">бесперебойное предоставление услуг по отоплению, горячему водоснабжению;</w:t>
      </w:r>
      <w:r/>
    </w:p>
    <w:p>
      <w:pPr>
        <w:pStyle w:val="13832"/>
        <w:numPr>
          <w:ilvl w:val="0"/>
          <w:numId w:val="61"/>
        </w:numPr>
        <w:pBdr/>
        <w:spacing/>
        <w:ind w:hanging="284" w:left="1135"/>
        <w:rPr/>
      </w:pPr>
      <w:r>
        <w:t xml:space="preserve">снижение аварийности систем теплоснабжения;</w:t>
      </w:r>
      <w:r/>
    </w:p>
    <w:p>
      <w:pPr>
        <w:pStyle w:val="13832"/>
        <w:keepNext w:val="false"/>
        <w:widowControl w:val="true"/>
        <w:numPr>
          <w:ilvl w:val="0"/>
          <w:numId w:val="61"/>
        </w:numPr>
        <w:pBdr/>
        <w:bidi w:val="false"/>
        <w:spacing w:after="0" w:before="0" w:line="360" w:lineRule="auto"/>
        <w:ind w:right="0" w:firstLine="567" w:left="0"/>
        <w:jc w:val="both"/>
        <w:rPr/>
      </w:pPr>
      <w:r>
        <w:t xml:space="preserve">модернизация и повышение энергоэффективности объектов жилищно-коммунального хозяйства.</w:t>
      </w:r>
      <w:r/>
    </w:p>
    <w:p>
      <w:pPr>
        <w:pStyle w:val="12960"/>
        <w:pBdr/>
        <w:spacing/>
        <w:ind/>
        <w:rPr/>
      </w:pPr>
      <w:r>
        <w:t xml:space="preserve">Источники финансирования мероприятий по повышению качества и надежности теплоснабжения и подключения строящихся объектов предложены из расчета отсутствия негативных ценовых последствий для потребителей.</w:t>
      </w:r>
      <w:r/>
    </w:p>
    <w:p>
      <w:pPr>
        <w:pStyle w:val="12960"/>
        <w:pBdr/>
        <w:spacing/>
        <w:ind/>
        <w:rPr/>
      </w:pPr>
      <w:r>
        <w:t xml:space="preserve">Финансирование мероприятий по строительству, реконстру</w:t>
      </w:r>
      <w:r>
        <w:t xml:space="preserve">кции и техническому перевооружению источников тепловой энергии и тепловых сетей предполагается из четырех основных групп источников: собственных средств теплоснабжающих организаций, амортизации, учтённой в тарифах, платы за подключение и бюджетных средств.</w:t>
      </w:r>
      <w:r/>
    </w:p>
    <w:p>
      <w:pPr>
        <w:pStyle w:val="12960"/>
        <w:pBdr/>
        <w:spacing/>
        <w:ind/>
        <w:rPr/>
      </w:pPr>
      <w:r>
        <w:t xml:space="preserve">Мероприятия по строительству, реконструкции и модернизации котельных (источников теплоснабжения) планируются за счет тарифов, устанавл</w:t>
      </w:r>
      <w:r>
        <w:t xml:space="preserve">иваемых в соответствии с Постановлением Правительства РФ от 22.10.2012 №1075 "О ценообразовании в сфере теплоснабжения", в рамках реализации инвестиционных программ либо платы за подключение, а также за счет собственных средств теплоснабжающих организаций.</w:t>
      </w:r>
      <w:r/>
    </w:p>
    <w:p>
      <w:pPr>
        <w:pStyle w:val="12960"/>
        <w:pBdr/>
        <w:spacing/>
        <w:ind/>
        <w:rPr/>
      </w:pPr>
      <w:r>
        <w:t xml:space="preserve">В</w:t>
        <w:tab/>
        <w:t xml:space="preserve">качестве</w:t>
        <w:tab/>
        <w:t xml:space="preserve">источника</w:t>
        <w:tab/>
        <w:t xml:space="preserve">финансирования</w:t>
        <w:tab/>
        <w:t xml:space="preserve">мероприятий</w:t>
        <w:tab/>
        <w:t xml:space="preserve">по строительству, реконструкции и модернизации котель</w:t>
      </w:r>
      <w:r>
        <w:t xml:space="preserve">ных и тепловых сетей также могут выступать средства, поступающие в составе соответствующих тарифов, утвержденных в целях реализации утвержденных инвестиционных программ теплоснабжающих организаций. Использование собственных средств теплоснабжающими организ</w:t>
      </w:r>
      <w:r>
        <w:t xml:space="preserve">ациями не исключает возможного использования государственной поддержки развития системы теплоснабжения в Российской Федерации в виде бюджетных субсидий, субвенций и других форм государственной поддержки в порядке, установленном бюджетным законодательством.</w:t>
      </w:r>
      <w:r/>
    </w:p>
    <w:p>
      <w:pPr>
        <w:pStyle w:val="12960"/>
        <w:pBdr/>
        <w:spacing/>
        <w:ind/>
        <w:rPr/>
      </w:pPr>
      <w:r>
        <w:t xml:space="preserve">Планируемые к строительству потребители, могут быть подключены </w:t>
      </w:r>
      <w:r>
        <w:t xml:space="preserve">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w:t>
      </w:r>
      <w:r/>
    </w:p>
    <w:p>
      <w:pPr>
        <w:pStyle w:val="12960"/>
        <w:pBdr/>
        <w:spacing/>
        <w:ind/>
        <w:rPr/>
      </w:pPr>
      <w:r>
        <w:t xml:space="preserve">Указанные в настоящей Схеме теплоснабжения пре</w:t>
      </w:r>
      <w:r>
        <w:t xml:space="preserve">дложения по источникам финансирования мероприятий по строительству, реконструкции, модернизации источников теплоснабжения и тепловых сетей могут быть изменены заинтересованными лицами при условии недопущения негативных ценовых последствий для потребителей.</w:t>
      </w:r>
      <w:r/>
    </w:p>
    <w:p>
      <w:pPr>
        <w:pStyle w:val="10533"/>
        <w:pBdr/>
        <w:spacing/>
        <w:ind/>
        <w:rPr/>
      </w:pPr>
      <w:r/>
      <w:r/>
    </w:p>
    <w:p>
      <w:pPr>
        <w:pStyle w:val="10533"/>
        <w:pBdr/>
        <w:spacing/>
        <w:ind/>
        <w:rPr/>
      </w:pPr>
      <w:r/>
      <w:r/>
    </w:p>
    <w:p>
      <w:pPr>
        <w:pStyle w:val="10533"/>
        <w:pBdr/>
        <w:spacing/>
        <w:ind/>
        <w:rPr/>
      </w:pPr>
      <w:r/>
      <w:r/>
    </w:p>
    <w:p>
      <w:pPr>
        <w:pStyle w:val="10533"/>
        <w:pBdr/>
        <w:spacing/>
        <w:ind/>
        <w:rPr/>
      </w:pPr>
      <w:r/>
      <w:r/>
    </w:p>
    <w:p>
      <w:pPr>
        <w:pStyle w:val="10533"/>
        <w:pBdr/>
        <w:spacing/>
        <w:ind/>
        <w:rPr/>
      </w:pPr>
      <w:r/>
      <w:r/>
    </w:p>
    <w:p>
      <w:pPr>
        <w:pStyle w:val="10533"/>
        <w:pBdr/>
        <w:spacing/>
        <w:ind/>
        <w:rPr/>
      </w:pPr>
      <w:r/>
      <w:r/>
    </w:p>
    <w:p>
      <w:pPr>
        <w:pStyle w:val="10533"/>
        <w:pBdr/>
        <w:spacing/>
        <w:ind/>
        <w:rPr/>
      </w:pPr>
      <w:r/>
      <w:r/>
    </w:p>
    <w:p>
      <w:pPr>
        <w:pStyle w:val="10533"/>
        <w:pBdr/>
        <w:spacing/>
        <w:ind/>
        <w:rPr/>
      </w:pPr>
      <w:r/>
      <w:r/>
    </w:p>
    <w:p>
      <w:pPr>
        <w:pStyle w:val="10533"/>
        <w:pBdr/>
        <w:spacing/>
        <w:ind/>
        <w:rPr/>
      </w:pPr>
      <w:r/>
      <w:r/>
    </w:p>
    <w:p>
      <w:pPr>
        <w:pStyle w:val="10533"/>
        <w:pBdr/>
        <w:spacing/>
        <w:ind/>
        <w:rPr/>
        <w:sectPr>
          <w:headerReference w:type="default" r:id="rId208"/>
          <w:headerReference w:type="first" r:id="rId209"/>
          <w:footerReference w:type="default" r:id="rId476"/>
          <w:footerReference w:type="first" r:id="rId477"/>
          <w:footnotePr/>
          <w:endnotePr/>
          <w:type w:val="nextPage"/>
          <w:pgSz w:h="16838" w:orient="portrait" w:w="11906"/>
          <w:pgMar w:top="1134" w:right="850" w:bottom="1134" w:left="1701" w:header="567" w:footer="454" w:gutter="0"/>
          <w:cols w:num="1" w:sep="0" w:space="1701" w:equalWidth="1"/>
        </w:sectPr>
      </w:pPr>
      <w:r/>
      <w:r/>
    </w:p>
    <w:p>
      <w:pPr>
        <w:pStyle w:val="10534"/>
        <w:widowControl w:val="true"/>
        <w:numPr>
          <w:ilvl w:val="0"/>
          <w:numId w:val="183"/>
        </w:numPr>
        <w:pBdr/>
        <w:bidi w:val="false"/>
        <w:spacing w:after="240" w:before="120" w:line="276" w:lineRule="auto"/>
        <w:ind w:right="0" w:hanging="340" w:left="340"/>
        <w:contextualSpacing w:val="true"/>
        <w:jc w:val="center"/>
        <w:rPr>
          <w:spacing w:val="0"/>
        </w:rPr>
      </w:pPr>
      <w:r/>
      <w:bookmarkStart w:id="1147" w:name="_Toc9154932"/>
      <w:r/>
      <w:bookmarkStart w:id="1148" w:name="_Toc84971078"/>
      <w:r/>
      <w:bookmarkStart w:id="1149" w:name="_Toc166767307"/>
      <w:r/>
      <w:bookmarkStart w:id="1150" w:name="_Toc198483662"/>
      <w:r>
        <w:rPr>
          <w:rFonts w:eastAsia="Times New Roman" w:cs="Times New Roman"/>
          <w:b/>
          <w:smallCaps/>
          <w:spacing w:val="0"/>
          <w:sz w:val="28"/>
          <w:szCs w:val="36"/>
          <w:lang w:eastAsia="en-US" w:bidi="en-US"/>
        </w:rPr>
        <w:t xml:space="preserve">Расчеты ценовых (тарифных) последствий для потребителей при реализации программ строительства, реконструкции, технического перевооружения и (и</w:t>
      </w:r>
      <w:r>
        <w:rPr>
          <w:spacing w:val="0"/>
        </w:rPr>
        <w:t xml:space="preserve">ли) модернизации систем теплоснабжения</w:t>
      </w:r>
      <w:bookmarkEnd w:id="1147"/>
      <w:r/>
      <w:bookmarkEnd w:id="1148"/>
      <w:r/>
      <w:bookmarkEnd w:id="1149"/>
      <w:r/>
      <w:bookmarkEnd w:id="1150"/>
      <w:r/>
      <w:r>
        <w:rPr>
          <w:spacing w:val="0"/>
        </w:rPr>
      </w:r>
    </w:p>
    <w:p>
      <w:pPr>
        <w:pStyle w:val="12960"/>
        <w:pBdr/>
        <w:spacing/>
        <w:ind/>
        <w:rPr/>
        <w:sectPr>
          <w:headerReference w:type="default" r:id="rId210"/>
          <w:headerReference w:type="first" r:id="rId211"/>
          <w:footerReference w:type="default" r:id="rId478"/>
          <w:footerReference w:type="first" r:id="rId479"/>
          <w:footnotePr/>
          <w:endnotePr/>
          <w:type w:val="nextPage"/>
          <w:pgSz w:h="16838" w:orient="portrait" w:w="11906"/>
          <w:pgMar w:top="1134" w:right="850" w:bottom="1134" w:left="1701" w:header="708" w:footer="708" w:gutter="0"/>
          <w:cols w:num="1" w:sep="0" w:space="1701" w:equalWidth="1"/>
        </w:sectPr>
      </w:pPr>
      <w:r>
        <w:t xml:space="preserve">Результаты расчетов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 представлены в Главе 14.</w:t>
      </w:r>
      <w:r/>
    </w:p>
    <w:p>
      <w:pPr>
        <w:pStyle w:val="10534"/>
        <w:numPr>
          <w:ilvl w:val="0"/>
          <w:numId w:val="0"/>
        </w:numPr>
        <w:pBdr/>
        <w:spacing/>
        <w:ind w:firstLine="0" w:left="0"/>
        <w:rPr>
          <w:spacing w:val="0"/>
        </w:rPr>
      </w:pPr>
      <w:r/>
      <w:bookmarkStart w:id="1151" w:name="_Toc166767308"/>
      <w:r/>
      <w:bookmarkStart w:id="1152" w:name="_Toc84971079"/>
      <w:r/>
      <w:bookmarkStart w:id="1153" w:name="_Toc9154933"/>
      <w:r/>
      <w:bookmarkStart w:id="1154" w:name="_Toc198483663"/>
      <w:r>
        <w:rPr>
          <w:spacing w:val="0"/>
        </w:rPr>
        <w:t xml:space="preserve">ГЛАВА 13. ИНДИКАТОРЫ РАЗВИТИЯ СИСТЕМ ТЕПЛОСНАБЖЕНИЯ ПОСЕЛЕНИЯ</w:t>
      </w:r>
      <w:bookmarkEnd w:id="1151"/>
      <w:r/>
      <w:bookmarkEnd w:id="1152"/>
      <w:r/>
      <w:bookmarkEnd w:id="1153"/>
      <w:r/>
      <w:bookmarkEnd w:id="1154"/>
      <w:r/>
      <w:r>
        <w:rPr>
          <w:spacing w:val="0"/>
        </w:rPr>
      </w:r>
    </w:p>
    <w:p>
      <w:pPr>
        <w:pStyle w:val="10533"/>
        <w:pBdr/>
        <w:spacing/>
        <w:ind/>
        <w:rPr/>
        <w:sectPr>
          <w:headerReference w:type="default" r:id="rId212"/>
          <w:headerReference w:type="first" r:id="rId213"/>
          <w:footerReference w:type="default" r:id="rId480"/>
          <w:footerReference w:type="first" r:id="rId481"/>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84"/>
        </w:numPr>
        <w:pBdr/>
        <w:spacing/>
        <w:ind/>
        <w:rPr>
          <w:spacing w:val="0"/>
        </w:rPr>
      </w:pPr>
      <w:r/>
      <w:bookmarkStart w:id="1155" w:name="_Toc198483664"/>
      <w:r/>
      <w:bookmarkStart w:id="1156" w:name="_Toc166767309"/>
      <w:r/>
      <w:bookmarkStart w:id="1157" w:name="_Toc84971080"/>
      <w:r/>
      <w:bookmarkStart w:id="1158" w:name="_Toc9154934"/>
      <w:r>
        <w:rPr>
          <w:spacing w:val="0"/>
        </w:rPr>
        <w:t xml:space="preserve">Количество прекращений подачи тепловой энергии, теплоносителя в результате технологических нарушений на тепловых сетях</w:t>
      </w:r>
      <w:bookmarkEnd w:id="1155"/>
      <w:r/>
      <w:bookmarkEnd w:id="1156"/>
      <w:r/>
      <w:bookmarkEnd w:id="1157"/>
      <w:r/>
      <w:bookmarkEnd w:id="1158"/>
      <w:r/>
      <w:r>
        <w:rPr>
          <w:spacing w:val="0"/>
        </w:rPr>
      </w:r>
    </w:p>
    <w:p>
      <w:pPr>
        <w:pStyle w:val="12960"/>
        <w:pBdr/>
        <w:spacing/>
        <w:ind/>
        <w:rPr/>
      </w:pPr>
      <w:r>
        <w:t xml:space="preserve">Прекращений подачи тепловой энергии, теплоносителя в результате технологических нарушений на тепловых сетях не зафиксировано.</w:t>
      </w:r>
      <w:r/>
    </w:p>
    <w:p>
      <w:pPr>
        <w:pStyle w:val="10533"/>
        <w:pBdr/>
        <w:spacing/>
        <w:ind/>
        <w:rPr/>
        <w:sectPr>
          <w:headerReference w:type="default" r:id="rId214"/>
          <w:headerReference w:type="first" r:id="rId215"/>
          <w:footerReference w:type="default" r:id="rId482"/>
          <w:footerReference w:type="first" r:id="rId483"/>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85"/>
        </w:numPr>
        <w:pBdr/>
        <w:spacing/>
        <w:ind/>
        <w:rPr>
          <w:rFonts w:ascii="Times New Roman" w:hAnsi="Times New Roman" w:eastAsia="Times New Roman" w:cs="Times New Roman"/>
          <w:b/>
          <w:smallCaps/>
          <w:spacing w:val="0"/>
          <w:sz w:val="28"/>
          <w:szCs w:val="36"/>
          <w:lang w:eastAsia="en-US" w:bidi="en-US"/>
        </w:rPr>
      </w:pPr>
      <w:r/>
      <w:bookmarkStart w:id="1159" w:name="_Toc166767310"/>
      <w:r/>
      <w:bookmarkStart w:id="1160" w:name="_Toc9154935"/>
      <w:r/>
      <w:bookmarkStart w:id="1161" w:name="_Toc84971081"/>
      <w:r/>
      <w:bookmarkStart w:id="1162" w:name="_Toc198483665"/>
      <w:r>
        <w:rPr>
          <w:rFonts w:eastAsia="Times New Roman" w:cs="Times New Roman"/>
          <w:b/>
          <w:smallCaps/>
          <w:spacing w:val="0"/>
          <w:sz w:val="28"/>
          <w:szCs w:val="36"/>
          <w:lang w:eastAsia="en-US" w:bidi="en-US"/>
        </w:rPr>
        <w:t xml:space="preserve">Количество прекращений подачи тепловой энергии, теплоносителя в результате технологических нарушений на источниках тепловой энергии</w:t>
      </w:r>
      <w:bookmarkEnd w:id="1159"/>
      <w:r/>
      <w:bookmarkEnd w:id="1160"/>
      <w:r/>
      <w:bookmarkEnd w:id="1161"/>
      <w:r/>
      <w:bookmarkEnd w:id="1162"/>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Прекращений подачи тепловой энергии, теплоносителя в результате технологических нарушений на источниках тепловой энергии не зафиксировано.</w:t>
      </w:r>
      <w:r/>
    </w:p>
    <w:p>
      <w:pPr>
        <w:pStyle w:val="10533"/>
        <w:pBdr/>
        <w:spacing/>
        <w:ind/>
        <w:rPr/>
        <w:sectPr>
          <w:headerReference w:type="default" r:id="rId216"/>
          <w:headerReference w:type="first" r:id="rId217"/>
          <w:footerReference w:type="default" r:id="rId484"/>
          <w:footerReference w:type="first" r:id="rId485"/>
          <w:footnotePr/>
          <w:endnotePr/>
          <w:type w:val="nextPage"/>
          <w:pgSz w:h="16838" w:orient="portrait" w:w="11906"/>
          <w:pgMar w:top="1134" w:right="850" w:bottom="1134" w:left="1701" w:header="708" w:footer="708" w:gutter="0"/>
          <w:cols w:num="1" w:sep="0" w:space="1701" w:equalWidth="1"/>
        </w:sectPr>
      </w:pPr>
      <w:r/>
      <w:r/>
    </w:p>
    <w:p>
      <w:pPr>
        <w:pStyle w:val="10534"/>
        <w:numPr>
          <w:ilvl w:val="0"/>
          <w:numId w:val="186"/>
        </w:numPr>
        <w:pBdr/>
        <w:spacing/>
        <w:ind/>
        <w:rPr>
          <w:spacing w:val="0"/>
        </w:rPr>
      </w:pPr>
      <w:r/>
      <w:bookmarkStart w:id="1163" w:name="_Toc198483666"/>
      <w:r/>
      <w:bookmarkStart w:id="1164" w:name="_Toc166767311"/>
      <w:r/>
      <w:bookmarkStart w:id="1165" w:name="_Toc84971082"/>
      <w:r/>
      <w:bookmarkStart w:id="1166" w:name="_Toc9154936"/>
      <w:r>
        <w:rPr>
          <w:spacing w:val="0"/>
        </w:rPr>
        <w:t xml:space="preserve">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163"/>
      <w:r/>
      <w:bookmarkEnd w:id="1164"/>
      <w:r/>
      <w:bookmarkEnd w:id="1165"/>
      <w:r/>
      <w:bookmarkEnd w:id="1166"/>
      <w:r/>
      <w:r>
        <w:rPr>
          <w:spacing w:val="0"/>
        </w:rPr>
      </w:r>
    </w:p>
    <w:p>
      <w:pPr>
        <w:pStyle w:val="12960"/>
        <w:pBdr/>
        <w:spacing/>
        <w:ind/>
        <w:rPr/>
        <w:sectPr>
          <w:headerReference w:type="default" r:id="rId218"/>
          <w:headerReference w:type="first" r:id="rId219"/>
          <w:footerReference w:type="default" r:id="rId486"/>
          <w:footerReference w:type="first" r:id="rId487"/>
          <w:footnotePr/>
          <w:endnotePr/>
          <w:type w:val="nextPage"/>
          <w:pgSz w:h="16838" w:orient="portrait" w:w="11906"/>
          <w:pgMar w:top="1134" w:right="850" w:bottom="1134" w:left="1701" w:header="567" w:footer="454" w:gutter="0"/>
          <w:cols w:num="1" w:sep="0" w:space="1701" w:equalWidth="1"/>
        </w:sectPr>
      </w:pPr>
      <w:r>
        <w:t xml:space="preserve">Удельный расход условного топлива на единицу тепловой энергии, отпускаемой с коллекторов источников тепловой энергии представлены в таблице.</w:t>
      </w:r>
      <w:r/>
    </w:p>
    <w:p>
      <w:pPr>
        <w:pStyle w:val="12279"/>
        <w:pBdr/>
        <w:spacing/>
        <w:ind/>
        <w:jc w:val="left"/>
        <w:rPr>
          <w:rFonts w:ascii="Times New Roman" w:hAnsi="Times New Roman" w:cs="Times New Roman"/>
          <w:b/>
          <w:szCs w:val="24"/>
        </w:rPr>
      </w:pPr>
      <w:r>
        <w:rPr>
          <w:rFonts w:ascii="Times New Roman" w:hAnsi="Times New Roman" w:cs="Times New Roman"/>
          <w:b/>
          <w:sz w:val="24"/>
          <w:szCs w:val="24"/>
        </w:rPr>
        <w:t xml:space="preserve">Таблица 13.3.1 - Удельный расход условного топлива на единицу тепловой </w:t>
      </w:r>
      <w:bookmarkStart w:id="1167" w:name="_Hlk156511586"/>
      <w:r>
        <w:rPr>
          <w:rFonts w:ascii="Times New Roman" w:hAnsi="Times New Roman" w:cs="Times New Roman"/>
          <w:b/>
          <w:sz w:val="24"/>
          <w:szCs w:val="24"/>
        </w:rPr>
        <w:t xml:space="preserve">энергии </w:t>
      </w:r>
      <w:bookmarkEnd w:id="1167"/>
      <w:r/>
      <w:r>
        <w:rPr>
          <w:rFonts w:ascii="Times New Roman" w:hAnsi="Times New Roman" w:cs="Times New Roman"/>
          <w:b/>
          <w:szCs w:val="24"/>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4056"/>
        <w:gridCol w:w="3243"/>
        <w:gridCol w:w="2451"/>
        <w:gridCol w:w="2392"/>
        <w:gridCol w:w="2428"/>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4056" w:type="dxa"/>
            <w:vAlign w:val="center"/>
          </w:tcPr>
          <w:p>
            <w:pPr>
              <w:pStyle w:val="12385"/>
              <w:pBdr/>
              <w:spacing/>
              <w:ind/>
              <w:rPr/>
            </w:pPr>
            <w:r>
              <w:t xml:space="preserve">Наименование котельной</w:t>
            </w:r>
            <w:r/>
          </w:p>
        </w:tc>
        <w:tc>
          <w:tcPr>
            <w:shd w:val="clear" w:color="000000" w:fill="d9d9d9"/>
            <w:tcBorders>
              <w:top w:val="single" w:color="000000" w:sz="4" w:space="0"/>
              <w:bottom w:val="single" w:color="000000" w:sz="4" w:space="0"/>
              <w:right w:val="single" w:color="000000" w:sz="4" w:space="0"/>
            </w:tcBorders>
            <w:tcW w:w="3243" w:type="dxa"/>
            <w:vAlign w:val="center"/>
          </w:tcPr>
          <w:p>
            <w:pPr>
              <w:pStyle w:val="12385"/>
              <w:pBdr/>
              <w:spacing/>
              <w:ind/>
              <w:rPr/>
            </w:pPr>
            <w:r>
              <w:t xml:space="preserve">Объем производства тепловой энергии в год, Гкал</w:t>
            </w:r>
            <w:r/>
          </w:p>
        </w:tc>
        <w:tc>
          <w:tcPr>
            <w:shd w:val="clear" w:color="000000" w:fill="d9d9d9"/>
            <w:tcBorders>
              <w:top w:val="single" w:color="000000" w:sz="4" w:space="0"/>
              <w:bottom w:val="single" w:color="000000" w:sz="4" w:space="0"/>
              <w:right w:val="single" w:color="000000" w:sz="4" w:space="0"/>
            </w:tcBorders>
            <w:tcW w:w="2451" w:type="dxa"/>
            <w:vAlign w:val="center"/>
          </w:tcPr>
          <w:p>
            <w:pPr>
              <w:pStyle w:val="12385"/>
              <w:pBdr/>
              <w:spacing/>
              <w:ind/>
              <w:rPr/>
            </w:pPr>
            <w:r>
              <w:t xml:space="preserve">Основное топливо</w:t>
            </w:r>
            <w:r/>
          </w:p>
        </w:tc>
        <w:tc>
          <w:tcPr>
            <w:shd w:val="clear" w:color="000000" w:fill="d9d9d9"/>
            <w:tcBorders>
              <w:top w:val="single" w:color="000000" w:sz="4" w:space="0"/>
              <w:bottom w:val="single" w:color="000000" w:sz="4" w:space="0"/>
              <w:right w:val="single" w:color="000000" w:sz="4" w:space="0"/>
            </w:tcBorders>
            <w:tcW w:w="2392" w:type="dxa"/>
            <w:vAlign w:val="center"/>
          </w:tcPr>
          <w:p>
            <w:pPr>
              <w:pStyle w:val="12385"/>
              <w:pBdr/>
              <w:spacing/>
              <w:ind/>
              <w:rPr/>
            </w:pPr>
            <w:r>
              <w:t xml:space="preserve">Годовой расход основного топлива, т.у.т.</w:t>
            </w:r>
            <w:r/>
          </w:p>
        </w:tc>
        <w:tc>
          <w:tcPr>
            <w:shd w:val="clear" w:color="000000" w:fill="d9d9d9"/>
            <w:tcBorders>
              <w:top w:val="single" w:color="000000" w:sz="4" w:space="0"/>
              <w:bottom w:val="single" w:color="000000" w:sz="4" w:space="0"/>
              <w:right w:val="single" w:color="000000" w:sz="4" w:space="0"/>
            </w:tcBorders>
            <w:tcW w:w="2428" w:type="dxa"/>
            <w:vAlign w:val="center"/>
          </w:tcPr>
          <w:p>
            <w:pPr>
              <w:pStyle w:val="12385"/>
              <w:pBdr/>
              <w:spacing/>
              <w:ind/>
              <w:rPr/>
            </w:pPr>
            <w:r>
              <w:t xml:space="preserve">Фактический удельный расход удельного топлива, кг.у.т./ккал</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14570" w:type="dxa"/>
            <w:vAlign w:val="center"/>
          </w:tcPr>
          <w:p>
            <w:pPr>
              <w:pStyle w:val="12385"/>
              <w:pBdr/>
              <w:spacing/>
              <w:ind/>
              <w:rPr/>
            </w:pPr>
            <w:r>
              <w:t xml:space="preserve">2025 год</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118,58</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13,33</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112,42</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316,16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44,11</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139,53</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159,96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24,56</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153,52</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14570" w:type="dxa"/>
            <w:vAlign w:val="center"/>
          </w:tcPr>
          <w:p>
            <w:pPr>
              <w:pStyle w:val="12385"/>
              <w:pBdr/>
              <w:spacing/>
              <w:ind/>
              <w:rPr/>
            </w:pPr>
            <w:r>
              <w:t xml:space="preserve">2026 год</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118,58</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13,33</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112,42</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316,16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44,11</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139,53</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159,96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24,56</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153,52</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14570" w:type="dxa"/>
            <w:vAlign w:val="center"/>
          </w:tcPr>
          <w:p>
            <w:pPr>
              <w:pStyle w:val="12385"/>
              <w:pBdr/>
              <w:spacing/>
              <w:ind/>
              <w:rPr/>
            </w:pPr>
            <w:r>
              <w:t xml:space="preserve">2027-2028 год</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118,58</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13,33</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112,42</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316,16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44,11</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139,53</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159,96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24,56</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153,52</w:t>
            </w:r>
            <w:r/>
          </w:p>
        </w:tc>
      </w:tr>
      <w:tr>
        <w:trPr>
          <w:trHeight w:val="20"/>
        </w:trPr>
        <w:tc>
          <w:tcPr>
            <w:gridSpan w:val="5"/>
            <w:shd w:val="clear" w:color="000000" w:fill="ffffff"/>
            <w:tcBorders>
              <w:top w:val="single" w:color="000000" w:sz="4" w:space="0"/>
              <w:left w:val="single" w:color="000000" w:sz="4" w:space="0"/>
              <w:bottom w:val="single" w:color="000000" w:sz="4" w:space="0"/>
              <w:right w:val="single" w:color="000000" w:sz="4" w:space="0"/>
            </w:tcBorders>
            <w:tcW w:w="14570" w:type="dxa"/>
            <w:vAlign w:val="center"/>
          </w:tcPr>
          <w:p>
            <w:pPr>
              <w:pStyle w:val="12385"/>
              <w:pBdr/>
              <w:spacing/>
              <w:ind/>
              <w:rPr/>
            </w:pPr>
            <w:r>
              <w:t xml:space="preserve">2029-2038 годы</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118,58</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13,33</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112,42</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№6 п. Первомайский</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316,16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44,11</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139,53</w:t>
            </w:r>
            <w:r/>
          </w:p>
        </w:tc>
      </w:tr>
      <w:tr>
        <w:trPr>
          <w:trHeight w:val="20"/>
        </w:trPr>
        <w:tc>
          <w:tcPr>
            <w:shd w:val="clear" w:color="000000" w:fill="ffffff"/>
            <w:tcBorders>
              <w:left w:val="single" w:color="000000" w:sz="4" w:space="0"/>
              <w:bottom w:val="single" w:color="000000" w:sz="4" w:space="0"/>
              <w:right w:val="single" w:color="000000" w:sz="4" w:space="0"/>
            </w:tcBorders>
            <w:tcW w:w="4056"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3243" w:type="dxa"/>
            <w:vAlign w:val="center"/>
          </w:tcPr>
          <w:p>
            <w:pPr>
              <w:pStyle w:val="12385"/>
              <w:pBdr/>
              <w:spacing/>
              <w:ind/>
              <w:rPr/>
            </w:pPr>
            <w:r>
              <w:t xml:space="preserve">159,96</w:t>
            </w:r>
            <w:r/>
          </w:p>
        </w:tc>
        <w:tc>
          <w:tcPr>
            <w:shd w:val="clear" w:color="000000" w:fill="ffffff"/>
            <w:tcBorders>
              <w:bottom w:val="single" w:color="000000" w:sz="4" w:space="0"/>
              <w:right w:val="single" w:color="000000" w:sz="4" w:space="0"/>
            </w:tcBorders>
            <w:tcW w:w="2451" w:type="dxa"/>
            <w:vAlign w:val="center"/>
          </w:tcPr>
          <w:p>
            <w:pPr>
              <w:pStyle w:val="12385"/>
              <w:pBdr/>
              <w:spacing/>
              <w:ind/>
              <w:rPr/>
            </w:pPr>
            <w:r>
              <w:t xml:space="preserve">Природный газ</w:t>
            </w:r>
            <w:r/>
          </w:p>
        </w:tc>
        <w:tc>
          <w:tcPr>
            <w:shd w:val="clear" w:color="000000" w:fill="ffffff"/>
            <w:tcBorders>
              <w:bottom w:val="single" w:color="000000" w:sz="4" w:space="0"/>
              <w:right w:val="single" w:color="000000" w:sz="4" w:space="0"/>
            </w:tcBorders>
            <w:tcW w:w="2392" w:type="dxa"/>
            <w:vAlign w:val="center"/>
          </w:tcPr>
          <w:p>
            <w:pPr>
              <w:pStyle w:val="12385"/>
              <w:pBdr/>
              <w:spacing/>
              <w:ind/>
              <w:rPr/>
            </w:pPr>
            <w:r>
              <w:t xml:space="preserve">24,56</w:t>
            </w:r>
            <w:r/>
          </w:p>
        </w:tc>
        <w:tc>
          <w:tcPr>
            <w:shd w:val="clear" w:color="000000" w:fill="ffffff"/>
            <w:tcBorders>
              <w:bottom w:val="single" w:color="000000" w:sz="4" w:space="0"/>
              <w:right w:val="single" w:color="000000" w:sz="4" w:space="0"/>
            </w:tcBorders>
            <w:tcW w:w="2428" w:type="dxa"/>
            <w:vAlign w:val="center"/>
          </w:tcPr>
          <w:p>
            <w:pPr>
              <w:pStyle w:val="12385"/>
              <w:pBdr/>
              <w:spacing/>
              <w:ind/>
              <w:rPr/>
            </w:pPr>
            <w:r>
              <w:t xml:space="preserve">153,52</w:t>
            </w:r>
            <w:r/>
          </w:p>
        </w:tc>
      </w:tr>
    </w:tbl>
    <w:p>
      <w:pPr>
        <w:pBdr/>
        <w:spacing/>
        <w:ind/>
        <w:rPr/>
        <w:sectPr>
          <w:headerReference w:type="default" r:id="rId220"/>
          <w:headerReference w:type="first" r:id="rId221"/>
          <w:footerReference w:type="default" r:id="rId488"/>
          <w:footerReference w:type="first" r:id="rId489"/>
          <w:footnotePr/>
          <w:endnotePr/>
          <w:type w:val="nextPage"/>
          <w:pgSz w:h="11906" w:orient="landscape" w:w="16838"/>
          <w:pgMar w:top="1701" w:right="1134" w:bottom="851" w:left="1134" w:header="567" w:footer="454" w:gutter="0"/>
          <w:cols w:num="1" w:sep="0" w:space="1701" w:equalWidth="1"/>
        </w:sectPr>
      </w:pPr>
      <w:r/>
      <w:r/>
    </w:p>
    <w:p>
      <w:pPr>
        <w:pStyle w:val="10534"/>
        <w:numPr>
          <w:ilvl w:val="0"/>
          <w:numId w:val="187"/>
        </w:numPr>
        <w:pBdr/>
        <w:spacing/>
        <w:ind/>
        <w:rPr>
          <w:spacing w:val="0"/>
        </w:rPr>
      </w:pPr>
      <w:r/>
      <w:bookmarkStart w:id="1168" w:name="_Toc84971083"/>
      <w:r/>
      <w:bookmarkStart w:id="1169" w:name="_Toc9154937"/>
      <w:r/>
      <w:bookmarkStart w:id="1170" w:name="_Toc198483667"/>
      <w:r/>
      <w:bookmarkStart w:id="1171" w:name="_Toc166767312"/>
      <w:r>
        <w:rPr>
          <w:spacing w:val="0"/>
        </w:rPr>
        <w:t xml:space="preserve">Отношение величины технологических потерь тепловой энергии, теплоносителя к материальной характеристике тепловой сети</w:t>
      </w:r>
      <w:bookmarkEnd w:id="1168"/>
      <w:r/>
      <w:bookmarkEnd w:id="1169"/>
      <w:r/>
      <w:bookmarkEnd w:id="1170"/>
      <w:r/>
      <w:bookmarkEnd w:id="1171"/>
      <w:r/>
      <w:r>
        <w:rPr>
          <w:spacing w:val="0"/>
        </w:rPr>
      </w:r>
    </w:p>
    <w:p>
      <w:pPr>
        <w:pStyle w:val="12279"/>
        <w:pBdr/>
        <w:spacing/>
        <w:ind w:firstLine="0"/>
        <w:rPr>
          <w:rFonts w:ascii="Times New Roman" w:hAnsi="Times New Roman" w:cs="Times New Roman"/>
          <w:szCs w:val="24"/>
        </w:rPr>
      </w:pPr>
      <w:r/>
      <w:bookmarkStart w:id="1172" w:name="_Hlk174403737"/>
      <w:r/>
      <w:bookmarkEnd w:id="1172"/>
      <w:r>
        <w:rPr>
          <w:rFonts w:ascii="Times New Roman" w:hAnsi="Times New Roman" w:cs="Times New Roman"/>
          <w:b/>
          <w:sz w:val="24"/>
          <w:szCs w:val="24"/>
        </w:rPr>
        <w:t xml:space="preserve">Таблица 13.4.1 - Отношение величины технологических потерь тепловой энергии, к материальной характеристике тепловой сети</w:t>
      </w:r>
      <w:r>
        <w:rPr>
          <w:rFonts w:ascii="Times New Roman" w:hAnsi="Times New Roman" w:cs="Times New Roman"/>
          <w:szCs w:val="24"/>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921"/>
        <w:gridCol w:w="1595"/>
        <w:gridCol w:w="1774"/>
        <w:gridCol w:w="3064"/>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2921" w:type="dxa"/>
            <w:vAlign w:val="center"/>
          </w:tcPr>
          <w:p>
            <w:pPr>
              <w:pStyle w:val="12385"/>
              <w:pBdr/>
              <w:spacing/>
              <w:ind/>
              <w:rPr>
                <w:rFonts w:cs="Times New Roman"/>
              </w:rPr>
            </w:pPr>
            <w:r>
              <w:rPr>
                <w:rFonts w:cs="Times New Roman"/>
              </w:rPr>
              <w:t xml:space="preserve">Наименование Котельной</w:t>
            </w:r>
            <w:r>
              <w:rPr>
                <w:rFonts w:cs="Times New Roman"/>
              </w:rPr>
            </w:r>
          </w:p>
        </w:tc>
        <w:tc>
          <w:tcPr>
            <w:shd w:val="clear" w:color="000000" w:fill="d9d9d9"/>
            <w:tcBorders>
              <w:top w:val="single" w:color="000000" w:sz="4" w:space="0"/>
              <w:bottom w:val="single" w:color="000000" w:sz="4" w:space="0"/>
              <w:right w:val="single" w:color="000000" w:sz="4" w:space="0"/>
            </w:tcBorders>
            <w:tcW w:w="1595" w:type="dxa"/>
            <w:vAlign w:val="center"/>
          </w:tcPr>
          <w:p>
            <w:pPr>
              <w:pStyle w:val="12385"/>
              <w:pBdr/>
              <w:spacing/>
              <w:ind/>
              <w:rPr>
                <w:rFonts w:cs="Times New Roman"/>
              </w:rPr>
            </w:pPr>
            <w:r>
              <w:rPr>
                <w:rFonts w:cs="Times New Roman"/>
              </w:rPr>
              <w:t xml:space="preserve">Материальная характеристика, м</w:t>
            </w:r>
            <w:r>
              <w:rPr>
                <w:rFonts w:cs="Times New Roman"/>
                <w:vertAlign w:val="superscript"/>
              </w:rPr>
              <w:t xml:space="preserve">2</w:t>
            </w:r>
            <w:r>
              <w:rPr>
                <w:rFonts w:cs="Times New Roman"/>
              </w:rPr>
            </w:r>
          </w:p>
        </w:tc>
        <w:tc>
          <w:tcPr>
            <w:shd w:val="clear" w:color="000000" w:fill="d9d9d9"/>
            <w:tcBorders>
              <w:top w:val="single" w:color="000000" w:sz="4" w:space="0"/>
              <w:bottom w:val="single" w:color="000000" w:sz="4" w:space="0"/>
              <w:right w:val="single" w:color="000000" w:sz="4" w:space="0"/>
            </w:tcBorders>
            <w:tcW w:w="1774" w:type="dxa"/>
            <w:vAlign w:val="center"/>
          </w:tcPr>
          <w:p>
            <w:pPr>
              <w:pStyle w:val="12385"/>
              <w:pBdr/>
              <w:spacing/>
              <w:ind/>
              <w:rPr>
                <w:rFonts w:cs="Times New Roman"/>
              </w:rPr>
            </w:pPr>
            <w:r>
              <w:rPr>
                <w:rFonts w:cs="Times New Roman"/>
              </w:rPr>
              <w:t xml:space="preserve">Величина технологических потерь тепловой энергии, Гкал/год</w:t>
            </w:r>
            <w:r>
              <w:rPr>
                <w:rFonts w:cs="Times New Roman"/>
              </w:rPr>
            </w:r>
          </w:p>
        </w:tc>
        <w:tc>
          <w:tcPr>
            <w:shd w:val="clear" w:color="000000" w:fill="d9d9d9"/>
            <w:tcBorders>
              <w:top w:val="single" w:color="000000" w:sz="4" w:space="0"/>
              <w:bottom w:val="single" w:color="000000" w:sz="4" w:space="0"/>
              <w:right w:val="single" w:color="000000" w:sz="4" w:space="0"/>
            </w:tcBorders>
            <w:tcW w:w="3064" w:type="dxa"/>
            <w:vAlign w:val="center"/>
          </w:tcPr>
          <w:p>
            <w:pPr>
              <w:pStyle w:val="12385"/>
              <w:pBdr/>
              <w:spacing/>
              <w:ind/>
              <w:rPr>
                <w:rFonts w:cs="Times New Roman"/>
              </w:rPr>
            </w:pPr>
            <w:r>
              <w:rPr>
                <w:rFonts w:cs="Times New Roman"/>
              </w:rPr>
              <w:t xml:space="preserve">Отношение величины технологических потерь тепловой энергии к материальной характеристике тепловой сети, Гкал/м</w:t>
            </w:r>
            <w:r>
              <w:rPr>
                <w:rFonts w:cs="Times New Roman"/>
                <w:vertAlign w:val="superscript"/>
              </w:rPr>
              <w:t xml:space="preserve">2</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2921" w:type="dxa"/>
            <w:vAlign w:val="center"/>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95" w:type="dxa"/>
            <w:vAlign w:val="center"/>
          </w:tcPr>
          <w:p>
            <w:pPr>
              <w:pStyle w:val="12385"/>
              <w:pBdr/>
              <w:spacing/>
              <w:ind/>
              <w:rPr>
                <w:rFonts w:cs="Times New Roman"/>
              </w:rPr>
            </w:pPr>
            <w:r>
              <w:rPr>
                <w:color w:val="000000"/>
                <w:szCs w:val="20"/>
              </w:rPr>
              <w:t xml:space="preserve">3,20</w:t>
            </w:r>
            <w:r>
              <w:rPr>
                <w:rFonts w:cs="Times New Roman"/>
              </w:rPr>
            </w:r>
          </w:p>
        </w:tc>
        <w:tc>
          <w:tcPr>
            <w:shd w:val="clear" w:color="000000" w:fill="ffffff"/>
            <w:tcBorders>
              <w:bottom w:val="single" w:color="000000" w:sz="4" w:space="0"/>
              <w:right w:val="single" w:color="000000" w:sz="4" w:space="0"/>
            </w:tcBorders>
            <w:tcW w:w="1774" w:type="dxa"/>
            <w:vAlign w:val="center"/>
          </w:tcPr>
          <w:p>
            <w:pPr>
              <w:pStyle w:val="12385"/>
              <w:pBdr/>
              <w:spacing/>
              <w:ind/>
              <w:rPr>
                <w:rFonts w:cs="Times New Roman"/>
              </w:rPr>
            </w:pPr>
            <w:r>
              <w:rPr>
                <w:color w:val="000000"/>
                <w:szCs w:val="20"/>
              </w:rPr>
              <w:t xml:space="preserve">8,47</w:t>
            </w:r>
            <w:r>
              <w:rPr>
                <w:rFonts w:cs="Times New Roman"/>
              </w:rPr>
            </w:r>
          </w:p>
        </w:tc>
        <w:tc>
          <w:tcPr>
            <w:shd w:val="clear" w:color="000000" w:fill="ffffff"/>
            <w:tcBorders>
              <w:bottom w:val="single" w:color="000000" w:sz="4" w:space="0"/>
              <w:right w:val="single" w:color="000000" w:sz="4" w:space="0"/>
            </w:tcBorders>
            <w:tcW w:w="3064" w:type="dxa"/>
            <w:vAlign w:val="center"/>
          </w:tcPr>
          <w:p>
            <w:pPr>
              <w:pStyle w:val="12385"/>
              <w:pBdr/>
              <w:spacing/>
              <w:ind/>
              <w:rPr>
                <w:rFonts w:cs="Times New Roman"/>
              </w:rPr>
            </w:pPr>
            <w:r>
              <w:rPr>
                <w:color w:val="000000"/>
                <w:szCs w:val="20"/>
              </w:rPr>
              <w:t xml:space="preserve">2,65</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2921" w:type="dxa"/>
            <w:vAlign w:val="center"/>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95" w:type="dxa"/>
            <w:vAlign w:val="center"/>
          </w:tcPr>
          <w:p>
            <w:pPr>
              <w:pStyle w:val="12385"/>
              <w:pBdr/>
              <w:spacing/>
              <w:ind/>
              <w:rPr>
                <w:rFonts w:cs="Times New Roman"/>
              </w:rPr>
            </w:pPr>
            <w:r>
              <w:rPr>
                <w:color w:val="000000"/>
                <w:szCs w:val="20"/>
              </w:rPr>
              <w:t xml:space="preserve">5,60</w:t>
            </w:r>
            <w:r>
              <w:rPr>
                <w:rFonts w:cs="Times New Roman"/>
              </w:rPr>
            </w:r>
          </w:p>
        </w:tc>
        <w:tc>
          <w:tcPr>
            <w:shd w:val="clear" w:color="000000" w:fill="ffffff"/>
            <w:tcBorders>
              <w:bottom w:val="single" w:color="000000" w:sz="4" w:space="0"/>
              <w:right w:val="single" w:color="000000" w:sz="4" w:space="0"/>
            </w:tcBorders>
            <w:tcW w:w="1774" w:type="dxa"/>
            <w:vAlign w:val="center"/>
          </w:tcPr>
          <w:p>
            <w:pPr>
              <w:pStyle w:val="12385"/>
              <w:pBdr/>
              <w:spacing/>
              <w:ind/>
              <w:rPr>
                <w:rFonts w:cs="Times New Roman"/>
              </w:rPr>
            </w:pPr>
            <w:r>
              <w:rPr>
                <w:color w:val="000000"/>
                <w:szCs w:val="20"/>
              </w:rPr>
              <w:t xml:space="preserve">23,96</w:t>
            </w:r>
            <w:r>
              <w:rPr>
                <w:rFonts w:cs="Times New Roman"/>
              </w:rPr>
            </w:r>
          </w:p>
        </w:tc>
        <w:tc>
          <w:tcPr>
            <w:shd w:val="clear" w:color="000000" w:fill="ffffff"/>
            <w:tcBorders>
              <w:bottom w:val="single" w:color="000000" w:sz="4" w:space="0"/>
              <w:right w:val="single" w:color="000000" w:sz="4" w:space="0"/>
            </w:tcBorders>
            <w:tcW w:w="3064" w:type="dxa"/>
            <w:vAlign w:val="center"/>
          </w:tcPr>
          <w:p>
            <w:pPr>
              <w:pStyle w:val="12385"/>
              <w:pBdr/>
              <w:spacing/>
              <w:ind/>
              <w:rPr>
                <w:rFonts w:cs="Times New Roman"/>
              </w:rPr>
            </w:pPr>
            <w:r>
              <w:rPr>
                <w:color w:val="000000"/>
                <w:szCs w:val="20"/>
              </w:rPr>
              <w:t xml:space="preserve">4,28</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2921" w:type="dxa"/>
            <w:vAlign w:val="center"/>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95" w:type="dxa"/>
            <w:vAlign w:val="center"/>
          </w:tcPr>
          <w:p>
            <w:pPr>
              <w:pStyle w:val="12385"/>
              <w:pBdr/>
              <w:spacing/>
              <w:ind/>
              <w:rPr>
                <w:rFonts w:cs="Times New Roman"/>
              </w:rPr>
            </w:pPr>
            <w:r>
              <w:rPr>
                <w:color w:val="000000"/>
                <w:szCs w:val="20"/>
              </w:rPr>
              <w:t xml:space="preserve">5,60</w:t>
            </w:r>
            <w:r>
              <w:rPr>
                <w:rFonts w:cs="Times New Roman"/>
              </w:rPr>
            </w:r>
          </w:p>
        </w:tc>
        <w:tc>
          <w:tcPr>
            <w:shd w:val="clear" w:color="000000" w:fill="ffffff"/>
            <w:tcBorders>
              <w:bottom w:val="single" w:color="000000" w:sz="4" w:space="0"/>
              <w:right w:val="single" w:color="000000" w:sz="4" w:space="0"/>
            </w:tcBorders>
            <w:tcW w:w="1774" w:type="dxa"/>
            <w:vAlign w:val="center"/>
          </w:tcPr>
          <w:p>
            <w:pPr>
              <w:pStyle w:val="12385"/>
              <w:pBdr/>
              <w:spacing/>
              <w:ind/>
              <w:rPr>
                <w:rFonts w:cs="Times New Roman"/>
              </w:rPr>
            </w:pPr>
            <w:r>
              <w:rPr>
                <w:color w:val="000000"/>
                <w:szCs w:val="20"/>
              </w:rPr>
              <w:t xml:space="preserve">7,27</w:t>
            </w:r>
            <w:r>
              <w:rPr>
                <w:rFonts w:cs="Times New Roman"/>
              </w:rPr>
            </w:r>
          </w:p>
        </w:tc>
        <w:tc>
          <w:tcPr>
            <w:shd w:val="clear" w:color="000000" w:fill="ffffff"/>
            <w:tcBorders>
              <w:bottom w:val="single" w:color="000000" w:sz="4" w:space="0"/>
              <w:right w:val="single" w:color="000000" w:sz="4" w:space="0"/>
            </w:tcBorders>
            <w:tcW w:w="3064" w:type="dxa"/>
            <w:vAlign w:val="center"/>
          </w:tcPr>
          <w:p>
            <w:pPr>
              <w:pStyle w:val="12385"/>
              <w:pBdr/>
              <w:spacing/>
              <w:ind/>
              <w:rPr>
                <w:rFonts w:cs="Times New Roman"/>
              </w:rPr>
            </w:pPr>
            <w:r>
              <w:rPr>
                <w:color w:val="000000"/>
                <w:szCs w:val="20"/>
              </w:rPr>
              <w:t xml:space="preserve">1,30</w:t>
            </w:r>
            <w:r>
              <w:rPr>
                <w:rFonts w:cs="Times New Roman"/>
              </w:rPr>
            </w:r>
          </w:p>
        </w:tc>
      </w:tr>
    </w:tbl>
    <w:p>
      <w:pPr>
        <w:pStyle w:val="10533"/>
        <w:pBdr/>
        <w:spacing/>
        <w:ind/>
        <w:rPr>
          <w:b/>
        </w:rPr>
      </w:pPr>
      <w:r>
        <w:rPr>
          <w:b/>
        </w:rPr>
        <w:t xml:space="preserve">Таблица 13.4.2 - Отношение величины технологических потерь теплоносителя к материальной характеристике тепловой сети</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438"/>
        <w:gridCol w:w="1595"/>
        <w:gridCol w:w="1696"/>
        <w:gridCol w:w="2625"/>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438" w:type="dxa"/>
            <w:vAlign w:val="center"/>
          </w:tcPr>
          <w:p>
            <w:pPr>
              <w:pStyle w:val="10533"/>
              <w:pBdr/>
              <w:spacing/>
              <w:ind/>
              <w:jc w:val="center"/>
              <w:rPr>
                <w:color w:val="000000"/>
                <w:sz w:val="20"/>
                <w:szCs w:val="20"/>
              </w:rPr>
            </w:pPr>
            <w:r>
              <w:rPr>
                <w:color w:val="000000"/>
                <w:sz w:val="20"/>
                <w:szCs w:val="20"/>
              </w:rPr>
              <w:t xml:space="preserve">Наименование Котельной</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595" w:type="dxa"/>
            <w:vAlign w:val="center"/>
          </w:tcPr>
          <w:p>
            <w:pPr>
              <w:pStyle w:val="10533"/>
              <w:pBdr/>
              <w:spacing/>
              <w:ind/>
              <w:jc w:val="center"/>
              <w:rPr>
                <w:color w:val="000000"/>
                <w:sz w:val="20"/>
                <w:szCs w:val="20"/>
              </w:rPr>
            </w:pPr>
            <w:r>
              <w:rPr>
                <w:color w:val="000000"/>
                <w:sz w:val="20"/>
                <w:szCs w:val="20"/>
              </w:rPr>
              <w:t xml:space="preserve">Материальная характеристика, м</w:t>
            </w:r>
            <w:r>
              <w:rPr>
                <w:color w:val="000000"/>
                <w:sz w:val="20"/>
                <w:szCs w:val="20"/>
                <w:vertAlign w:val="superscript"/>
              </w:rPr>
              <w:t xml:space="preserve">2</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696" w:type="dxa"/>
            <w:vAlign w:val="center"/>
          </w:tcPr>
          <w:p>
            <w:pPr>
              <w:pStyle w:val="10533"/>
              <w:pBdr/>
              <w:spacing/>
              <w:ind/>
              <w:jc w:val="center"/>
              <w:rPr>
                <w:color w:val="000000"/>
                <w:sz w:val="20"/>
                <w:szCs w:val="20"/>
              </w:rPr>
            </w:pPr>
            <w:r>
              <w:rPr>
                <w:color w:val="000000"/>
                <w:sz w:val="20"/>
                <w:szCs w:val="20"/>
              </w:rPr>
              <w:t xml:space="preserve">Технологические потери теплоносителя, м</w:t>
            </w:r>
            <w:r>
              <w:rPr>
                <w:color w:val="000000"/>
                <w:sz w:val="20"/>
                <w:szCs w:val="20"/>
                <w:vertAlign w:val="superscript"/>
              </w:rPr>
              <w:t xml:space="preserve">3</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2625" w:type="dxa"/>
            <w:vAlign w:val="center"/>
          </w:tcPr>
          <w:p>
            <w:pPr>
              <w:pStyle w:val="10533"/>
              <w:pBdr/>
              <w:spacing/>
              <w:ind/>
              <w:jc w:val="center"/>
              <w:rPr>
                <w:color w:val="000000"/>
                <w:sz w:val="20"/>
                <w:szCs w:val="20"/>
              </w:rPr>
            </w:pPr>
            <w:r>
              <w:rPr>
                <w:color w:val="000000"/>
                <w:sz w:val="20"/>
                <w:szCs w:val="20"/>
              </w:rPr>
              <w:t xml:space="preserve">Отношение величины технологических потерь теплоносителя к материальной характеристике тепловой сети</w:t>
            </w:r>
            <w:r>
              <w:rPr>
                <w:color w:val="000000"/>
                <w:sz w:val="20"/>
                <w:szCs w:val="20"/>
              </w:rPr>
            </w:r>
          </w:p>
        </w:tc>
      </w:tr>
      <w:tr>
        <w:trPr>
          <w:trHeight w:val="20"/>
        </w:trPr>
        <w:tc>
          <w:tcPr>
            <w:shd w:val="clear" w:color="000000" w:fill="ffffff"/>
            <w:tcBorders>
              <w:left w:val="single" w:color="000000" w:sz="4" w:space="0"/>
              <w:bottom w:val="single" w:color="000000" w:sz="4" w:space="0"/>
              <w:right w:val="single" w:color="000000" w:sz="4" w:space="0"/>
            </w:tcBorders>
            <w:tcW w:w="3438" w:type="dxa"/>
            <w:vAlign w:val="center"/>
          </w:tcPr>
          <w:p>
            <w:pPr>
              <w:pStyle w:val="12385"/>
              <w:pBdr/>
              <w:spacing/>
              <w:ind/>
              <w:rPr/>
            </w:pPr>
            <w:r>
              <w:t xml:space="preserve">Котельная №5 д. Ясенки</w:t>
            </w:r>
            <w:r/>
          </w:p>
        </w:tc>
        <w:tc>
          <w:tcPr>
            <w:shd w:val="clear" w:color="000000" w:fill="ffffff"/>
            <w:tcBorders>
              <w:bottom w:val="single" w:color="000000" w:sz="4" w:space="0"/>
              <w:right w:val="single" w:color="000000" w:sz="4" w:space="0"/>
            </w:tcBorders>
            <w:tcW w:w="1595" w:type="dxa"/>
            <w:vAlign w:val="center"/>
          </w:tcPr>
          <w:p>
            <w:pPr>
              <w:pStyle w:val="12385"/>
              <w:pBdr/>
              <w:spacing/>
              <w:ind/>
              <w:rPr>
                <w:rFonts w:cs="Times New Roman"/>
              </w:rPr>
            </w:pPr>
            <w:r>
              <w:rPr>
                <w:color w:val="000000"/>
                <w:szCs w:val="20"/>
              </w:rPr>
              <w:t xml:space="preserve">3,2</w:t>
            </w:r>
            <w:r>
              <w:rPr>
                <w:rFonts w:cs="Times New Roman"/>
              </w:rPr>
            </w:r>
          </w:p>
        </w:tc>
        <w:tc>
          <w:tcPr>
            <w:tcBorders>
              <w:bottom w:val="single" w:color="000000" w:sz="4" w:space="0"/>
              <w:right w:val="single" w:color="000000" w:sz="4" w:space="0"/>
            </w:tcBorders>
            <w:tcW w:w="1696" w:type="dxa"/>
            <w:vAlign w:val="center"/>
          </w:tcPr>
          <w:p>
            <w:pPr>
              <w:pStyle w:val="12385"/>
              <w:pBdr/>
              <w:spacing/>
              <w:ind/>
              <w:rPr>
                <w:rFonts w:cs="Times New Roman"/>
              </w:rPr>
            </w:pPr>
            <w:r>
              <w:rPr>
                <w:szCs w:val="20"/>
              </w:rPr>
              <w:t xml:space="preserve">1,3</w:t>
            </w:r>
            <w:r>
              <w:rPr>
                <w:rFonts w:cs="Times New Roman"/>
              </w:rPr>
            </w:r>
          </w:p>
        </w:tc>
        <w:tc>
          <w:tcPr>
            <w:shd w:val="clear" w:color="000000" w:fill="ffffff"/>
            <w:tcBorders>
              <w:bottom w:val="single" w:color="000000" w:sz="4" w:space="0"/>
              <w:right w:val="single" w:color="000000" w:sz="4" w:space="0"/>
            </w:tcBorders>
            <w:tcW w:w="2625" w:type="dxa"/>
            <w:vAlign w:val="center"/>
          </w:tcPr>
          <w:p>
            <w:pPr>
              <w:pStyle w:val="12385"/>
              <w:pBdr/>
              <w:spacing/>
              <w:ind/>
              <w:rPr>
                <w:rFonts w:cs="Times New Roman"/>
              </w:rPr>
            </w:pPr>
            <w:r>
              <w:rPr>
                <w:color w:val="000000"/>
                <w:szCs w:val="20"/>
              </w:rPr>
              <w:t xml:space="preserve">0,40</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438" w:type="dxa"/>
            <w:vAlign w:val="center"/>
          </w:tcPr>
          <w:p>
            <w:pPr>
              <w:pStyle w:val="12385"/>
              <w:pBdr/>
              <w:spacing/>
              <w:ind/>
              <w:rPr/>
            </w:pPr>
            <w:r>
              <w:t xml:space="preserve">Котельная №6 п. Первомайский </w:t>
            </w:r>
            <w:r/>
          </w:p>
        </w:tc>
        <w:tc>
          <w:tcPr>
            <w:shd w:val="clear" w:color="000000" w:fill="ffffff"/>
            <w:tcBorders>
              <w:bottom w:val="single" w:color="000000" w:sz="4" w:space="0"/>
              <w:right w:val="single" w:color="000000" w:sz="4" w:space="0"/>
            </w:tcBorders>
            <w:tcW w:w="1595" w:type="dxa"/>
            <w:vAlign w:val="center"/>
          </w:tcPr>
          <w:p>
            <w:pPr>
              <w:pStyle w:val="12385"/>
              <w:pBdr/>
              <w:spacing/>
              <w:ind/>
              <w:rPr>
                <w:rFonts w:cs="Times New Roman"/>
              </w:rPr>
            </w:pPr>
            <w:r>
              <w:rPr>
                <w:color w:val="000000"/>
                <w:szCs w:val="20"/>
              </w:rPr>
              <w:t xml:space="preserve">5,6</w:t>
            </w:r>
            <w:r>
              <w:rPr>
                <w:rFonts w:cs="Times New Roman"/>
              </w:rPr>
            </w:r>
          </w:p>
        </w:tc>
        <w:tc>
          <w:tcPr>
            <w:tcBorders>
              <w:bottom w:val="single" w:color="000000" w:sz="4" w:space="0"/>
              <w:right w:val="single" w:color="000000" w:sz="4" w:space="0"/>
            </w:tcBorders>
            <w:tcW w:w="1696" w:type="dxa"/>
            <w:vAlign w:val="center"/>
          </w:tcPr>
          <w:p>
            <w:pPr>
              <w:pStyle w:val="12385"/>
              <w:pBdr/>
              <w:spacing/>
              <w:ind/>
              <w:rPr>
                <w:rFonts w:cs="Times New Roman"/>
              </w:rPr>
            </w:pPr>
            <w:r>
              <w:rPr>
                <w:szCs w:val="20"/>
              </w:rPr>
              <w:t xml:space="preserve">2,2</w:t>
            </w:r>
            <w:r>
              <w:rPr>
                <w:rFonts w:cs="Times New Roman"/>
              </w:rPr>
            </w:r>
          </w:p>
        </w:tc>
        <w:tc>
          <w:tcPr>
            <w:shd w:val="clear" w:color="000000" w:fill="ffffff"/>
            <w:tcBorders>
              <w:bottom w:val="single" w:color="000000" w:sz="4" w:space="0"/>
              <w:right w:val="single" w:color="000000" w:sz="4" w:space="0"/>
            </w:tcBorders>
            <w:tcW w:w="2625" w:type="dxa"/>
            <w:vAlign w:val="center"/>
          </w:tcPr>
          <w:p>
            <w:pPr>
              <w:pStyle w:val="12385"/>
              <w:pBdr/>
              <w:spacing/>
              <w:ind/>
              <w:rPr>
                <w:rFonts w:cs="Times New Roman"/>
              </w:rPr>
            </w:pPr>
            <w:r>
              <w:rPr>
                <w:color w:val="000000"/>
                <w:szCs w:val="20"/>
              </w:rPr>
              <w:t xml:space="preserve">0,40</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438" w:type="dxa"/>
            <w:vAlign w:val="center"/>
          </w:tcPr>
          <w:p>
            <w:pPr>
              <w:pStyle w:val="12385"/>
              <w:pBdr/>
              <w:spacing/>
              <w:ind/>
              <w:rPr/>
            </w:pPr>
            <w:r>
              <w:t xml:space="preserve">Котельная №7 с. Белый Колодезь</w:t>
            </w:r>
            <w:r/>
          </w:p>
        </w:tc>
        <w:tc>
          <w:tcPr>
            <w:shd w:val="clear" w:color="000000" w:fill="ffffff"/>
            <w:tcBorders>
              <w:bottom w:val="single" w:color="000000" w:sz="4" w:space="0"/>
              <w:right w:val="single" w:color="000000" w:sz="4" w:space="0"/>
            </w:tcBorders>
            <w:tcW w:w="1595" w:type="dxa"/>
            <w:vAlign w:val="center"/>
          </w:tcPr>
          <w:p>
            <w:pPr>
              <w:pStyle w:val="12385"/>
              <w:pBdr/>
              <w:spacing/>
              <w:ind/>
              <w:rPr>
                <w:rFonts w:cs="Times New Roman"/>
              </w:rPr>
            </w:pPr>
            <w:r>
              <w:rPr>
                <w:color w:val="000000"/>
                <w:szCs w:val="20"/>
              </w:rPr>
              <w:t xml:space="preserve">5,6</w:t>
            </w:r>
            <w:r>
              <w:rPr>
                <w:rFonts w:cs="Times New Roman"/>
              </w:rPr>
            </w:r>
          </w:p>
        </w:tc>
        <w:tc>
          <w:tcPr>
            <w:tcBorders>
              <w:bottom w:val="single" w:color="000000" w:sz="4" w:space="0"/>
              <w:right w:val="single" w:color="000000" w:sz="4" w:space="0"/>
            </w:tcBorders>
            <w:tcW w:w="1696" w:type="dxa"/>
            <w:vAlign w:val="center"/>
          </w:tcPr>
          <w:p>
            <w:pPr>
              <w:pStyle w:val="12385"/>
              <w:pBdr/>
              <w:spacing/>
              <w:ind/>
              <w:rPr>
                <w:rFonts w:cs="Times New Roman"/>
              </w:rPr>
            </w:pPr>
            <w:r>
              <w:rPr>
                <w:szCs w:val="20"/>
              </w:rPr>
              <w:t xml:space="preserve">2,2</w:t>
            </w:r>
            <w:r>
              <w:rPr>
                <w:rFonts w:cs="Times New Roman"/>
              </w:rPr>
            </w:r>
          </w:p>
        </w:tc>
        <w:tc>
          <w:tcPr>
            <w:shd w:val="clear" w:color="000000" w:fill="ffffff"/>
            <w:tcBorders>
              <w:bottom w:val="single" w:color="000000" w:sz="4" w:space="0"/>
              <w:right w:val="single" w:color="000000" w:sz="4" w:space="0"/>
            </w:tcBorders>
            <w:tcW w:w="2625" w:type="dxa"/>
            <w:vAlign w:val="center"/>
          </w:tcPr>
          <w:p>
            <w:pPr>
              <w:pStyle w:val="12385"/>
              <w:pBdr/>
              <w:spacing/>
              <w:ind/>
              <w:rPr>
                <w:rFonts w:cs="Times New Roman"/>
              </w:rPr>
            </w:pPr>
            <w:r>
              <w:rPr>
                <w:color w:val="000000"/>
                <w:szCs w:val="20"/>
              </w:rPr>
              <w:t xml:space="preserve">0,40</w:t>
            </w:r>
            <w:r>
              <w:rPr>
                <w:rFonts w:cs="Times New Roman"/>
              </w:rPr>
            </w:r>
          </w:p>
        </w:tc>
      </w:tr>
    </w:tbl>
    <w:p>
      <w:pPr>
        <w:pStyle w:val="10533"/>
        <w:pBdr/>
        <w:spacing/>
        <w:ind/>
        <w:rPr>
          <w:b/>
        </w:rPr>
        <w:sectPr>
          <w:headerReference w:type="default" r:id="rId222"/>
          <w:headerReference w:type="first" r:id="rId223"/>
          <w:footerReference w:type="default" r:id="rId490"/>
          <w:footerReference w:type="first" r:id="rId491"/>
          <w:footnotePr/>
          <w:endnotePr/>
          <w:type w:val="nextPage"/>
          <w:pgSz w:h="16838" w:orient="portrait" w:w="11906"/>
          <w:pgMar w:top="1134" w:right="850" w:bottom="1134" w:left="1701" w:header="567" w:footer="454" w:gutter="0"/>
          <w:cols w:num="1" w:sep="0" w:space="1701" w:equalWidth="1"/>
        </w:sectPr>
      </w:pPr>
      <w:r>
        <w:rPr>
          <w:b/>
        </w:rPr>
      </w:r>
      <w:r>
        <w:rPr>
          <w:b/>
        </w:rPr>
      </w:r>
    </w:p>
    <w:p>
      <w:pPr>
        <w:pStyle w:val="10534"/>
        <w:numPr>
          <w:ilvl w:val="0"/>
          <w:numId w:val="188"/>
        </w:numPr>
        <w:pBdr/>
        <w:spacing/>
        <w:ind/>
        <w:rPr>
          <w:spacing w:val="0"/>
        </w:rPr>
      </w:pPr>
      <w:r/>
      <w:bookmarkStart w:id="1173" w:name="_Hlk174403737"/>
      <w:r/>
      <w:bookmarkStart w:id="1174" w:name="_Toc198483668"/>
      <w:r/>
      <w:bookmarkStart w:id="1175" w:name="_Toc166767313"/>
      <w:r/>
      <w:bookmarkStart w:id="1176" w:name="_Toc84971084"/>
      <w:r/>
      <w:bookmarkStart w:id="1177" w:name="_Toc9154938"/>
      <w:r/>
      <w:bookmarkEnd w:id="1173"/>
      <w:r>
        <w:rPr>
          <w:spacing w:val="0"/>
        </w:rPr>
        <w:t xml:space="preserve">Коэффициент использования установленной тепловой мощности</w:t>
      </w:r>
      <w:bookmarkEnd w:id="1174"/>
      <w:r/>
      <w:bookmarkEnd w:id="1175"/>
      <w:r/>
      <w:bookmarkEnd w:id="1176"/>
      <w:r/>
      <w:bookmarkEnd w:id="1177"/>
      <w:r/>
      <w:r>
        <w:rPr>
          <w:spacing w:val="0"/>
        </w:rPr>
      </w:r>
    </w:p>
    <w:p>
      <w:pPr>
        <w:pStyle w:val="12960"/>
        <w:pBdr/>
        <w:spacing/>
        <w:ind/>
        <w:rPr/>
      </w:pPr>
      <w:r/>
      <w:r>
        <w:t xml:space="preserve">КИУТМ - коэффициент использования установленной тепловой мощности.</w:t>
      </w:r>
      <w:r/>
    </w:p>
    <w:p>
      <w:pPr>
        <w:pStyle w:val="12960"/>
        <w:pBdr/>
        <w:spacing/>
        <w:ind/>
        <w:rPr>
          <w:b/>
        </w:rPr>
      </w:pPr>
      <w:r/>
      <w:bookmarkStart w:id="1179" w:name="_Hlk205237716"/>
      <w:r>
        <w:t xml:space="preserve">Численно равняется отношению фактической выработки тепловой энергии за определённый период к теоретической выработке при работе без остановок на установленной тепловой мощности.</w:t>
      </w:r>
      <w:bookmarkEnd w:id="1179"/>
      <w:r/>
      <w:r>
        <w:rPr>
          <w:b/>
        </w:rPr>
      </w:r>
    </w:p>
    <w:p>
      <w:pPr>
        <w:pStyle w:val="12960"/>
        <w:pBdr/>
        <w:spacing w:line="276" w:lineRule="auto"/>
        <w:ind/>
        <w:rPr>
          <w:b/>
        </w:rPr>
      </w:pPr>
      <w:r>
        <w:rPr>
          <w:b/>
        </w:rPr>
        <w:t xml:space="preserve">Таблица 13.5.1 - Коэффициент перспективного использования установленной тепловой мощности </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489"/>
        <w:gridCol w:w="1510"/>
        <w:gridCol w:w="1366"/>
        <w:gridCol w:w="1494"/>
        <w:gridCol w:w="1496"/>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3489" w:type="dxa"/>
            <w:vAlign w:val="center"/>
          </w:tcPr>
          <w:p>
            <w:pPr>
              <w:pStyle w:val="10533"/>
              <w:pBdr/>
              <w:spacing/>
              <w:ind/>
              <w:jc w:val="center"/>
              <w:rPr>
                <w:color w:val="000000"/>
                <w:sz w:val="20"/>
                <w:szCs w:val="20"/>
              </w:rPr>
            </w:pPr>
            <w:r>
              <w:rPr>
                <w:color w:val="000000"/>
                <w:sz w:val="20"/>
                <w:szCs w:val="20"/>
              </w:rPr>
              <w:t xml:space="preserve">Источник централизованного теплоснабжения</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510" w:type="dxa"/>
            <w:vAlign w:val="center"/>
          </w:tcPr>
          <w:p>
            <w:pPr>
              <w:pStyle w:val="10533"/>
              <w:pBdr/>
              <w:spacing/>
              <w:ind/>
              <w:jc w:val="center"/>
              <w:rPr>
                <w:color w:val="000000"/>
                <w:sz w:val="20"/>
                <w:szCs w:val="20"/>
              </w:rPr>
            </w:pPr>
            <w:r>
              <w:rPr>
                <w:color w:val="000000"/>
                <w:sz w:val="20"/>
                <w:szCs w:val="20"/>
              </w:rPr>
              <w:t xml:space="preserve">Установленная тепловая мощность, Гкал/ч</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366" w:type="dxa"/>
            <w:vAlign w:val="center"/>
          </w:tcPr>
          <w:p>
            <w:pPr>
              <w:pStyle w:val="10533"/>
              <w:pBdr/>
              <w:spacing/>
              <w:ind/>
              <w:jc w:val="center"/>
              <w:rPr>
                <w:color w:val="000000"/>
                <w:sz w:val="20"/>
                <w:szCs w:val="20"/>
              </w:rPr>
            </w:pPr>
            <w:r>
              <w:rPr>
                <w:color w:val="000000"/>
                <w:sz w:val="20"/>
                <w:szCs w:val="20"/>
              </w:rPr>
              <w:t xml:space="preserve">Объем производства тепловой энергии в год, Гкал</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494" w:type="dxa"/>
            <w:vAlign w:val="center"/>
          </w:tcPr>
          <w:p>
            <w:pPr>
              <w:pStyle w:val="10533"/>
              <w:pBdr/>
              <w:spacing/>
              <w:ind/>
              <w:jc w:val="center"/>
              <w:rPr>
                <w:color w:val="000000"/>
                <w:sz w:val="20"/>
                <w:szCs w:val="20"/>
              </w:rPr>
            </w:pPr>
            <w:r>
              <w:rPr>
                <w:color w:val="000000"/>
                <w:sz w:val="20"/>
                <w:szCs w:val="20"/>
              </w:rPr>
              <w:t xml:space="preserve">Теоретическая выработка при работе без остановок на установленной тепловой мощности, Гкал</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496" w:type="dxa"/>
            <w:vAlign w:val="center"/>
          </w:tcPr>
          <w:p>
            <w:pPr>
              <w:pStyle w:val="10533"/>
              <w:pBdr/>
              <w:spacing/>
              <w:ind/>
              <w:jc w:val="center"/>
              <w:rPr>
                <w:color w:val="000000"/>
                <w:sz w:val="20"/>
                <w:szCs w:val="20"/>
              </w:rPr>
            </w:pPr>
            <w:r>
              <w:rPr>
                <w:color w:val="000000"/>
                <w:sz w:val="20"/>
                <w:szCs w:val="20"/>
              </w:rPr>
              <w:t xml:space="preserve">Коэффициент использования установленной тепловой мощности</w:t>
            </w:r>
            <w:r>
              <w:rPr>
                <w:color w:val="000000"/>
                <w:sz w:val="20"/>
                <w:szCs w:val="20"/>
              </w:rPr>
            </w:r>
          </w:p>
        </w:tc>
      </w:tr>
      <w:tr>
        <w:trPr>
          <w:trHeight w:val="20"/>
        </w:trPr>
        <w:tc>
          <w:tcPr>
            <w:shd w:val="clear" w:color="000000" w:fill="ffffff"/>
            <w:tcBorders>
              <w:left w:val="single" w:color="000000" w:sz="4" w:space="0"/>
              <w:bottom w:val="single" w:color="000000" w:sz="4" w:space="0"/>
              <w:right w:val="single" w:color="000000" w:sz="4" w:space="0"/>
            </w:tcBorders>
            <w:tcW w:w="3489" w:type="dxa"/>
            <w:vAlign w:val="center"/>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10" w:type="dxa"/>
            <w:vAlign w:val="center"/>
          </w:tcPr>
          <w:p>
            <w:pPr>
              <w:pStyle w:val="12385"/>
              <w:pBdr/>
              <w:spacing/>
              <w:ind/>
              <w:rPr>
                <w:rFonts w:cs="Times New Roman"/>
              </w:rPr>
            </w:pPr>
            <w:r>
              <w:rPr>
                <w:color w:val="000000"/>
                <w:szCs w:val="20"/>
              </w:rPr>
              <w:t xml:space="preserve">0,172</w:t>
            </w:r>
            <w:r>
              <w:rPr>
                <w:rFonts w:cs="Times New Roman"/>
              </w:rPr>
            </w:r>
          </w:p>
        </w:tc>
        <w:tc>
          <w:tcPr>
            <w:shd w:val="clear" w:color="000000" w:fill="ffffff"/>
            <w:tcBorders>
              <w:bottom w:val="single" w:color="000000" w:sz="4" w:space="0"/>
              <w:right w:val="single" w:color="000000" w:sz="4" w:space="0"/>
            </w:tcBorders>
            <w:tcW w:w="1366" w:type="dxa"/>
            <w:vAlign w:val="center"/>
          </w:tcPr>
          <w:p>
            <w:pPr>
              <w:pStyle w:val="12385"/>
              <w:pBdr/>
              <w:spacing/>
              <w:ind/>
              <w:rPr>
                <w:rFonts w:cs="Times New Roman"/>
              </w:rPr>
            </w:pPr>
            <w:r>
              <w:rPr>
                <w:color w:val="000000"/>
                <w:szCs w:val="20"/>
              </w:rPr>
              <w:t xml:space="preserve">118,58</w:t>
            </w:r>
            <w:r>
              <w:rPr>
                <w:rFonts w:cs="Times New Roman"/>
              </w:rPr>
            </w:r>
          </w:p>
        </w:tc>
        <w:tc>
          <w:tcPr>
            <w:shd w:val="clear" w:color="000000" w:fill="ffffff"/>
            <w:tcBorders>
              <w:bottom w:val="single" w:color="000000" w:sz="4" w:space="0"/>
              <w:right w:val="single" w:color="000000" w:sz="4" w:space="0"/>
            </w:tcBorders>
            <w:tcW w:w="1494" w:type="dxa"/>
            <w:vAlign w:val="center"/>
          </w:tcPr>
          <w:p>
            <w:pPr>
              <w:pStyle w:val="12385"/>
              <w:pBdr/>
              <w:spacing/>
              <w:ind/>
              <w:rPr>
                <w:rFonts w:cs="Times New Roman"/>
              </w:rPr>
            </w:pPr>
            <w:r>
              <w:rPr>
                <w:color w:val="000000"/>
                <w:szCs w:val="20"/>
              </w:rPr>
              <w:t xml:space="preserve">875,14</w:t>
            </w:r>
            <w:r>
              <w:rPr>
                <w:rFonts w:cs="Times New Roman"/>
              </w:rPr>
            </w:r>
          </w:p>
        </w:tc>
        <w:tc>
          <w:tcPr>
            <w:shd w:val="clear" w:color="000000" w:fill="ffffff"/>
            <w:tcBorders>
              <w:bottom w:val="single" w:color="000000" w:sz="4" w:space="0"/>
              <w:right w:val="single" w:color="000000" w:sz="4" w:space="0"/>
            </w:tcBorders>
            <w:tcW w:w="1496" w:type="dxa"/>
            <w:vAlign w:val="center"/>
          </w:tcPr>
          <w:p>
            <w:pPr>
              <w:pStyle w:val="12385"/>
              <w:pBdr/>
              <w:spacing/>
              <w:ind/>
              <w:rPr>
                <w:rFonts w:cs="Times New Roman"/>
              </w:rPr>
            </w:pPr>
            <w:r>
              <w:rPr>
                <w:color w:val="000000"/>
                <w:szCs w:val="20"/>
              </w:rPr>
              <w:t xml:space="preserve">13,55%</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489" w:type="dxa"/>
            <w:vAlign w:val="center"/>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10" w:type="dxa"/>
            <w:vAlign w:val="center"/>
          </w:tcPr>
          <w:p>
            <w:pPr>
              <w:pStyle w:val="12385"/>
              <w:pBdr/>
              <w:spacing/>
              <w:ind/>
              <w:rPr>
                <w:rFonts w:cs="Times New Roman"/>
              </w:rPr>
            </w:pPr>
            <w:r>
              <w:rPr>
                <w:color w:val="000000"/>
                <w:szCs w:val="20"/>
              </w:rPr>
              <w:t xml:space="preserve">0,344</w:t>
            </w:r>
            <w:r>
              <w:rPr>
                <w:rFonts w:cs="Times New Roman"/>
              </w:rPr>
            </w:r>
          </w:p>
        </w:tc>
        <w:tc>
          <w:tcPr>
            <w:shd w:val="clear" w:color="000000" w:fill="ffffff"/>
            <w:tcBorders>
              <w:bottom w:val="single" w:color="000000" w:sz="4" w:space="0"/>
              <w:right w:val="single" w:color="000000" w:sz="4" w:space="0"/>
            </w:tcBorders>
            <w:tcW w:w="1366" w:type="dxa"/>
            <w:vAlign w:val="center"/>
          </w:tcPr>
          <w:p>
            <w:pPr>
              <w:pStyle w:val="12385"/>
              <w:pBdr/>
              <w:spacing/>
              <w:ind/>
              <w:rPr>
                <w:rFonts w:cs="Times New Roman"/>
              </w:rPr>
            </w:pPr>
            <w:r>
              <w:rPr>
                <w:color w:val="000000"/>
                <w:szCs w:val="20"/>
              </w:rPr>
              <w:t xml:space="preserve">316,16</w:t>
            </w:r>
            <w:r>
              <w:rPr>
                <w:rFonts w:cs="Times New Roman"/>
              </w:rPr>
            </w:r>
          </w:p>
        </w:tc>
        <w:tc>
          <w:tcPr>
            <w:shd w:val="clear" w:color="000000" w:fill="ffffff"/>
            <w:tcBorders>
              <w:bottom w:val="single" w:color="000000" w:sz="4" w:space="0"/>
              <w:right w:val="single" w:color="000000" w:sz="4" w:space="0"/>
            </w:tcBorders>
            <w:tcW w:w="1494" w:type="dxa"/>
            <w:vAlign w:val="center"/>
          </w:tcPr>
          <w:p>
            <w:pPr>
              <w:pStyle w:val="12385"/>
              <w:pBdr/>
              <w:spacing/>
              <w:ind/>
              <w:rPr>
                <w:rFonts w:cs="Times New Roman"/>
              </w:rPr>
            </w:pPr>
            <w:r>
              <w:rPr>
                <w:color w:val="000000"/>
                <w:szCs w:val="20"/>
              </w:rPr>
              <w:t xml:space="preserve">1750,27</w:t>
            </w:r>
            <w:r>
              <w:rPr>
                <w:rFonts w:cs="Times New Roman"/>
              </w:rPr>
            </w:r>
          </w:p>
        </w:tc>
        <w:tc>
          <w:tcPr>
            <w:shd w:val="clear" w:color="000000" w:fill="ffffff"/>
            <w:tcBorders>
              <w:bottom w:val="single" w:color="000000" w:sz="4" w:space="0"/>
              <w:right w:val="single" w:color="000000" w:sz="4" w:space="0"/>
            </w:tcBorders>
            <w:tcW w:w="1496" w:type="dxa"/>
            <w:vAlign w:val="center"/>
          </w:tcPr>
          <w:p>
            <w:pPr>
              <w:pStyle w:val="12385"/>
              <w:pBdr/>
              <w:spacing/>
              <w:ind/>
              <w:rPr>
                <w:rFonts w:cs="Times New Roman"/>
              </w:rPr>
            </w:pPr>
            <w:r>
              <w:rPr>
                <w:color w:val="000000"/>
                <w:szCs w:val="20"/>
              </w:rPr>
              <w:t xml:space="preserve">18,06%</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489" w:type="dxa"/>
            <w:vAlign w:val="center"/>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10" w:type="dxa"/>
            <w:vAlign w:val="center"/>
          </w:tcPr>
          <w:p>
            <w:pPr>
              <w:pStyle w:val="12385"/>
              <w:pBdr/>
              <w:spacing/>
              <w:ind/>
              <w:rPr>
                <w:rFonts w:cs="Times New Roman"/>
              </w:rPr>
            </w:pPr>
            <w:r>
              <w:rPr>
                <w:color w:val="000000"/>
                <w:szCs w:val="20"/>
              </w:rPr>
              <w:t xml:space="preserve">0,172</w:t>
            </w:r>
            <w:r>
              <w:rPr>
                <w:rFonts w:cs="Times New Roman"/>
              </w:rPr>
            </w:r>
          </w:p>
        </w:tc>
        <w:tc>
          <w:tcPr>
            <w:shd w:val="clear" w:color="000000" w:fill="ffffff"/>
            <w:tcBorders>
              <w:bottom w:val="single" w:color="000000" w:sz="4" w:space="0"/>
              <w:right w:val="single" w:color="000000" w:sz="4" w:space="0"/>
            </w:tcBorders>
            <w:tcW w:w="1366" w:type="dxa"/>
            <w:vAlign w:val="center"/>
          </w:tcPr>
          <w:p>
            <w:pPr>
              <w:pStyle w:val="12385"/>
              <w:pBdr/>
              <w:spacing/>
              <w:ind/>
              <w:rPr>
                <w:rFonts w:cs="Times New Roman"/>
              </w:rPr>
            </w:pPr>
            <w:r>
              <w:rPr>
                <w:color w:val="000000"/>
                <w:szCs w:val="20"/>
              </w:rPr>
              <w:t xml:space="preserve">159,96</w:t>
            </w:r>
            <w:r>
              <w:rPr>
                <w:rFonts w:cs="Times New Roman"/>
              </w:rPr>
            </w:r>
          </w:p>
        </w:tc>
        <w:tc>
          <w:tcPr>
            <w:shd w:val="clear" w:color="000000" w:fill="ffffff"/>
            <w:tcBorders>
              <w:bottom w:val="single" w:color="000000" w:sz="4" w:space="0"/>
              <w:right w:val="single" w:color="000000" w:sz="4" w:space="0"/>
            </w:tcBorders>
            <w:tcW w:w="1494" w:type="dxa"/>
            <w:vAlign w:val="center"/>
          </w:tcPr>
          <w:p>
            <w:pPr>
              <w:pStyle w:val="12385"/>
              <w:pBdr/>
              <w:spacing/>
              <w:ind/>
              <w:rPr>
                <w:rFonts w:cs="Times New Roman"/>
              </w:rPr>
            </w:pPr>
            <w:r>
              <w:rPr>
                <w:color w:val="000000"/>
                <w:szCs w:val="20"/>
              </w:rPr>
              <w:t xml:space="preserve">21003,26</w:t>
            </w:r>
            <w:r>
              <w:rPr>
                <w:rFonts w:cs="Times New Roman"/>
              </w:rPr>
            </w:r>
          </w:p>
        </w:tc>
        <w:tc>
          <w:tcPr>
            <w:shd w:val="clear" w:color="000000" w:fill="ffffff"/>
            <w:tcBorders>
              <w:bottom w:val="single" w:color="000000" w:sz="4" w:space="0"/>
              <w:right w:val="single" w:color="000000" w:sz="4" w:space="0"/>
            </w:tcBorders>
            <w:tcW w:w="1496" w:type="dxa"/>
            <w:vAlign w:val="center"/>
          </w:tcPr>
          <w:p>
            <w:pPr>
              <w:pStyle w:val="12385"/>
              <w:pBdr/>
              <w:spacing/>
              <w:ind/>
              <w:rPr>
                <w:rFonts w:cs="Times New Roman"/>
              </w:rPr>
            </w:pPr>
            <w:r>
              <w:rPr>
                <w:color w:val="000000"/>
                <w:szCs w:val="20"/>
              </w:rPr>
              <w:t xml:space="preserve">0,76%</w:t>
            </w:r>
            <w:r>
              <w:rPr>
                <w:rFonts w:cs="Times New Roman"/>
              </w:rPr>
            </w:r>
          </w:p>
        </w:tc>
      </w:tr>
    </w:tbl>
    <w:p>
      <w:pPr>
        <w:pStyle w:val="10534"/>
        <w:numPr>
          <w:ilvl w:val="0"/>
          <w:numId w:val="189"/>
        </w:numPr>
        <w:pBdr/>
        <w:spacing/>
        <w:ind/>
        <w:rPr>
          <w:spacing w:val="0"/>
        </w:rPr>
      </w:pPr>
      <w:r/>
      <w:bookmarkStart w:id="1180" w:name="_Toc198483669"/>
      <w:r/>
      <w:bookmarkStart w:id="1181" w:name="_Toc166767314"/>
      <w:r/>
      <w:bookmarkStart w:id="1182" w:name="_Toc84971085"/>
      <w:r/>
      <w:bookmarkStart w:id="1183" w:name="_Toc9154939"/>
      <w:r>
        <w:rPr>
          <w:spacing w:val="0"/>
        </w:rPr>
        <w:t xml:space="preserve">Удельная материальная характеристика тепловых сетей, </w:t>
      </w:r>
      <w:bookmarkStart w:id="1184" w:name="OLE_LINK4"/>
      <w:r>
        <w:rPr>
          <w:spacing w:val="0"/>
        </w:rPr>
        <w:t xml:space="preserve">приведенная к расчетной тепловой нагрузке</w:t>
      </w:r>
      <w:bookmarkEnd w:id="1180"/>
      <w:r/>
      <w:bookmarkEnd w:id="1181"/>
      <w:r/>
      <w:bookmarkEnd w:id="1182"/>
      <w:r/>
      <w:bookmarkEnd w:id="1183"/>
      <w:r/>
      <w:bookmarkEnd w:id="1184"/>
      <w:r/>
      <w:r>
        <w:rPr>
          <w:spacing w:val="0"/>
        </w:rPr>
      </w:r>
    </w:p>
    <w:p>
      <w:pPr>
        <w:pStyle w:val="12279"/>
        <w:pBdr/>
        <w:spacing/>
        <w:ind w:firstLine="0"/>
        <w:rPr>
          <w:rFonts w:ascii="Times New Roman" w:hAnsi="Times New Roman" w:cs="Times New Roman"/>
          <w:b/>
          <w:sz w:val="24"/>
          <w:szCs w:val="24"/>
        </w:rPr>
      </w:pPr>
      <w:r>
        <w:rPr>
          <w:rFonts w:ascii="Times New Roman" w:hAnsi="Times New Roman" w:cs="Times New Roman"/>
          <w:b/>
          <w:sz w:val="24"/>
          <w:szCs w:val="24"/>
        </w:rPr>
        <w:t xml:space="preserve">Таблица 13.6.1 - </w:t>
      </w:r>
      <w:bookmarkStart w:id="1185" w:name="_Hlk174403801"/>
      <w:r>
        <w:rPr>
          <w:rFonts w:ascii="Times New Roman" w:hAnsi="Times New Roman" w:cs="Times New Roman"/>
          <w:b/>
          <w:sz w:val="24"/>
          <w:szCs w:val="24"/>
        </w:rPr>
        <w:t xml:space="preserve">Удельная материальная характеристика тепловых сетей, приведенная к расчетной тепловой нагрузке</w:t>
      </w:r>
      <w:bookmarkEnd w:id="1185"/>
      <w:r/>
      <w:r>
        <w:rPr>
          <w:rFonts w:ascii="Times New Roman" w:hAnsi="Times New Roman" w:cs="Times New Roman"/>
          <w:b/>
          <w:sz w:val="24"/>
          <w:szCs w:val="24"/>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758"/>
        <w:gridCol w:w="1596"/>
        <w:gridCol w:w="1432"/>
        <w:gridCol w:w="2568"/>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758" w:type="dxa"/>
            <w:vAlign w:val="center"/>
          </w:tcPr>
          <w:p>
            <w:pPr>
              <w:pStyle w:val="10533"/>
              <w:pBdr/>
              <w:spacing/>
              <w:ind/>
              <w:jc w:val="center"/>
              <w:rPr>
                <w:color w:val="000000"/>
                <w:sz w:val="20"/>
                <w:szCs w:val="20"/>
              </w:rPr>
            </w:pPr>
            <w:r>
              <w:rPr>
                <w:color w:val="000000"/>
                <w:sz w:val="20"/>
                <w:szCs w:val="20"/>
              </w:rPr>
              <w:t xml:space="preserve">Наименование Котельной</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596" w:type="dxa"/>
            <w:vAlign w:val="center"/>
          </w:tcPr>
          <w:p>
            <w:pPr>
              <w:pStyle w:val="10533"/>
              <w:pBdr/>
              <w:spacing/>
              <w:ind/>
              <w:jc w:val="center"/>
              <w:rPr>
                <w:color w:val="000000"/>
                <w:sz w:val="20"/>
                <w:szCs w:val="20"/>
              </w:rPr>
            </w:pPr>
            <w:r>
              <w:rPr>
                <w:color w:val="000000"/>
                <w:sz w:val="20"/>
                <w:szCs w:val="20"/>
              </w:rPr>
              <w:t xml:space="preserve">Материальная характеристика, м</w:t>
            </w:r>
            <w:r>
              <w:rPr>
                <w:color w:val="000000"/>
                <w:sz w:val="20"/>
                <w:szCs w:val="20"/>
                <w:vertAlign w:val="superscript"/>
              </w:rPr>
              <w:t xml:space="preserve">2</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432" w:type="dxa"/>
            <w:vAlign w:val="center"/>
          </w:tcPr>
          <w:p>
            <w:pPr>
              <w:pStyle w:val="10533"/>
              <w:pBdr/>
              <w:spacing/>
              <w:ind/>
              <w:jc w:val="center"/>
              <w:rPr>
                <w:color w:val="000000"/>
                <w:sz w:val="20"/>
                <w:szCs w:val="20"/>
              </w:rPr>
            </w:pPr>
            <w:r>
              <w:rPr>
                <w:color w:val="000000"/>
                <w:sz w:val="20"/>
                <w:szCs w:val="20"/>
              </w:rPr>
              <w:t xml:space="preserve">Расчетная тепловая нагрузка потребителей, Гкал/ч</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2568" w:type="dxa"/>
            <w:vAlign w:val="center"/>
          </w:tcPr>
          <w:p>
            <w:pPr>
              <w:pStyle w:val="10533"/>
              <w:pBdr/>
              <w:spacing/>
              <w:ind/>
              <w:jc w:val="center"/>
              <w:rPr>
                <w:color w:val="000000"/>
                <w:sz w:val="20"/>
                <w:szCs w:val="20"/>
              </w:rPr>
            </w:pPr>
            <w:r>
              <w:rPr>
                <w:color w:val="000000"/>
                <w:sz w:val="20"/>
                <w:szCs w:val="20"/>
              </w:rPr>
              <w:t xml:space="preserve">Удельная материальная характеристика тепловых сетей, приведенная к расчетной тепловой нагрузке, м</w:t>
            </w:r>
            <w:r>
              <w:rPr>
                <w:color w:val="000000"/>
                <w:sz w:val="20"/>
                <w:szCs w:val="20"/>
                <w:vertAlign w:val="superscript"/>
              </w:rPr>
              <w:t xml:space="preserve">2</w:t>
            </w:r>
            <w:r>
              <w:rPr>
                <w:color w:val="000000"/>
                <w:sz w:val="20"/>
                <w:szCs w:val="20"/>
              </w:rPr>
              <w:t xml:space="preserve">/Гкал/ч</w:t>
            </w:r>
            <w:r>
              <w:rPr>
                <w:color w:val="000000"/>
                <w:sz w:val="20"/>
                <w:szCs w:val="20"/>
              </w:rPr>
            </w:r>
          </w:p>
        </w:tc>
      </w:tr>
      <w:tr>
        <w:trPr>
          <w:trHeight w:val="20"/>
        </w:trPr>
        <w:tc>
          <w:tcPr>
            <w:shd w:val="clear" w:color="000000" w:fill="ffffff"/>
            <w:tcBorders>
              <w:left w:val="single" w:color="000000" w:sz="4" w:space="0"/>
              <w:bottom w:val="single" w:color="000000" w:sz="4" w:space="0"/>
              <w:right w:val="single" w:color="000000" w:sz="4" w:space="0"/>
            </w:tcBorders>
            <w:tcW w:w="3758" w:type="dxa"/>
            <w:vAlign w:val="center"/>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596" w:type="dxa"/>
            <w:vAlign w:val="center"/>
          </w:tcPr>
          <w:p>
            <w:pPr>
              <w:pStyle w:val="12385"/>
              <w:pBdr/>
              <w:spacing/>
              <w:ind/>
              <w:rPr>
                <w:rFonts w:cs="Times New Roman"/>
              </w:rPr>
            </w:pPr>
            <w:r>
              <w:rPr>
                <w:color w:val="000000"/>
                <w:szCs w:val="20"/>
              </w:rPr>
              <w:t xml:space="preserve">3,2</w:t>
            </w:r>
            <w:r>
              <w:rPr>
                <w:rFonts w:cs="Times New Roman"/>
              </w:rPr>
            </w:r>
          </w:p>
        </w:tc>
        <w:tc>
          <w:tcPr>
            <w:shd w:val="clear" w:color="000000" w:fill="ffffff"/>
            <w:tcBorders>
              <w:bottom w:val="single" w:color="000000" w:sz="4" w:space="0"/>
              <w:right w:val="single" w:color="000000" w:sz="4" w:space="0"/>
            </w:tcBorders>
            <w:tcW w:w="1432" w:type="dxa"/>
            <w:vAlign w:val="center"/>
          </w:tcPr>
          <w:p>
            <w:pPr>
              <w:pStyle w:val="12385"/>
              <w:pBdr/>
              <w:spacing/>
              <w:ind/>
              <w:rPr>
                <w:rFonts w:cs="Times New Roman"/>
              </w:rPr>
            </w:pPr>
            <w:r>
              <w:rPr>
                <w:color w:val="000000"/>
                <w:szCs w:val="20"/>
              </w:rPr>
              <w:t xml:space="preserve">0,240</w:t>
            </w:r>
            <w:r>
              <w:rPr>
                <w:rFonts w:cs="Times New Roman"/>
              </w:rPr>
            </w:r>
          </w:p>
        </w:tc>
        <w:tc>
          <w:tcPr>
            <w:shd w:val="clear" w:color="000000" w:fill="ffffff"/>
            <w:tcBorders>
              <w:bottom w:val="single" w:color="000000" w:sz="4" w:space="0"/>
              <w:right w:val="single" w:color="000000" w:sz="4" w:space="0"/>
            </w:tcBorders>
            <w:tcW w:w="2568" w:type="dxa"/>
            <w:vAlign w:val="center"/>
          </w:tcPr>
          <w:p>
            <w:pPr>
              <w:pStyle w:val="12385"/>
              <w:pBdr/>
              <w:spacing/>
              <w:ind/>
              <w:rPr>
                <w:rFonts w:cs="Times New Roman"/>
              </w:rPr>
            </w:pPr>
            <w:r>
              <w:rPr>
                <w:color w:val="000000"/>
                <w:szCs w:val="20"/>
              </w:rPr>
              <w:t xml:space="preserve">13,33</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58" w:type="dxa"/>
            <w:vAlign w:val="center"/>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596" w:type="dxa"/>
            <w:vAlign w:val="center"/>
          </w:tcPr>
          <w:p>
            <w:pPr>
              <w:pStyle w:val="12385"/>
              <w:pBdr/>
              <w:spacing/>
              <w:ind/>
              <w:rPr>
                <w:rFonts w:cs="Times New Roman"/>
              </w:rPr>
            </w:pPr>
            <w:r>
              <w:rPr>
                <w:color w:val="000000"/>
                <w:szCs w:val="20"/>
              </w:rPr>
              <w:t xml:space="preserve">5,6</w:t>
            </w:r>
            <w:r>
              <w:rPr>
                <w:rFonts w:cs="Times New Roman"/>
              </w:rPr>
            </w:r>
          </w:p>
        </w:tc>
        <w:tc>
          <w:tcPr>
            <w:shd w:val="clear" w:color="000000" w:fill="ffffff"/>
            <w:tcBorders>
              <w:bottom w:val="single" w:color="000000" w:sz="4" w:space="0"/>
              <w:right w:val="single" w:color="000000" w:sz="4" w:space="0"/>
            </w:tcBorders>
            <w:tcW w:w="1432" w:type="dxa"/>
            <w:vAlign w:val="center"/>
          </w:tcPr>
          <w:p>
            <w:pPr>
              <w:pStyle w:val="12385"/>
              <w:pBdr/>
              <w:spacing/>
              <w:ind/>
              <w:rPr>
                <w:rFonts w:cs="Times New Roman"/>
              </w:rPr>
            </w:pPr>
            <w:r>
              <w:rPr>
                <w:color w:val="000000"/>
                <w:szCs w:val="20"/>
              </w:rPr>
              <w:t xml:space="preserve">0,120</w:t>
            </w:r>
            <w:r>
              <w:rPr>
                <w:rFonts w:cs="Times New Roman"/>
              </w:rPr>
            </w:r>
          </w:p>
        </w:tc>
        <w:tc>
          <w:tcPr>
            <w:shd w:val="clear" w:color="000000" w:fill="ffffff"/>
            <w:tcBorders>
              <w:bottom w:val="single" w:color="000000" w:sz="4" w:space="0"/>
              <w:right w:val="single" w:color="000000" w:sz="4" w:space="0"/>
            </w:tcBorders>
            <w:tcW w:w="2568" w:type="dxa"/>
            <w:vAlign w:val="center"/>
          </w:tcPr>
          <w:p>
            <w:pPr>
              <w:pStyle w:val="12385"/>
              <w:pBdr/>
              <w:spacing/>
              <w:ind/>
              <w:rPr>
                <w:rFonts w:cs="Times New Roman"/>
              </w:rPr>
            </w:pPr>
            <w:r>
              <w:rPr>
                <w:color w:val="000000"/>
                <w:szCs w:val="20"/>
              </w:rPr>
              <w:t xml:space="preserve">46,67</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3758" w:type="dxa"/>
            <w:vAlign w:val="center"/>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596" w:type="dxa"/>
            <w:vAlign w:val="center"/>
          </w:tcPr>
          <w:p>
            <w:pPr>
              <w:pStyle w:val="12385"/>
              <w:pBdr/>
              <w:spacing/>
              <w:ind/>
              <w:rPr>
                <w:rFonts w:cs="Times New Roman"/>
              </w:rPr>
            </w:pPr>
            <w:r>
              <w:rPr>
                <w:color w:val="000000"/>
                <w:szCs w:val="20"/>
              </w:rPr>
              <w:t xml:space="preserve">5,6</w:t>
            </w:r>
            <w:r>
              <w:rPr>
                <w:rFonts w:cs="Times New Roman"/>
              </w:rPr>
            </w:r>
          </w:p>
        </w:tc>
        <w:tc>
          <w:tcPr>
            <w:shd w:val="clear" w:color="000000" w:fill="ffffff"/>
            <w:tcBorders>
              <w:bottom w:val="single" w:color="000000" w:sz="4" w:space="0"/>
              <w:right w:val="single" w:color="000000" w:sz="4" w:space="0"/>
            </w:tcBorders>
            <w:tcW w:w="1432" w:type="dxa"/>
            <w:vAlign w:val="center"/>
          </w:tcPr>
          <w:p>
            <w:pPr>
              <w:pStyle w:val="12385"/>
              <w:pBdr/>
              <w:spacing/>
              <w:ind/>
              <w:rPr>
                <w:rFonts w:cs="Times New Roman"/>
              </w:rPr>
            </w:pPr>
            <w:r>
              <w:rPr>
                <w:color w:val="000000"/>
                <w:szCs w:val="20"/>
              </w:rPr>
              <w:t xml:space="preserve">0,070</w:t>
            </w:r>
            <w:r>
              <w:rPr>
                <w:rFonts w:cs="Times New Roman"/>
              </w:rPr>
            </w:r>
          </w:p>
        </w:tc>
        <w:tc>
          <w:tcPr>
            <w:shd w:val="clear" w:color="000000" w:fill="ffffff"/>
            <w:tcBorders>
              <w:bottom w:val="single" w:color="000000" w:sz="4" w:space="0"/>
              <w:right w:val="single" w:color="000000" w:sz="4" w:space="0"/>
            </w:tcBorders>
            <w:tcW w:w="2568" w:type="dxa"/>
            <w:vAlign w:val="center"/>
          </w:tcPr>
          <w:p>
            <w:pPr>
              <w:pStyle w:val="12385"/>
              <w:pBdr/>
              <w:spacing/>
              <w:ind/>
              <w:rPr>
                <w:rFonts w:cs="Times New Roman"/>
              </w:rPr>
            </w:pPr>
            <w:r>
              <w:rPr>
                <w:color w:val="000000"/>
                <w:szCs w:val="20"/>
              </w:rPr>
              <w:t xml:space="preserve">80,00</w:t>
            </w:r>
            <w:r>
              <w:rPr>
                <w:rFonts w:cs="Times New Roman"/>
              </w:rPr>
            </w:r>
          </w:p>
        </w:tc>
      </w:tr>
    </w:tbl>
    <w:p>
      <w:pPr>
        <w:pStyle w:val="10533"/>
        <w:pBdr/>
        <w:spacing/>
        <w:ind/>
        <w:rPr>
          <w:sz w:val="20"/>
          <w:szCs w:val="20"/>
        </w:rPr>
      </w:pPr>
      <w:r>
        <w:rPr>
          <w:sz w:val="20"/>
          <w:szCs w:val="20"/>
        </w:rPr>
      </w:r>
      <w:r>
        <w:rPr>
          <w:sz w:val="20"/>
          <w:szCs w:val="20"/>
        </w:rPr>
      </w:r>
    </w:p>
    <w:p>
      <w:pPr>
        <w:pStyle w:val="10533"/>
        <w:pBdr/>
        <w:spacing/>
        <w:ind/>
        <w:rPr>
          <w:b/>
        </w:rPr>
      </w:pPr>
      <w:r>
        <w:rPr>
          <w:b/>
        </w:rPr>
        <w:t xml:space="preserve">Таблица 13.6.2 - </w:t>
      </w:r>
      <w:bookmarkStart w:id="1186" w:name="_Hlk174403823"/>
      <w:r>
        <w:rPr>
          <w:b/>
        </w:rPr>
        <w:t xml:space="preserve">Удельная материальная характеристика тепловых сетей, приведенная к расчетной годовой выработке</w:t>
      </w:r>
      <w:bookmarkEnd w:id="1186"/>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357"/>
        <w:gridCol w:w="1596"/>
        <w:gridCol w:w="1366"/>
        <w:gridCol w:w="3035"/>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357" w:type="dxa"/>
            <w:vAlign w:val="center"/>
          </w:tcPr>
          <w:p>
            <w:pPr>
              <w:pStyle w:val="10533"/>
              <w:pBdr/>
              <w:spacing/>
              <w:ind/>
              <w:jc w:val="center"/>
              <w:rPr>
                <w:color w:val="000000"/>
                <w:sz w:val="20"/>
                <w:szCs w:val="20"/>
              </w:rPr>
            </w:pPr>
            <w:r>
              <w:rPr>
                <w:color w:val="000000"/>
                <w:sz w:val="20"/>
                <w:szCs w:val="20"/>
              </w:rPr>
              <w:t xml:space="preserve">Наименование Котельной</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596" w:type="dxa"/>
            <w:vAlign w:val="center"/>
          </w:tcPr>
          <w:p>
            <w:pPr>
              <w:pStyle w:val="10533"/>
              <w:pBdr/>
              <w:spacing/>
              <w:ind/>
              <w:jc w:val="center"/>
              <w:rPr>
                <w:color w:val="000000"/>
                <w:sz w:val="20"/>
                <w:szCs w:val="20"/>
              </w:rPr>
            </w:pPr>
            <w:r>
              <w:rPr>
                <w:color w:val="000000"/>
                <w:sz w:val="20"/>
                <w:szCs w:val="20"/>
              </w:rPr>
              <w:t xml:space="preserve">Материальная характеристика, м</w:t>
            </w:r>
            <w:r>
              <w:rPr>
                <w:color w:val="000000"/>
                <w:sz w:val="20"/>
                <w:szCs w:val="20"/>
                <w:vertAlign w:val="superscript"/>
              </w:rPr>
              <w:t xml:space="preserve">2</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1366" w:type="dxa"/>
            <w:vAlign w:val="center"/>
          </w:tcPr>
          <w:p>
            <w:pPr>
              <w:pStyle w:val="10533"/>
              <w:pBdr/>
              <w:spacing/>
              <w:ind/>
              <w:jc w:val="center"/>
              <w:rPr>
                <w:color w:val="000000"/>
                <w:sz w:val="20"/>
                <w:szCs w:val="20"/>
              </w:rPr>
            </w:pPr>
            <w:r>
              <w:rPr>
                <w:color w:val="000000"/>
                <w:sz w:val="20"/>
                <w:szCs w:val="20"/>
              </w:rPr>
              <w:t xml:space="preserve">Объем производства тепловой энергии в год, Гкал</w:t>
            </w:r>
            <w:r>
              <w:rPr>
                <w:color w:val="000000"/>
                <w:sz w:val="20"/>
                <w:szCs w:val="20"/>
              </w:rPr>
            </w:r>
          </w:p>
        </w:tc>
        <w:tc>
          <w:tcPr>
            <w:shd w:val="clear" w:color="000000" w:fill="d9d9d9"/>
            <w:tcBorders>
              <w:top w:val="single" w:color="000000" w:sz="4" w:space="0"/>
              <w:bottom w:val="single" w:color="000000" w:sz="4" w:space="0"/>
              <w:right w:val="single" w:color="000000" w:sz="4" w:space="0"/>
            </w:tcBorders>
            <w:tcW w:w="3035" w:type="dxa"/>
            <w:vAlign w:val="center"/>
          </w:tcPr>
          <w:p>
            <w:pPr>
              <w:pStyle w:val="10533"/>
              <w:pBdr/>
              <w:spacing/>
              <w:ind/>
              <w:jc w:val="center"/>
              <w:rPr>
                <w:color w:val="000000"/>
                <w:sz w:val="20"/>
                <w:szCs w:val="20"/>
              </w:rPr>
            </w:pPr>
            <w:r>
              <w:rPr>
                <w:color w:val="000000"/>
                <w:sz w:val="20"/>
                <w:szCs w:val="20"/>
              </w:rPr>
              <w:t xml:space="preserve">Удельная материальная характеристика тепловых сетей, приведенная к расчетной годовой выработке, м</w:t>
            </w:r>
            <w:r>
              <w:rPr>
                <w:color w:val="000000"/>
                <w:sz w:val="20"/>
                <w:szCs w:val="20"/>
                <w:vertAlign w:val="superscript"/>
              </w:rPr>
              <w:t xml:space="preserve">2</w:t>
            </w:r>
            <w:r>
              <w:rPr>
                <w:color w:val="000000"/>
                <w:sz w:val="20"/>
                <w:szCs w:val="20"/>
              </w:rPr>
              <w:t xml:space="preserve">/Гкал</w:t>
            </w:r>
            <w:r>
              <w:rPr>
                <w:color w:val="000000"/>
                <w:sz w:val="20"/>
                <w:szCs w:val="20"/>
              </w:rPr>
            </w:r>
          </w:p>
        </w:tc>
      </w:tr>
      <w:tr>
        <w:trPr>
          <w:trHeight w:val="20"/>
        </w:trPr>
        <w:tc>
          <w:tcPr>
            <w:shd w:val="clear" w:color="000000" w:fill="ffffff"/>
            <w:tcBorders>
              <w:left w:val="single" w:color="000000" w:sz="4" w:space="0"/>
              <w:bottom w:val="single" w:color="000000" w:sz="4" w:space="0"/>
              <w:right w:val="single" w:color="000000" w:sz="4" w:space="0"/>
            </w:tcBorders>
            <w:tcW w:w="3357" w:type="dxa"/>
            <w:vAlign w:val="center"/>
          </w:tcPr>
          <w:p>
            <w:pPr>
              <w:pStyle w:val="12385"/>
              <w:pBdr/>
              <w:spacing/>
              <w:ind/>
              <w:rPr/>
            </w:pPr>
            <w:r>
              <w:rPr>
                <w:color w:val="000000"/>
                <w:szCs w:val="20"/>
              </w:rPr>
              <w:t xml:space="preserve">Котельная №5 д. Ясенки</w:t>
            </w:r>
            <w:r/>
          </w:p>
        </w:tc>
        <w:tc>
          <w:tcPr>
            <w:shd w:val="clear" w:color="000000" w:fill="ffffff"/>
            <w:tcBorders>
              <w:bottom w:val="single" w:color="000000" w:sz="4" w:space="0"/>
              <w:right w:val="single" w:color="000000" w:sz="4" w:space="0"/>
            </w:tcBorders>
            <w:tcW w:w="1596" w:type="dxa"/>
            <w:vAlign w:val="center"/>
          </w:tcPr>
          <w:p>
            <w:pPr>
              <w:pStyle w:val="12385"/>
              <w:pBdr/>
              <w:spacing/>
              <w:ind/>
              <w:rPr>
                <w:rFonts w:cs="Times New Roman"/>
              </w:rPr>
            </w:pPr>
            <w:r>
              <w:rPr>
                <w:color w:val="000000"/>
                <w:szCs w:val="20"/>
              </w:rPr>
              <w:t xml:space="preserve">3,20</w:t>
            </w:r>
            <w:r>
              <w:rPr>
                <w:rFonts w:cs="Times New Roman"/>
              </w:rP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Pr>
                <w:color w:val="000000"/>
                <w:szCs w:val="20"/>
              </w:rPr>
              <w:t xml:space="preserve">549,58</w:t>
            </w:r>
            <w:r/>
          </w:p>
        </w:tc>
        <w:tc>
          <w:tcPr>
            <w:shd w:val="clear" w:color="000000" w:fill="ffffff"/>
            <w:tcBorders>
              <w:bottom w:val="single" w:color="000000" w:sz="4" w:space="0"/>
              <w:right w:val="single" w:color="000000" w:sz="4" w:space="0"/>
            </w:tcBorders>
            <w:tcW w:w="3035" w:type="dxa"/>
            <w:vAlign w:val="center"/>
          </w:tcPr>
          <w:p>
            <w:pPr>
              <w:pStyle w:val="12385"/>
              <w:pBdr/>
              <w:spacing/>
              <w:ind/>
              <w:rPr/>
            </w:pPr>
            <w:r>
              <w:rPr>
                <w:color w:val="000000"/>
                <w:szCs w:val="20"/>
              </w:rPr>
              <w:t xml:space="preserve">0,0058</w:t>
            </w:r>
            <w:r/>
          </w:p>
        </w:tc>
      </w:tr>
      <w:tr>
        <w:trPr>
          <w:trHeight w:val="20"/>
        </w:trPr>
        <w:tc>
          <w:tcPr>
            <w:shd w:val="clear" w:color="000000" w:fill="ffffff"/>
            <w:tcBorders>
              <w:left w:val="single" w:color="000000" w:sz="4" w:space="0"/>
              <w:bottom w:val="single" w:color="000000" w:sz="4" w:space="0"/>
              <w:right w:val="single" w:color="000000" w:sz="4" w:space="0"/>
            </w:tcBorders>
            <w:tcW w:w="3357" w:type="dxa"/>
            <w:vAlign w:val="center"/>
          </w:tcPr>
          <w:p>
            <w:pPr>
              <w:pStyle w:val="12385"/>
              <w:pBdr/>
              <w:spacing/>
              <w:ind/>
              <w:rPr/>
            </w:pPr>
            <w:r>
              <w:rPr>
                <w:color w:val="000000"/>
                <w:szCs w:val="20"/>
              </w:rPr>
              <w:t xml:space="preserve">Котельная №6 п. Первомайский</w:t>
            </w:r>
            <w:r/>
          </w:p>
        </w:tc>
        <w:tc>
          <w:tcPr>
            <w:shd w:val="clear" w:color="000000" w:fill="ffffff"/>
            <w:tcBorders>
              <w:bottom w:val="single" w:color="000000" w:sz="4" w:space="0"/>
              <w:right w:val="single" w:color="000000" w:sz="4" w:space="0"/>
            </w:tcBorders>
            <w:tcW w:w="1596" w:type="dxa"/>
            <w:vAlign w:val="center"/>
          </w:tcPr>
          <w:p>
            <w:pPr>
              <w:pStyle w:val="12385"/>
              <w:pBdr/>
              <w:spacing/>
              <w:ind/>
              <w:rPr>
                <w:rFonts w:cs="Times New Roman"/>
              </w:rPr>
            </w:pPr>
            <w:r>
              <w:rPr>
                <w:color w:val="000000"/>
                <w:szCs w:val="20"/>
              </w:rPr>
              <w:t xml:space="preserve">5,60</w:t>
            </w:r>
            <w:r>
              <w:rPr>
                <w:rFonts w:cs="Times New Roman"/>
              </w:rP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Pr>
                <w:color w:val="000000"/>
                <w:szCs w:val="20"/>
              </w:rPr>
              <w:t xml:space="preserve">316,16</w:t>
            </w:r>
            <w:r/>
          </w:p>
        </w:tc>
        <w:tc>
          <w:tcPr>
            <w:shd w:val="clear" w:color="000000" w:fill="ffffff"/>
            <w:tcBorders>
              <w:bottom w:val="single" w:color="000000" w:sz="4" w:space="0"/>
              <w:right w:val="single" w:color="000000" w:sz="4" w:space="0"/>
            </w:tcBorders>
            <w:tcW w:w="3035" w:type="dxa"/>
            <w:vAlign w:val="center"/>
          </w:tcPr>
          <w:p>
            <w:pPr>
              <w:pStyle w:val="12385"/>
              <w:pBdr/>
              <w:spacing/>
              <w:ind/>
              <w:rPr/>
            </w:pPr>
            <w:r>
              <w:rPr>
                <w:color w:val="000000"/>
                <w:szCs w:val="20"/>
              </w:rPr>
              <w:t xml:space="preserve">0,0177</w:t>
            </w:r>
            <w:r/>
          </w:p>
        </w:tc>
      </w:tr>
      <w:tr>
        <w:trPr>
          <w:trHeight w:val="20"/>
        </w:trPr>
        <w:tc>
          <w:tcPr>
            <w:shd w:val="clear" w:color="000000" w:fill="ffffff"/>
            <w:tcBorders>
              <w:left w:val="single" w:color="000000" w:sz="4" w:space="0"/>
              <w:bottom w:val="single" w:color="000000" w:sz="4" w:space="0"/>
              <w:right w:val="single" w:color="000000" w:sz="4" w:space="0"/>
            </w:tcBorders>
            <w:tcW w:w="3357" w:type="dxa"/>
            <w:vAlign w:val="center"/>
          </w:tcPr>
          <w:p>
            <w:pPr>
              <w:pStyle w:val="12385"/>
              <w:pBdr/>
              <w:spacing/>
              <w:ind/>
              <w:rPr/>
            </w:pPr>
            <w:r>
              <w:rPr>
                <w:color w:val="000000"/>
                <w:szCs w:val="20"/>
              </w:rPr>
              <w:t xml:space="preserve">Котельная №7 с. Белый Колодезь</w:t>
            </w:r>
            <w:r/>
          </w:p>
        </w:tc>
        <w:tc>
          <w:tcPr>
            <w:shd w:val="clear" w:color="000000" w:fill="ffffff"/>
            <w:tcBorders>
              <w:bottom w:val="single" w:color="000000" w:sz="4" w:space="0"/>
              <w:right w:val="single" w:color="000000" w:sz="4" w:space="0"/>
            </w:tcBorders>
            <w:tcW w:w="1596" w:type="dxa"/>
            <w:vAlign w:val="center"/>
          </w:tcPr>
          <w:p>
            <w:pPr>
              <w:pStyle w:val="12385"/>
              <w:pBdr/>
              <w:spacing/>
              <w:ind/>
              <w:rPr>
                <w:rFonts w:cs="Times New Roman"/>
              </w:rPr>
            </w:pPr>
            <w:r>
              <w:rPr>
                <w:color w:val="000000"/>
                <w:szCs w:val="20"/>
              </w:rPr>
              <w:t xml:space="preserve">5,60</w:t>
            </w:r>
            <w:r>
              <w:rPr>
                <w:rFonts w:cs="Times New Roman"/>
              </w:rPr>
            </w:r>
          </w:p>
        </w:tc>
        <w:tc>
          <w:tcPr>
            <w:shd w:val="clear" w:color="000000" w:fill="ffffff"/>
            <w:tcBorders>
              <w:bottom w:val="single" w:color="000000" w:sz="4" w:space="0"/>
              <w:right w:val="single" w:color="000000" w:sz="4" w:space="0"/>
            </w:tcBorders>
            <w:tcW w:w="1366" w:type="dxa"/>
            <w:vAlign w:val="center"/>
          </w:tcPr>
          <w:p>
            <w:pPr>
              <w:pStyle w:val="12385"/>
              <w:pBdr/>
              <w:spacing/>
              <w:ind/>
              <w:rPr/>
            </w:pPr>
            <w:r>
              <w:rPr>
                <w:color w:val="000000"/>
                <w:szCs w:val="20"/>
              </w:rPr>
              <w:t xml:space="preserve">159,96</w:t>
            </w:r>
            <w:r/>
          </w:p>
        </w:tc>
        <w:tc>
          <w:tcPr>
            <w:shd w:val="clear" w:color="000000" w:fill="ffffff"/>
            <w:tcBorders>
              <w:bottom w:val="single" w:color="000000" w:sz="4" w:space="0"/>
              <w:right w:val="single" w:color="000000" w:sz="4" w:space="0"/>
            </w:tcBorders>
            <w:tcW w:w="3035" w:type="dxa"/>
            <w:vAlign w:val="center"/>
          </w:tcPr>
          <w:p>
            <w:pPr>
              <w:pStyle w:val="12385"/>
              <w:pBdr/>
              <w:spacing/>
              <w:ind/>
              <w:rPr/>
            </w:pPr>
            <w:r>
              <w:rPr>
                <w:color w:val="000000"/>
                <w:szCs w:val="20"/>
              </w:rPr>
              <w:t xml:space="preserve">0,0350</w:t>
            </w:r>
            <w:r/>
          </w:p>
        </w:tc>
      </w:tr>
    </w:tbl>
    <w:p>
      <w:pPr>
        <w:pStyle w:val="10533"/>
        <w:pBdr/>
        <w:spacing/>
        <w:ind/>
        <w:rPr>
          <w:sz w:val="20"/>
          <w:szCs w:val="20"/>
        </w:rPr>
      </w:pPr>
      <w:r>
        <w:rPr>
          <w:sz w:val="20"/>
          <w:szCs w:val="20"/>
        </w:rPr>
      </w:r>
      <w:r>
        <w:rPr>
          <w:sz w:val="20"/>
          <w:szCs w:val="20"/>
        </w:rPr>
      </w:r>
    </w:p>
    <w:p>
      <w:pPr>
        <w:pStyle w:val="10534"/>
        <w:numPr>
          <w:ilvl w:val="0"/>
          <w:numId w:val="190"/>
        </w:numPr>
        <w:pBdr/>
        <w:spacing/>
        <w:ind/>
        <w:rPr>
          <w:spacing w:val="0"/>
        </w:rPr>
      </w:pPr>
      <w:r/>
      <w:bookmarkStart w:id="1187" w:name="_Toc198483670"/>
      <w:r/>
      <w:bookmarkStart w:id="1188" w:name="_Toc166767315"/>
      <w:r/>
      <w:bookmarkStart w:id="1189" w:name="_Toc84971086"/>
      <w:r/>
      <w:bookmarkStart w:id="1190" w:name="_Toc9154940"/>
      <w:r>
        <w:rPr>
          <w:spacing w:val="0"/>
        </w:rPr>
        <w:t xml:space="preserve">Количество тепловой энергии, выработа</w:t>
      </w:r>
      <w:r>
        <w:rPr>
          <w:spacing w:val="0"/>
        </w:rPr>
        <w:t xml:space="preserve">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bookmarkEnd w:id="1187"/>
      <w:r/>
      <w:bookmarkEnd w:id="1188"/>
      <w:r/>
      <w:bookmarkEnd w:id="1189"/>
      <w:r/>
      <w:bookmarkEnd w:id="1190"/>
      <w:r/>
      <w:r>
        <w:rPr>
          <w:spacing w:val="0"/>
        </w:rPr>
      </w:r>
    </w:p>
    <w:p>
      <w:pPr>
        <w:pStyle w:val="12960"/>
        <w:pBdr/>
        <w:spacing/>
        <w:ind/>
        <w:rPr/>
      </w:pPr>
      <w:r>
        <w:t xml:space="preserve">Комбинированная выработка электрической и тепловой энергии на территории муниципального образования Астаповское не осуществляется.</w:t>
      </w:r>
      <w:r/>
    </w:p>
    <w:p>
      <w:pPr>
        <w:pStyle w:val="10533"/>
        <w:pBdr/>
        <w:spacing/>
        <w:ind w:firstLine="709"/>
        <w:rPr/>
      </w:pPr>
      <w:r/>
      <w:r/>
    </w:p>
    <w:p>
      <w:pPr>
        <w:pStyle w:val="10534"/>
        <w:numPr>
          <w:ilvl w:val="0"/>
          <w:numId w:val="191"/>
        </w:numPr>
        <w:pBdr/>
        <w:spacing/>
        <w:ind/>
        <w:rPr>
          <w:spacing w:val="0"/>
        </w:rPr>
      </w:pPr>
      <w:r/>
      <w:bookmarkStart w:id="1191" w:name="_Toc198483671"/>
      <w:r/>
      <w:bookmarkStart w:id="1192" w:name="_Toc166767316"/>
      <w:r/>
      <w:bookmarkStart w:id="1193" w:name="_Toc84971087"/>
      <w:r/>
      <w:bookmarkStart w:id="1194" w:name="_Toc9154941"/>
      <w:r>
        <w:rPr>
          <w:spacing w:val="0"/>
        </w:rPr>
        <w:t xml:space="preserve">Удельный расход условного топлива на отпуск электрической энергии</w:t>
      </w:r>
      <w:bookmarkEnd w:id="1191"/>
      <w:r/>
      <w:bookmarkEnd w:id="1192"/>
      <w:r/>
      <w:bookmarkEnd w:id="1193"/>
      <w:r/>
      <w:bookmarkEnd w:id="1194"/>
      <w:r/>
      <w:r>
        <w:rPr>
          <w:spacing w:val="0"/>
        </w:rPr>
      </w:r>
    </w:p>
    <w:p>
      <w:pPr>
        <w:pStyle w:val="12960"/>
        <w:pBdr/>
        <w:spacing/>
        <w:ind/>
        <w:rPr/>
      </w:pPr>
      <w:r>
        <w:t xml:space="preserve">Комбинированная выработка электрической и тепловой энергии на территории муниципального образования Астаповское не осуществляется.</w:t>
      </w:r>
      <w:r/>
    </w:p>
    <w:p>
      <w:pPr>
        <w:pStyle w:val="10534"/>
        <w:numPr>
          <w:ilvl w:val="0"/>
          <w:numId w:val="192"/>
        </w:numPr>
        <w:pBdr/>
        <w:spacing/>
        <w:ind/>
        <w:rPr>
          <w:spacing w:val="0"/>
        </w:rPr>
      </w:pPr>
      <w:r/>
      <w:bookmarkStart w:id="1195" w:name="_Toc198483672"/>
      <w:r/>
      <w:bookmarkStart w:id="1196" w:name="_Toc84971088"/>
      <w:r/>
      <w:bookmarkStart w:id="1197" w:name="_Toc9154942"/>
      <w:r/>
      <w:bookmarkStart w:id="1198" w:name="_Toc166767317"/>
      <w:r>
        <w:rPr>
          <w:spacing w:val="0"/>
        </w:rPr>
        <w:t xml:space="preserve">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195"/>
      <w:r/>
      <w:bookmarkEnd w:id="1196"/>
      <w:r/>
      <w:bookmarkEnd w:id="1197"/>
      <w:r/>
      <w:bookmarkEnd w:id="1198"/>
      <w:r/>
      <w:r>
        <w:rPr>
          <w:spacing w:val="0"/>
        </w:rPr>
      </w:r>
    </w:p>
    <w:p>
      <w:pPr>
        <w:pStyle w:val="12960"/>
        <w:pBdr/>
        <w:spacing/>
        <w:ind/>
        <w:rPr/>
      </w:pPr>
      <w:r>
        <w:t xml:space="preserve">Комбинированная выработка электрической и тепловой энергии на территории муниципального образования Астаповское не осуществляется.</w:t>
      </w:r>
      <w:r/>
    </w:p>
    <w:p>
      <w:pPr>
        <w:pStyle w:val="10533"/>
        <w:pBdr/>
        <w:spacing/>
        <w:ind/>
        <w:rPr/>
        <w:sectPr>
          <w:headerReference w:type="default" r:id="rId224"/>
          <w:headerReference w:type="first" r:id="rId225"/>
          <w:footerReference w:type="default" r:id="rId492"/>
          <w:footerReference w:type="first" r:id="rId493"/>
          <w:footnotePr/>
          <w:endnotePr/>
          <w:type w:val="nextPage"/>
          <w:pgSz w:h="16838" w:orient="portrait" w:w="11906"/>
          <w:pgMar w:top="1134" w:right="850" w:bottom="1134" w:left="1701" w:header="567" w:footer="454" w:gutter="0"/>
          <w:cols w:num="1" w:sep="0" w:space="1701" w:equalWidth="1"/>
        </w:sectPr>
      </w:pPr>
      <w:r/>
      <w:r/>
    </w:p>
    <w:p>
      <w:pPr>
        <w:pStyle w:val="10534"/>
        <w:widowControl w:val="true"/>
        <w:numPr>
          <w:ilvl w:val="0"/>
          <w:numId w:val="193"/>
        </w:numPr>
        <w:pBdr/>
        <w:bidi w:val="false"/>
        <w:spacing w:after="240" w:before="120" w:line="276" w:lineRule="auto"/>
        <w:ind w:right="0" w:hanging="340" w:left="340"/>
        <w:contextualSpacing w:val="true"/>
        <w:jc w:val="center"/>
        <w:rPr>
          <w:spacing w:val="0"/>
        </w:rPr>
      </w:pPr>
      <w:r/>
      <w:bookmarkStart w:id="1199" w:name="_Toc198483673"/>
      <w:r/>
      <w:bookmarkStart w:id="1200" w:name="_Toc166767318"/>
      <w:r/>
      <w:bookmarkStart w:id="1201" w:name="_Toc84971089"/>
      <w:r/>
      <w:bookmarkStart w:id="1202" w:name="_Toc9154943"/>
      <w:r>
        <w:rPr>
          <w:spacing w:val="0"/>
        </w:rPr>
        <w:t xml:space="preserve"> </w:t>
      </w:r>
      <w:r>
        <w:rPr>
          <w:rFonts w:eastAsia="Times New Roman" w:cs="Times New Roman"/>
          <w:b/>
          <w:smallCaps/>
          <w:spacing w:val="0"/>
          <w:sz w:val="28"/>
          <w:szCs w:val="36"/>
          <w:lang w:eastAsia="en-US" w:bidi="en-US"/>
        </w:rPr>
        <w:t xml:space="preserve">Доля </w:t>
      </w:r>
      <w:bookmarkStart w:id="1203" w:name="OLE_LINK11"/>
      <w:r>
        <w:rPr>
          <w:rFonts w:eastAsia="Times New Roman" w:cs="Times New Roman"/>
          <w:b/>
          <w:smallCaps/>
          <w:spacing w:val="0"/>
          <w:sz w:val="28"/>
          <w:szCs w:val="36"/>
          <w:lang w:eastAsia="en-US" w:bidi="en-US"/>
        </w:rPr>
        <w:t xml:space="preserve">отпуска тепловой энергии, осуществляемого потребителям по приборам учета, в общем </w:t>
      </w:r>
      <w:r>
        <w:rPr>
          <w:spacing w:val="0"/>
        </w:rPr>
        <w:t xml:space="preserve">объеме отпущенной тепловой энергии</w:t>
      </w:r>
      <w:bookmarkEnd w:id="1199"/>
      <w:r/>
      <w:bookmarkEnd w:id="1200"/>
      <w:r/>
      <w:bookmarkEnd w:id="1201"/>
      <w:r/>
      <w:bookmarkEnd w:id="1202"/>
      <w:r/>
      <w:bookmarkEnd w:id="1203"/>
      <w:r/>
      <w:r>
        <w:rPr>
          <w:spacing w:val="0"/>
        </w:rPr>
      </w:r>
    </w:p>
    <w:p>
      <w:pPr>
        <w:pStyle w:val="12960"/>
        <w:pBdr/>
        <w:spacing/>
        <w:ind/>
        <w:rPr>
          <w:color w:val="000000"/>
        </w:rPr>
      </w:pPr>
      <w:r/>
      <w:bookmarkStart w:id="1204" w:name="_Hlk205237766"/>
      <w:r/>
      <w:bookmarkEnd w:id="1204"/>
      <w:r>
        <w:rPr>
          <w:color w:val="000000"/>
        </w:rPr>
        <w:t xml:space="preserve">Коммерческие приборы учета установлены у части потребителей. У остальных потребителей тепла, учет производится расчетным методом.</w:t>
      </w:r>
      <w:r>
        <w:rPr>
          <w:color w:val="000000"/>
        </w:rPr>
      </w:r>
    </w:p>
    <w:p>
      <w:pPr>
        <w:pStyle w:val="12960"/>
        <w:pBdr/>
        <w:spacing/>
        <w:ind/>
        <w:rPr>
          <w:b/>
        </w:rPr>
      </w:pPr>
      <w:r>
        <w:rPr>
          <w:b/>
        </w:rPr>
        <w:t xml:space="preserve">Таблица </w:t>
      </w:r>
      <w:r>
        <w:rPr>
          <w:b/>
          <w:bCs w:val="0"/>
        </w:rPr>
        <w:t xml:space="preserve">13.10.2 </w:t>
      </w:r>
      <w:r>
        <w:rPr>
          <w:b/>
        </w:rPr>
        <w:t xml:space="preserve">- Планы по установке приборов учета тепловой энергии и теплоносителя</w:t>
      </w:r>
      <w:r>
        <w:rPr>
          <w:b/>
        </w:rPr>
      </w:r>
    </w:p>
    <w:tbl>
      <w:tblPr>
        <w:tblInd w:w="0" w:type="dxa"/>
        <w:tblW w:w="5000" w:type="pct"/>
        <w:tblCellMar>
          <w:left w:w="28" w:type="dxa"/>
          <w:top w:w="0" w:type="dxa"/>
          <w:right w:w="28" w:type="dxa"/>
          <w:bottom w:w="0" w:type="dxa"/>
        </w:tblCellMar>
        <w:tblBorders/>
        <w:tblLayout w:type="fixed"/>
        <w:tblLook w:val="00A0" w:firstRow="1" w:lastRow="0" w:firstColumn="1" w:lastColumn="0" w:noHBand="0" w:noVBand="0"/>
      </w:tblPr>
      <w:tblGrid>
        <w:gridCol w:w="2028"/>
        <w:gridCol w:w="1915"/>
        <w:gridCol w:w="3142"/>
        <w:gridCol w:w="2269"/>
      </w:tblGrid>
      <w:t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28" w:type="dxa"/>
            <w:vAlign w:val="center"/>
          </w:tcPr>
          <w:p>
            <w:pPr>
              <w:pStyle w:val="12385"/>
              <w:pBdr/>
              <w:spacing/>
              <w:ind/>
              <w:rPr>
                <w:rFonts w:cs="Times New Roman"/>
              </w:rPr>
            </w:pPr>
            <w:r>
              <w:rPr>
                <w:rFonts w:cs="Times New Roman"/>
              </w:rPr>
              <w:t xml:space="preserve">Объект (потребитель)</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915" w:type="dxa"/>
            <w:vAlign w:val="center"/>
          </w:tcPr>
          <w:p>
            <w:pPr>
              <w:pStyle w:val="12385"/>
              <w:pBdr/>
              <w:spacing/>
              <w:ind/>
              <w:rPr>
                <w:rFonts w:cs="Times New Roman"/>
              </w:rPr>
            </w:pPr>
            <w:r>
              <w:rPr>
                <w:rFonts w:cs="Times New Roman"/>
              </w:rPr>
              <w:t xml:space="preserve">Адрес</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142" w:type="dxa"/>
            <w:vAlign w:val="center"/>
          </w:tcPr>
          <w:p>
            <w:pPr>
              <w:pStyle w:val="12385"/>
              <w:pBdr/>
              <w:spacing/>
              <w:ind/>
              <w:rPr>
                <w:rFonts w:cs="Times New Roman"/>
              </w:rPr>
            </w:pPr>
            <w:r>
              <w:rPr>
                <w:rFonts w:cs="Times New Roman"/>
              </w:rPr>
              <w:t xml:space="preserve">Наименование котельной, к которой подключен объект</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269" w:type="dxa"/>
            <w:vAlign w:val="center"/>
          </w:tcPr>
          <w:p>
            <w:pPr>
              <w:pStyle w:val="12385"/>
              <w:pBdr/>
              <w:spacing/>
              <w:ind/>
              <w:rPr>
                <w:rFonts w:cs="Times New Roman"/>
              </w:rPr>
            </w:pPr>
            <w:r>
              <w:rPr>
                <w:rFonts w:cs="Times New Roman"/>
              </w:rPr>
              <w:t xml:space="preserve">Планируемый год установки прибора учета</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2028" w:type="dxa"/>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915" w:type="dxa"/>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3142" w:type="dxa"/>
          </w:tcPr>
          <w:p>
            <w:pPr>
              <w:pStyle w:val="12385"/>
              <w:pBdr/>
              <w:spacing/>
              <w:ind/>
              <w:rPr>
                <w:rFonts w:cs="Times New Roman"/>
              </w:rPr>
            </w:pPr>
            <w:r>
              <w:rPr>
                <w:rFonts w:cs="Times New Roman"/>
              </w:rPr>
              <w:t xml:space="preserve">н/д</w:t>
            </w:r>
            <w:r>
              <w:rPr>
                <w:rFonts w:cs="Times New Roman"/>
              </w:rPr>
            </w:r>
          </w:p>
        </w:tc>
        <w:tc>
          <w:tcPr>
            <w:tcBorders>
              <w:top w:val="single" w:color="000000" w:sz="4" w:space="0"/>
              <w:left w:val="single" w:color="000000" w:sz="4" w:space="0"/>
              <w:bottom w:val="single" w:color="000000" w:sz="4" w:space="0"/>
              <w:right w:val="single" w:color="000000" w:sz="4" w:space="0"/>
            </w:tcBorders>
            <w:tcW w:w="2269" w:type="dxa"/>
          </w:tcPr>
          <w:p>
            <w:pPr>
              <w:pStyle w:val="12385"/>
              <w:pBdr/>
              <w:spacing/>
              <w:ind/>
              <w:rPr>
                <w:rFonts w:cs="Times New Roman"/>
              </w:rPr>
            </w:pPr>
            <w:r>
              <w:rPr>
                <w:rFonts w:cs="Times New Roman"/>
              </w:rPr>
              <w:t xml:space="preserve">н/д</w:t>
            </w:r>
            <w:r>
              <w:rPr>
                <w:rFonts w:cs="Times New Roman"/>
              </w:rPr>
            </w:r>
          </w:p>
        </w:tc>
      </w:tr>
    </w:tbl>
    <w:p>
      <w:pPr>
        <w:pStyle w:val="12960"/>
        <w:pBdr/>
        <w:spacing/>
        <w:ind/>
        <w:rPr>
          <w:b/>
        </w:rPr>
      </w:pPr>
      <w:r>
        <w:rPr>
          <w:b/>
        </w:rPr>
      </w:r>
      <w:r>
        <w:rPr>
          <w:b/>
        </w:rPr>
      </w:r>
    </w:p>
    <w:p>
      <w:pPr>
        <w:pStyle w:val="12960"/>
        <w:pBdr/>
        <w:spacing/>
        <w:ind/>
        <w:rPr/>
      </w:pPr>
      <w:r>
        <w:t xml:space="preserve">В соответствии с Федеральным законом от 23 ноября 2009г.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w:t>
      </w:r>
      <w:r>
        <w:t xml:space="preserve">новку общедомовых приборов учёта необходимо произвести для всех объектов максимальное потребление, которых составляет не менее 0,2 Гкал/час, на территории муниципального образования Астаповское потребители с нагрузкой, превышающей это значение отсутствуют.</w:t>
      </w:r>
      <w:r/>
    </w:p>
    <w:p>
      <w:pPr>
        <w:pStyle w:val="12960"/>
        <w:pBdr/>
        <w:spacing/>
        <w:ind/>
        <w:rPr>
          <w:b/>
          <w:bCs w:val="0"/>
        </w:rPr>
      </w:pPr>
      <w:r>
        <w:rPr>
          <w:b/>
          <w:bCs w:val="0"/>
        </w:rPr>
        <w:t xml:space="preserve">Таблица 13.10.3 - Доля отпуска тепловой энергии, осуществляемой потребителям по приборам учета</w:t>
      </w:r>
      <w:r>
        <w:rPr>
          <w:b/>
          <w:bCs w:val="0"/>
        </w:rPr>
      </w:r>
    </w:p>
    <w:tbl>
      <w:tblPr>
        <w:jc w:val="center"/>
        <w:tblInd w:w="0" w:type="dxa"/>
        <w:tblW w:w="5000" w:type="pct"/>
        <w:tblCellMar>
          <w:left w:w="28" w:type="dxa"/>
          <w:top w:w="0" w:type="dxa"/>
          <w:right w:w="28" w:type="dxa"/>
          <w:bottom w:w="0" w:type="dxa"/>
        </w:tblCellMar>
        <w:tblBorders/>
        <w:tblLayout w:type="fixed"/>
        <w:tblLook w:val="04A0" w:firstRow="1" w:lastRow="0" w:firstColumn="1" w:lastColumn="0" w:noHBand="0" w:noVBand="1"/>
      </w:tblPr>
      <w:tblGrid>
        <w:gridCol w:w="7388"/>
        <w:gridCol w:w="1966"/>
      </w:tblGrid>
      <w:tr>
        <w:trPr>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7388" w:type="dxa"/>
            <w:vAlign w:val="center"/>
          </w:tcPr>
          <w:p>
            <w:pPr>
              <w:pStyle w:val="12385"/>
              <w:pBdr/>
              <w:spacing/>
              <w:ind/>
              <w:rPr>
                <w:rFonts w:cs="Times New Roman"/>
                <w:lang w:eastAsia="en-US"/>
              </w:rPr>
            </w:pPr>
            <w:r>
              <w:rPr>
                <w:rFonts w:cs="Times New Roman"/>
                <w:lang w:eastAsia="en-US"/>
              </w:rPr>
              <w:t xml:space="preserve">Показатель, ед. изм.</w:t>
            </w:r>
            <w:r>
              <w:rPr>
                <w:rFonts w:cs="Times New Roman"/>
                <w:lang w:eastAsia="en-US"/>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Mar>
              <w:left w:w="108" w:type="dxa"/>
              <w:right w:w="108" w:type="dxa"/>
            </w:tcMar>
            <w:tcW w:w="1966" w:type="dxa"/>
            <w:vAlign w:val="center"/>
          </w:tcPr>
          <w:p>
            <w:pPr>
              <w:pStyle w:val="12385"/>
              <w:pBdr/>
              <w:spacing/>
              <w:ind/>
              <w:rPr>
                <w:rFonts w:cs="Times New Roman"/>
                <w:lang w:eastAsia="en-US"/>
              </w:rPr>
            </w:pPr>
            <w:r>
              <w:rPr>
                <w:rFonts w:cs="Times New Roman"/>
                <w:lang w:eastAsia="en-US"/>
              </w:rPr>
            </w:r>
            <w:r>
              <w:rPr>
                <w:rFonts w:cs="Times New Roman"/>
                <w:lang w:eastAsia="en-US"/>
              </w:rPr>
            </w:r>
          </w:p>
        </w:tc>
      </w:tr>
      <w:tr>
        <w:trPr/>
        <w:tc>
          <w:tcPr>
            <w:tcBorders>
              <w:top w:val="single" w:color="000000" w:sz="4" w:space="0"/>
              <w:left w:val="single" w:color="000000" w:sz="4" w:space="0"/>
              <w:bottom w:val="single" w:color="000000" w:sz="4" w:space="0"/>
              <w:right w:val="single" w:color="000000" w:sz="4" w:space="0"/>
            </w:tcBorders>
            <w:tcW w:w="7388" w:type="dxa"/>
            <w:vAlign w:val="center"/>
          </w:tcPr>
          <w:p>
            <w:pPr>
              <w:pStyle w:val="12385"/>
              <w:pBdr/>
              <w:spacing/>
              <w:ind/>
              <w:rPr>
                <w:rFonts w:cs="Times New Roman"/>
                <w:lang w:eastAsia="en-US"/>
              </w:rPr>
            </w:pPr>
            <w:r>
              <w:rPr>
                <w:rFonts w:cs="Times New Roman"/>
                <w:lang w:eastAsia="en-US"/>
              </w:rPr>
              <w:t xml:space="preserve">Доля отпуска тепловой энергии, осуществляемой потребителям по приборам учета, в общем объеме отпущенной тепловой энергии, %</w:t>
            </w:r>
            <w:r>
              <w:rPr>
                <w:rFonts w:cs="Times New Roman"/>
                <w:lang w:eastAsia="en-US"/>
              </w:rPr>
            </w:r>
          </w:p>
        </w:tc>
        <w:tc>
          <w:tcPr>
            <w:tcBorders>
              <w:top w:val="single" w:color="000000" w:sz="4" w:space="0"/>
              <w:left w:val="single" w:color="000000" w:sz="4" w:space="0"/>
              <w:bottom w:val="single" w:color="000000" w:sz="4" w:space="0"/>
              <w:right w:val="single" w:color="000000" w:sz="4" w:space="0"/>
            </w:tcBorders>
            <w:tcMar>
              <w:left w:w="108" w:type="dxa"/>
              <w:right w:w="108" w:type="dxa"/>
            </w:tcMar>
            <w:tcW w:w="1966" w:type="dxa"/>
            <w:vAlign w:val="center"/>
          </w:tcPr>
          <w:p>
            <w:pPr>
              <w:pStyle w:val="12385"/>
              <w:pBdr/>
              <w:spacing/>
              <w:ind/>
              <w:rPr>
                <w:rFonts w:cs="Times New Roman"/>
                <w:lang w:eastAsia="en-US"/>
              </w:rPr>
            </w:pPr>
            <w:r>
              <w:rPr>
                <w:rFonts w:cs="Times New Roman"/>
                <w:lang w:eastAsia="en-US"/>
              </w:rPr>
              <w:t xml:space="preserve">н/д</w:t>
            </w:r>
            <w:r>
              <w:rPr>
                <w:rFonts w:cs="Times New Roman"/>
                <w:lang w:eastAsia="en-US"/>
              </w:rPr>
            </w:r>
          </w:p>
        </w:tc>
      </w:tr>
    </w:tbl>
    <w:p>
      <w:pPr>
        <w:pStyle w:val="12960"/>
        <w:pBdr/>
        <w:spacing/>
        <w:ind w:firstLine="0"/>
        <w:rPr/>
      </w:pPr>
      <w:r/>
      <w:r/>
      <w:bookmarkStart w:id="1206" w:name="_Hlk205237766"/>
      <w:r/>
      <w:bookmarkEnd w:id="1206"/>
      <w:r/>
      <w:r/>
    </w:p>
    <w:p>
      <w:pPr>
        <w:pStyle w:val="10533"/>
        <w:pBdr/>
        <w:spacing/>
        <w:ind w:firstLine="706" w:left="3"/>
        <w:rPr/>
      </w:pPr>
      <w:r/>
      <w:r/>
    </w:p>
    <w:p>
      <w:pPr>
        <w:pStyle w:val="10533"/>
        <w:pBdr/>
        <w:spacing/>
        <w:ind w:firstLine="706" w:left="3"/>
        <w:rPr/>
      </w:pPr>
      <w:r/>
      <w:r>
        <w:br w:type="page" w:clear="all"/>
      </w:r>
      <w:r/>
    </w:p>
    <w:p>
      <w:pPr>
        <w:pStyle w:val="10534"/>
        <w:widowControl w:val="true"/>
        <w:numPr>
          <w:ilvl w:val="0"/>
          <w:numId w:val="194"/>
        </w:numPr>
        <w:pBdr/>
        <w:bidi w:val="false"/>
        <w:spacing w:after="240" w:before="120" w:line="276" w:lineRule="auto"/>
        <w:ind w:right="0" w:hanging="340" w:left="397"/>
        <w:contextualSpacing w:val="true"/>
        <w:jc w:val="center"/>
        <w:rPr>
          <w:spacing w:val="0"/>
        </w:rPr>
      </w:pPr>
      <w:r/>
      <w:bookmarkStart w:id="1207" w:name="_Toc9154944"/>
      <w:r/>
      <w:bookmarkStart w:id="1208" w:name="_Toc84971090"/>
      <w:r/>
      <w:bookmarkStart w:id="1209" w:name="_Toc166767319"/>
      <w:r/>
      <w:bookmarkStart w:id="1210" w:name="_Toc198483674"/>
      <w:r>
        <w:rPr>
          <w:spacing w:val="0"/>
        </w:rPr>
        <w:t xml:space="preserve"> </w:t>
      </w:r>
      <w:r>
        <w:rPr>
          <w:rFonts w:eastAsia="Times New Roman" w:cs="Times New Roman"/>
          <w:b/>
          <w:smallCaps/>
          <w:spacing w:val="0"/>
          <w:sz w:val="28"/>
          <w:szCs w:val="36"/>
          <w:lang w:eastAsia="en-US" w:bidi="en-US"/>
        </w:rPr>
        <w:t xml:space="preserve">Средневзвешенный (по материальной характеристике) срок эксплуатации тепловых сетей (для каждой системы теплоснабжения)</w:t>
      </w:r>
      <w:bookmarkEnd w:id="1207"/>
      <w:r/>
      <w:bookmarkEnd w:id="1208"/>
      <w:r/>
      <w:bookmarkEnd w:id="1209"/>
      <w:r/>
      <w:bookmarkEnd w:id="1210"/>
      <w:r/>
      <w:r>
        <w:rPr>
          <w:spacing w:val="0"/>
        </w:rPr>
      </w:r>
    </w:p>
    <w:p>
      <w:pPr>
        <w:pStyle w:val="12960"/>
        <w:pBdr/>
        <w:spacing/>
        <w:ind/>
        <w:rPr/>
        <w:sectPr>
          <w:headerReference w:type="default" r:id="rId226"/>
          <w:headerReference w:type="first" r:id="rId227"/>
          <w:footerReference w:type="default" r:id="rId494"/>
          <w:footerReference w:type="first" r:id="rId495"/>
          <w:footnotePr/>
          <w:endnotePr/>
          <w:type w:val="nextPage"/>
          <w:pgSz w:h="16838" w:orient="portrait" w:w="11906"/>
          <w:pgMar w:top="1134" w:right="850" w:bottom="1134" w:left="1701" w:header="708" w:footer="708" w:gutter="0"/>
          <w:cols w:num="1" w:sep="0" w:space="1701" w:equalWidth="1"/>
        </w:sectPr>
      </w:pPr>
      <w:r>
        <w:t xml:space="preserve">Средневзвешенный (по материальной характеристике) срок эксплуатации тепловых сетей представлен в таблицах.</w:t>
      </w:r>
      <w:r/>
    </w:p>
    <w:p>
      <w:pPr>
        <w:pStyle w:val="12279"/>
        <w:pBdr/>
        <w:spacing/>
        <w:ind w:firstLine="0"/>
        <w:rPr>
          <w:rFonts w:ascii="Times New Roman" w:hAnsi="Times New Roman" w:cs="Times New Roman"/>
          <w:b/>
          <w:sz w:val="24"/>
          <w:szCs w:val="24"/>
        </w:rPr>
      </w:pPr>
      <w:r>
        <w:rPr>
          <w:rFonts w:ascii="Times New Roman" w:hAnsi="Times New Roman" w:cs="Times New Roman"/>
          <w:b/>
          <w:sz w:val="24"/>
          <w:szCs w:val="24"/>
        </w:rPr>
        <w:t xml:space="preserve">Таблица 13.11.1 - Средневзвешенный (по материальной характеристике) срок эксплуатации тепловых сетей</w:t>
      </w:r>
      <w:r>
        <w:rPr>
          <w:rFonts w:ascii="Times New Roman" w:hAnsi="Times New Roman" w:cs="Times New Roman"/>
          <w:b/>
          <w:sz w:val="24"/>
          <w:szCs w:val="24"/>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075"/>
        <w:gridCol w:w="1789"/>
        <w:gridCol w:w="1622"/>
        <w:gridCol w:w="1545"/>
        <w:gridCol w:w="972"/>
        <w:gridCol w:w="2149"/>
        <w:gridCol w:w="3134"/>
      </w:tblGrid>
      <w:tr>
        <w:trPr>
          <w:trHeight w:val="20"/>
        </w:trPr>
        <w:tc>
          <w:tcPr>
            <w:shd w:val="clear" w:color="000000" w:fill="d9d9d9"/>
            <w:tcBorders>
              <w:top w:val="single" w:color="000000" w:sz="4" w:space="0"/>
              <w:left w:val="single" w:color="000000" w:sz="4" w:space="0"/>
              <w:bottom w:val="single" w:color="000000" w:sz="4" w:space="0"/>
              <w:right w:val="single" w:color="000000" w:sz="4" w:space="0"/>
            </w:tcBorders>
            <w:tcW w:w="3075" w:type="dxa"/>
            <w:vAlign w:val="center"/>
          </w:tcPr>
          <w:p>
            <w:pPr>
              <w:pStyle w:val="12385"/>
              <w:pBdr/>
              <w:spacing/>
              <w:ind/>
              <w:rPr/>
            </w:pPr>
            <w:r>
              <w:t xml:space="preserve">Диаметр трубопровода, </w:t>
            </w:r>
            <w:r>
              <w:rPr>
                <w:i/>
                <w:iCs/>
              </w:rPr>
              <w:t xml:space="preserve">d</w:t>
            </w:r>
            <w:r>
              <w:rPr>
                <w:vertAlign w:val="subscript"/>
              </w:rPr>
              <w:t xml:space="preserve">у</w:t>
            </w:r>
            <w:r>
              <w:t xml:space="preserve">, мм</w:t>
            </w:r>
            <w:r/>
          </w:p>
        </w:tc>
        <w:tc>
          <w:tcPr>
            <w:shd w:val="clear" w:color="000000" w:fill="d9d9d9"/>
            <w:tcBorders>
              <w:top w:val="single" w:color="000000" w:sz="4" w:space="0"/>
              <w:bottom w:val="single" w:color="000000" w:sz="4" w:space="0"/>
              <w:right w:val="single" w:color="000000" w:sz="4" w:space="0"/>
            </w:tcBorders>
            <w:tcW w:w="1789" w:type="dxa"/>
            <w:vAlign w:val="center"/>
          </w:tcPr>
          <w:p>
            <w:pPr>
              <w:pStyle w:val="12385"/>
              <w:pBdr/>
              <w:spacing/>
              <w:ind/>
              <w:rPr/>
            </w:pPr>
            <w:r>
              <w:t xml:space="preserve">Протяженность участка тепловой сети </w:t>
            </w:r>
            <w:r>
              <w:rPr>
                <w:i/>
                <w:iCs/>
              </w:rPr>
              <w:t xml:space="preserve">i</w:t>
            </w:r>
            <w:r>
              <w:t xml:space="preserve">-го диаметра, </w:t>
            </w:r>
            <w:r>
              <w:rPr>
                <w:i/>
                <w:iCs/>
              </w:rPr>
              <w:t xml:space="preserve">l</w:t>
            </w:r>
            <w:r>
              <w:rPr>
                <w:i/>
                <w:iCs/>
                <w:vertAlign w:val="subscript"/>
              </w:rPr>
              <w:t xml:space="preserve">i</w:t>
            </w:r>
            <w:r>
              <w:t xml:space="preserve"> м</w:t>
            </w:r>
            <w:r/>
          </w:p>
        </w:tc>
        <w:tc>
          <w:tcPr>
            <w:shd w:val="clear" w:color="000000" w:fill="d9d9d9"/>
            <w:tcBorders>
              <w:top w:val="single" w:color="000000" w:sz="4" w:space="0"/>
              <w:bottom w:val="single" w:color="000000" w:sz="4" w:space="0"/>
              <w:right w:val="single" w:color="000000" w:sz="4" w:space="0"/>
            </w:tcBorders>
            <w:tcW w:w="1622" w:type="dxa"/>
            <w:vAlign w:val="center"/>
          </w:tcPr>
          <w:p>
            <w:pPr>
              <w:pStyle w:val="12385"/>
              <w:pBdr/>
              <w:spacing/>
              <w:ind/>
              <w:rPr/>
            </w:pPr>
            <w:r>
              <w:t xml:space="preserve">Материальная характеристика участка, м</w:t>
            </w:r>
            <w:r>
              <w:rPr>
                <w:vertAlign w:val="superscript"/>
              </w:rPr>
              <w:t xml:space="preserve">2</w:t>
            </w:r>
            <w:r/>
          </w:p>
        </w:tc>
        <w:tc>
          <w:tcPr>
            <w:shd w:val="clear" w:color="000000" w:fill="d9d9d9"/>
            <w:tcBorders>
              <w:top w:val="single" w:color="000000" w:sz="4" w:space="0"/>
              <w:bottom w:val="single" w:color="000000" w:sz="4" w:space="0"/>
              <w:right w:val="single" w:color="000000" w:sz="4" w:space="0"/>
            </w:tcBorders>
            <w:tcW w:w="1545" w:type="dxa"/>
            <w:vAlign w:val="center"/>
          </w:tcPr>
          <w:p>
            <w:pPr>
              <w:pStyle w:val="12385"/>
              <w:pBdr/>
              <w:spacing/>
              <w:ind/>
              <w:rPr/>
            </w:pPr>
            <w:r>
              <w:t xml:space="preserve">Год ввода участка трубопровода в эксплуатацию (перекладки)</w:t>
            </w:r>
            <w:r/>
          </w:p>
        </w:tc>
        <w:tc>
          <w:tcPr>
            <w:shd w:val="clear" w:color="000000" w:fill="d9d9d9"/>
            <w:tcBorders>
              <w:top w:val="single" w:color="000000" w:sz="4" w:space="0"/>
              <w:bottom w:val="single" w:color="000000" w:sz="4" w:space="0"/>
              <w:right w:val="single" w:color="000000" w:sz="4" w:space="0"/>
            </w:tcBorders>
            <w:tcW w:w="972" w:type="dxa"/>
            <w:vAlign w:val="center"/>
          </w:tcPr>
          <w:p>
            <w:pPr>
              <w:pStyle w:val="12385"/>
              <w:pBdr/>
              <w:spacing/>
              <w:ind/>
              <w:rPr/>
            </w:pPr>
            <w:r>
              <w:t xml:space="preserve">Срок службы, лет</w:t>
            </w:r>
            <w:r/>
          </w:p>
        </w:tc>
        <w:tc>
          <w:tcPr>
            <w:shd w:val="clear" w:color="000000" w:fill="d9d9d9"/>
            <w:tcBorders>
              <w:top w:val="single" w:color="000000" w:sz="4" w:space="0"/>
              <w:bottom w:val="single" w:color="000000" w:sz="4" w:space="0"/>
              <w:right w:val="single" w:color="000000" w:sz="4" w:space="0"/>
            </w:tcBorders>
            <w:tcW w:w="2149" w:type="dxa"/>
            <w:vAlign w:val="center"/>
          </w:tcPr>
          <w:p>
            <w:pPr>
              <w:pStyle w:val="12385"/>
              <w:pBdr/>
              <w:spacing/>
              <w:ind/>
              <w:rPr/>
            </w:pPr>
            <w:r>
              <w:t xml:space="preserve">Доля участка в общей материальной характеристики, %</w:t>
            </w:r>
            <w:r/>
          </w:p>
        </w:tc>
        <w:tc>
          <w:tcPr>
            <w:shd w:val="clear" w:color="000000" w:fill="d9d9d9"/>
            <w:tcBorders>
              <w:top w:val="single" w:color="000000" w:sz="4" w:space="0"/>
              <w:bottom w:val="single" w:color="000000" w:sz="4" w:space="0"/>
              <w:right w:val="single" w:color="000000" w:sz="4" w:space="0"/>
            </w:tcBorders>
            <w:tcW w:w="3134" w:type="dxa"/>
            <w:vAlign w:val="center"/>
          </w:tcPr>
          <w:p>
            <w:pPr>
              <w:pStyle w:val="12385"/>
              <w:pBdr/>
              <w:spacing/>
              <w:ind/>
              <w:rPr/>
            </w:pPr>
            <w:r>
              <w:t xml:space="preserve">Средневзвешенный (по материальной характеристике) срок эксплуатации тепловых сетей, лет</w:t>
            </w:r>
            <w:r/>
          </w:p>
        </w:tc>
      </w:tr>
      <w:tr>
        <w:trPr>
          <w:trHeight w:val="20"/>
        </w:trPr>
        <w:tc>
          <w:tcPr>
            <w:shd w:val="clear" w:color="000000" w:fill="ffff00"/>
            <w:tcBorders>
              <w:left w:val="single" w:color="000000" w:sz="4" w:space="0"/>
              <w:bottom w:val="single" w:color="000000" w:sz="4" w:space="0"/>
              <w:right w:val="single" w:color="000000" w:sz="4" w:space="0"/>
            </w:tcBorders>
            <w:tcW w:w="3075" w:type="dxa"/>
            <w:vAlign w:val="center"/>
          </w:tcPr>
          <w:p>
            <w:pPr>
              <w:pStyle w:val="12385"/>
              <w:pBdr/>
              <w:spacing/>
              <w:ind/>
              <w:rPr/>
            </w:pPr>
            <w:r>
              <w:t xml:space="preserve">Котельная №5 д. Ясенки</w:t>
            </w:r>
            <w:r/>
          </w:p>
        </w:tc>
        <w:tc>
          <w:tcPr>
            <w:shd w:val="clear" w:color="000000" w:fill="ffff00"/>
            <w:tcBorders>
              <w:bottom w:val="single" w:color="000000" w:sz="4" w:space="0"/>
              <w:right w:val="single" w:color="000000" w:sz="4" w:space="0"/>
            </w:tcBorders>
            <w:tcW w:w="1789" w:type="dxa"/>
            <w:vAlign w:val="center"/>
          </w:tcPr>
          <w:p>
            <w:pPr>
              <w:pStyle w:val="12385"/>
              <w:pBdr/>
              <w:spacing/>
              <w:ind/>
              <w:rPr/>
            </w:pPr>
            <w:r>
              <w:t xml:space="preserve">40,00</w:t>
            </w:r>
            <w:r/>
          </w:p>
        </w:tc>
        <w:tc>
          <w:tcPr>
            <w:shd w:val="clear" w:color="000000" w:fill="ffff00"/>
            <w:tcBorders>
              <w:bottom w:val="single" w:color="000000" w:sz="4" w:space="0"/>
              <w:right w:val="single" w:color="000000" w:sz="4" w:space="0"/>
            </w:tcBorders>
            <w:tcW w:w="1622" w:type="dxa"/>
            <w:vAlign w:val="center"/>
          </w:tcPr>
          <w:p>
            <w:pPr>
              <w:pStyle w:val="12385"/>
              <w:pBdr/>
              <w:spacing/>
              <w:ind/>
              <w:rPr/>
            </w:pPr>
            <w:r>
              <w:t xml:space="preserve">3,20</w:t>
            </w:r>
            <w:r/>
          </w:p>
        </w:tc>
        <w:tc>
          <w:tcPr>
            <w:shd w:val="clear" w:color="000000" w:fill="ffff00"/>
            <w:tcBorders>
              <w:bottom w:val="single" w:color="000000" w:sz="4" w:space="0"/>
              <w:right w:val="single" w:color="000000" w:sz="4" w:space="0"/>
            </w:tcBorders>
            <w:tcW w:w="1545" w:type="dxa"/>
            <w:vAlign w:val="center"/>
          </w:tcPr>
          <w:p>
            <w:pPr>
              <w:pStyle w:val="12385"/>
              <w:pBdr/>
              <w:spacing/>
              <w:ind/>
              <w:rPr/>
            </w:pPr>
            <w:r/>
            <w:r/>
          </w:p>
        </w:tc>
        <w:tc>
          <w:tcPr>
            <w:shd w:val="clear" w:color="000000" w:fill="ffff00"/>
            <w:tcBorders>
              <w:bottom w:val="single" w:color="000000" w:sz="4" w:space="0"/>
              <w:right w:val="single" w:color="000000" w:sz="4" w:space="0"/>
            </w:tcBorders>
            <w:tcW w:w="972" w:type="dxa"/>
            <w:vAlign w:val="center"/>
          </w:tcPr>
          <w:p>
            <w:pPr>
              <w:pStyle w:val="12385"/>
              <w:pBdr/>
              <w:spacing/>
              <w:ind/>
              <w:rPr/>
            </w:pPr>
            <w:r/>
            <w:r/>
          </w:p>
        </w:tc>
        <w:tc>
          <w:tcPr>
            <w:shd w:val="clear" w:color="000000" w:fill="ffff00"/>
            <w:tcBorders>
              <w:bottom w:val="single" w:color="000000" w:sz="4" w:space="0"/>
              <w:right w:val="single" w:color="000000" w:sz="4" w:space="0"/>
            </w:tcBorders>
            <w:tcW w:w="2149" w:type="dxa"/>
            <w:vAlign w:val="center"/>
          </w:tcPr>
          <w:p>
            <w:pPr>
              <w:pStyle w:val="12385"/>
              <w:pBdr/>
              <w:spacing/>
              <w:ind/>
              <w:rPr/>
            </w:pPr>
            <w:r>
              <w:t xml:space="preserve">1,00</w:t>
            </w:r>
            <w:r/>
          </w:p>
        </w:tc>
        <w:tc>
          <w:tcPr>
            <w:shd w:val="clear" w:color="000000" w:fill="ffff00"/>
            <w:tcBorders>
              <w:bottom w:val="single" w:color="000000" w:sz="4" w:space="0"/>
              <w:right w:val="single" w:color="000000" w:sz="4" w:space="0"/>
            </w:tcBorders>
            <w:tcW w:w="3134"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5" w:type="dxa"/>
            <w:vAlign w:val="center"/>
          </w:tcPr>
          <w:p>
            <w:pPr>
              <w:pStyle w:val="12385"/>
              <w:pBdr/>
              <w:spacing/>
              <w:ind/>
              <w:rPr/>
            </w:pPr>
            <w:r>
              <w:t xml:space="preserve">40</w:t>
            </w:r>
            <w:r/>
          </w:p>
        </w:tc>
        <w:tc>
          <w:tcPr>
            <w:shd w:val="clear" w:color="000000" w:fill="ffffff"/>
            <w:tcBorders>
              <w:bottom w:val="single" w:color="000000" w:sz="4" w:space="0"/>
              <w:right w:val="single" w:color="000000" w:sz="4" w:space="0"/>
            </w:tcBorders>
            <w:tcW w:w="1789" w:type="dxa"/>
            <w:vAlign w:val="center"/>
          </w:tcPr>
          <w:p>
            <w:pPr>
              <w:pStyle w:val="12385"/>
              <w:pBdr/>
              <w:spacing/>
              <w:ind/>
              <w:rPr/>
            </w:pPr>
            <w:r>
              <w:t xml:space="preserve">40</w:t>
            </w:r>
            <w:r/>
          </w:p>
        </w:tc>
        <w:tc>
          <w:tcPr>
            <w:shd w:val="clear" w:color="000000" w:fill="ffffff"/>
            <w:tcBorders>
              <w:bottom w:val="single" w:color="000000" w:sz="4" w:space="0"/>
              <w:right w:val="single" w:color="000000" w:sz="4" w:space="0"/>
            </w:tcBorders>
            <w:tcW w:w="1622" w:type="dxa"/>
            <w:vAlign w:val="center"/>
          </w:tcPr>
          <w:p>
            <w:pPr>
              <w:pStyle w:val="12385"/>
              <w:pBdr/>
              <w:spacing/>
              <w:ind/>
              <w:rPr/>
            </w:pPr>
            <w:r>
              <w:t xml:space="preserve">3,20</w:t>
            </w:r>
            <w:r/>
          </w:p>
        </w:tc>
        <w:tc>
          <w:tcPr>
            <w:shd w:val="clear" w:color="000000" w:fill="ffffff"/>
            <w:tcBorders>
              <w:bottom w:val="single" w:color="000000" w:sz="4" w:space="0"/>
              <w:right w:val="single" w:color="000000" w:sz="4" w:space="0"/>
            </w:tcBorders>
            <w:tcW w:w="1545" w:type="dxa"/>
            <w:vAlign w:val="center"/>
          </w:tcPr>
          <w:p>
            <w:pPr>
              <w:pStyle w:val="12385"/>
              <w:pBdr/>
              <w:spacing/>
              <w:ind/>
              <w:rPr/>
            </w:pPr>
            <w:r>
              <w:t xml:space="preserve">н/д</w:t>
            </w:r>
            <w:r/>
          </w:p>
        </w:tc>
        <w:tc>
          <w:tcPr>
            <w:shd w:val="clear" w:color="000000" w:fill="ffffff"/>
            <w:tcBorders>
              <w:bottom w:val="single" w:color="000000" w:sz="4" w:space="0"/>
              <w:right w:val="single" w:color="000000" w:sz="4" w:space="0"/>
            </w:tcBorders>
            <w:tcW w:w="972" w:type="dxa"/>
            <w:vAlign w:val="center"/>
          </w:tcPr>
          <w:p>
            <w:pPr>
              <w:pStyle w:val="12385"/>
              <w:pBdr/>
              <w:spacing/>
              <w:ind/>
              <w:rPr/>
            </w:pPr>
            <w:r>
              <w:t xml:space="preserve">н/д</w:t>
            </w:r>
            <w:r/>
          </w:p>
        </w:tc>
        <w:tc>
          <w:tcPr>
            <w:shd w:val="clear" w:color="000000" w:fill="ffffff"/>
            <w:tcBorders>
              <w:bottom w:val="single" w:color="000000" w:sz="4" w:space="0"/>
              <w:right w:val="single" w:color="000000" w:sz="4" w:space="0"/>
            </w:tcBorders>
            <w:tcW w:w="2149" w:type="dxa"/>
            <w:vAlign w:val="center"/>
          </w:tcPr>
          <w:p>
            <w:pPr>
              <w:pStyle w:val="12385"/>
              <w:pBdr/>
              <w:spacing/>
              <w:ind/>
              <w:rPr/>
            </w:pPr>
            <w:r>
              <w:t xml:space="preserve">100,00%</w:t>
            </w:r>
            <w:r/>
          </w:p>
        </w:tc>
        <w:tc>
          <w:tcPr>
            <w:shd w:val="clear" w:color="000000" w:fill="ffffff"/>
            <w:tcBorders>
              <w:bottom w:val="single" w:color="000000" w:sz="4" w:space="0"/>
              <w:right w:val="single" w:color="000000" w:sz="4" w:space="0"/>
            </w:tcBorders>
            <w:tcW w:w="3134" w:type="dxa"/>
            <w:vAlign w:val="center"/>
          </w:tcPr>
          <w:p>
            <w:pPr>
              <w:pStyle w:val="12385"/>
              <w:pBdr/>
              <w:spacing/>
              <w:ind/>
              <w:rPr/>
            </w:pPr>
            <w:r>
              <w:t xml:space="preserve">н/д</w:t>
            </w:r>
            <w:r/>
          </w:p>
        </w:tc>
      </w:tr>
      <w:tr>
        <w:trPr>
          <w:trHeight w:val="20"/>
        </w:trPr>
        <w:tc>
          <w:tcPr>
            <w:shd w:val="clear" w:color="000000" w:fill="ffff00"/>
            <w:tcBorders>
              <w:left w:val="single" w:color="000000" w:sz="4" w:space="0"/>
              <w:bottom w:val="single" w:color="000000" w:sz="4" w:space="0"/>
              <w:right w:val="single" w:color="000000" w:sz="4" w:space="0"/>
            </w:tcBorders>
            <w:tcW w:w="3075" w:type="dxa"/>
            <w:vAlign w:val="center"/>
          </w:tcPr>
          <w:p>
            <w:pPr>
              <w:pStyle w:val="12385"/>
              <w:pBdr/>
              <w:spacing/>
              <w:ind/>
              <w:rPr/>
            </w:pPr>
            <w:r>
              <w:t xml:space="preserve">Котельная №6 п. Первомайский</w:t>
            </w:r>
            <w:r/>
          </w:p>
        </w:tc>
        <w:tc>
          <w:tcPr>
            <w:shd w:val="clear" w:color="000000" w:fill="ffff00"/>
            <w:tcBorders>
              <w:bottom w:val="single" w:color="000000" w:sz="4" w:space="0"/>
              <w:right w:val="single" w:color="000000" w:sz="4" w:space="0"/>
            </w:tcBorders>
            <w:tcW w:w="1789" w:type="dxa"/>
            <w:vAlign w:val="center"/>
          </w:tcPr>
          <w:p>
            <w:pPr>
              <w:pStyle w:val="12385"/>
              <w:pBdr/>
              <w:spacing/>
              <w:ind/>
              <w:rPr/>
            </w:pPr>
            <w:r>
              <w:t xml:space="preserve">70,00</w:t>
            </w:r>
            <w:r/>
          </w:p>
        </w:tc>
        <w:tc>
          <w:tcPr>
            <w:shd w:val="clear" w:color="000000" w:fill="ffff00"/>
            <w:tcBorders>
              <w:bottom w:val="single" w:color="000000" w:sz="4" w:space="0"/>
              <w:right w:val="single" w:color="000000" w:sz="4" w:space="0"/>
            </w:tcBorders>
            <w:tcW w:w="1622" w:type="dxa"/>
            <w:vAlign w:val="center"/>
          </w:tcPr>
          <w:p>
            <w:pPr>
              <w:pStyle w:val="12385"/>
              <w:pBdr/>
              <w:spacing/>
              <w:ind/>
              <w:rPr/>
            </w:pPr>
            <w:r>
              <w:t xml:space="preserve">5,60</w:t>
            </w:r>
            <w:r/>
          </w:p>
        </w:tc>
        <w:tc>
          <w:tcPr>
            <w:shd w:val="clear" w:color="000000" w:fill="ffff00"/>
            <w:tcBorders>
              <w:bottom w:val="single" w:color="000000" w:sz="4" w:space="0"/>
              <w:right w:val="single" w:color="000000" w:sz="4" w:space="0"/>
            </w:tcBorders>
            <w:tcW w:w="1545" w:type="dxa"/>
            <w:vAlign w:val="center"/>
          </w:tcPr>
          <w:p>
            <w:pPr>
              <w:pStyle w:val="12385"/>
              <w:pBdr/>
              <w:spacing/>
              <w:ind/>
              <w:rPr/>
            </w:pPr>
            <w:r/>
            <w:r/>
          </w:p>
        </w:tc>
        <w:tc>
          <w:tcPr>
            <w:shd w:val="clear" w:color="000000" w:fill="ffff00"/>
            <w:tcBorders>
              <w:bottom w:val="single" w:color="000000" w:sz="4" w:space="0"/>
              <w:right w:val="single" w:color="000000" w:sz="4" w:space="0"/>
            </w:tcBorders>
            <w:tcW w:w="972" w:type="dxa"/>
            <w:vAlign w:val="center"/>
          </w:tcPr>
          <w:p>
            <w:pPr>
              <w:pStyle w:val="12385"/>
              <w:pBdr/>
              <w:spacing/>
              <w:ind/>
              <w:rPr/>
            </w:pPr>
            <w:r/>
            <w:r/>
          </w:p>
        </w:tc>
        <w:tc>
          <w:tcPr>
            <w:shd w:val="clear" w:color="000000" w:fill="ffff00"/>
            <w:tcBorders>
              <w:bottom w:val="single" w:color="000000" w:sz="4" w:space="0"/>
              <w:right w:val="single" w:color="000000" w:sz="4" w:space="0"/>
            </w:tcBorders>
            <w:tcW w:w="2149" w:type="dxa"/>
            <w:vAlign w:val="center"/>
          </w:tcPr>
          <w:p>
            <w:pPr>
              <w:pStyle w:val="12385"/>
              <w:pBdr/>
              <w:spacing/>
              <w:ind/>
              <w:rPr/>
            </w:pPr>
            <w:r>
              <w:t xml:space="preserve">1,00</w:t>
            </w:r>
            <w:r/>
          </w:p>
        </w:tc>
        <w:tc>
          <w:tcPr>
            <w:shd w:val="clear" w:color="000000" w:fill="ffff00"/>
            <w:tcBorders>
              <w:bottom w:val="single" w:color="000000" w:sz="4" w:space="0"/>
              <w:right w:val="single" w:color="000000" w:sz="4" w:space="0"/>
            </w:tcBorders>
            <w:tcW w:w="3134"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5" w:type="dxa"/>
            <w:vAlign w:val="center"/>
          </w:tcPr>
          <w:p>
            <w:pPr>
              <w:pStyle w:val="12385"/>
              <w:pBdr/>
              <w:spacing/>
              <w:ind/>
              <w:rPr/>
            </w:pPr>
            <w:r>
              <w:t xml:space="preserve">40</w:t>
            </w:r>
            <w:r/>
          </w:p>
        </w:tc>
        <w:tc>
          <w:tcPr>
            <w:shd w:val="clear" w:color="000000" w:fill="ffffff"/>
            <w:tcBorders>
              <w:bottom w:val="single" w:color="000000" w:sz="4" w:space="0"/>
              <w:right w:val="single" w:color="000000" w:sz="4" w:space="0"/>
            </w:tcBorders>
            <w:tcW w:w="1789" w:type="dxa"/>
            <w:vAlign w:val="center"/>
          </w:tcPr>
          <w:p>
            <w:pPr>
              <w:pStyle w:val="12385"/>
              <w:pBdr/>
              <w:spacing/>
              <w:ind/>
              <w:rPr/>
            </w:pPr>
            <w:r>
              <w:t xml:space="preserve">70</w:t>
            </w:r>
            <w:r/>
          </w:p>
        </w:tc>
        <w:tc>
          <w:tcPr>
            <w:shd w:val="clear" w:color="000000" w:fill="ffffff"/>
            <w:tcBorders>
              <w:bottom w:val="single" w:color="000000" w:sz="4" w:space="0"/>
              <w:right w:val="single" w:color="000000" w:sz="4" w:space="0"/>
            </w:tcBorders>
            <w:tcW w:w="1622" w:type="dxa"/>
            <w:vAlign w:val="center"/>
          </w:tcPr>
          <w:p>
            <w:pPr>
              <w:pStyle w:val="12385"/>
              <w:pBdr/>
              <w:spacing/>
              <w:ind/>
              <w:rPr/>
            </w:pPr>
            <w:r>
              <w:t xml:space="preserve">5,60</w:t>
            </w:r>
            <w:r/>
          </w:p>
        </w:tc>
        <w:tc>
          <w:tcPr>
            <w:shd w:val="clear" w:color="000000" w:fill="ffffff"/>
            <w:tcBorders>
              <w:bottom w:val="single" w:color="000000" w:sz="4" w:space="0"/>
              <w:right w:val="single" w:color="000000" w:sz="4" w:space="0"/>
            </w:tcBorders>
            <w:tcW w:w="1545" w:type="dxa"/>
            <w:vAlign w:val="center"/>
          </w:tcPr>
          <w:p>
            <w:pPr>
              <w:pStyle w:val="12385"/>
              <w:pBdr/>
              <w:spacing/>
              <w:ind/>
              <w:rPr/>
            </w:pPr>
            <w:r>
              <w:t xml:space="preserve">н/д</w:t>
            </w:r>
            <w:r/>
          </w:p>
        </w:tc>
        <w:tc>
          <w:tcPr>
            <w:shd w:val="clear" w:color="000000" w:fill="ffffff"/>
            <w:tcBorders>
              <w:bottom w:val="single" w:color="000000" w:sz="4" w:space="0"/>
              <w:right w:val="single" w:color="000000" w:sz="4" w:space="0"/>
            </w:tcBorders>
            <w:tcW w:w="972" w:type="dxa"/>
            <w:vAlign w:val="center"/>
          </w:tcPr>
          <w:p>
            <w:pPr>
              <w:pStyle w:val="12385"/>
              <w:pBdr/>
              <w:spacing/>
              <w:ind/>
              <w:rPr/>
            </w:pPr>
            <w:r>
              <w:t xml:space="preserve">н/д</w:t>
            </w:r>
            <w:r/>
          </w:p>
        </w:tc>
        <w:tc>
          <w:tcPr>
            <w:shd w:val="clear" w:color="000000" w:fill="ffffff"/>
            <w:tcBorders>
              <w:bottom w:val="single" w:color="000000" w:sz="4" w:space="0"/>
              <w:right w:val="single" w:color="000000" w:sz="4" w:space="0"/>
            </w:tcBorders>
            <w:tcW w:w="2149" w:type="dxa"/>
            <w:vAlign w:val="center"/>
          </w:tcPr>
          <w:p>
            <w:pPr>
              <w:pStyle w:val="12385"/>
              <w:pBdr/>
              <w:spacing/>
              <w:ind/>
              <w:rPr/>
            </w:pPr>
            <w:r>
              <w:t xml:space="preserve">100,00%</w:t>
            </w:r>
            <w:r/>
          </w:p>
        </w:tc>
        <w:tc>
          <w:tcPr>
            <w:shd w:val="clear" w:color="000000" w:fill="ffffff"/>
            <w:tcBorders>
              <w:bottom w:val="single" w:color="000000" w:sz="4" w:space="0"/>
              <w:right w:val="single" w:color="000000" w:sz="4" w:space="0"/>
            </w:tcBorders>
            <w:tcW w:w="3134" w:type="dxa"/>
            <w:vAlign w:val="center"/>
          </w:tcPr>
          <w:p>
            <w:pPr>
              <w:pStyle w:val="12385"/>
              <w:pBdr/>
              <w:spacing/>
              <w:ind/>
              <w:rPr/>
            </w:pPr>
            <w:r>
              <w:t xml:space="preserve">н/д</w:t>
            </w:r>
            <w:r/>
          </w:p>
        </w:tc>
      </w:tr>
      <w:tr>
        <w:trPr>
          <w:trHeight w:val="20"/>
        </w:trPr>
        <w:tc>
          <w:tcPr>
            <w:shd w:val="clear" w:color="000000" w:fill="ffff00"/>
            <w:tcBorders>
              <w:left w:val="single" w:color="000000" w:sz="4" w:space="0"/>
              <w:bottom w:val="single" w:color="000000" w:sz="4" w:space="0"/>
              <w:right w:val="single" w:color="000000" w:sz="4" w:space="0"/>
            </w:tcBorders>
            <w:tcW w:w="3075" w:type="dxa"/>
            <w:vAlign w:val="center"/>
          </w:tcPr>
          <w:p>
            <w:pPr>
              <w:pStyle w:val="12385"/>
              <w:pBdr/>
              <w:spacing/>
              <w:ind/>
              <w:rPr/>
            </w:pPr>
            <w:r>
              <w:t xml:space="preserve">Котельная №7 с. Белый Колодезь</w:t>
            </w:r>
            <w:r/>
          </w:p>
        </w:tc>
        <w:tc>
          <w:tcPr>
            <w:shd w:val="clear" w:color="000000" w:fill="ffff00"/>
            <w:tcBorders>
              <w:bottom w:val="single" w:color="000000" w:sz="4" w:space="0"/>
              <w:right w:val="single" w:color="000000" w:sz="4" w:space="0"/>
            </w:tcBorders>
            <w:tcW w:w="1789" w:type="dxa"/>
            <w:vAlign w:val="center"/>
          </w:tcPr>
          <w:p>
            <w:pPr>
              <w:pStyle w:val="12385"/>
              <w:pBdr/>
              <w:spacing/>
              <w:ind/>
              <w:rPr/>
            </w:pPr>
            <w:r>
              <w:t xml:space="preserve">70,00</w:t>
            </w:r>
            <w:r/>
          </w:p>
        </w:tc>
        <w:tc>
          <w:tcPr>
            <w:shd w:val="clear" w:color="000000" w:fill="ffff00"/>
            <w:tcBorders>
              <w:bottom w:val="single" w:color="000000" w:sz="4" w:space="0"/>
              <w:right w:val="single" w:color="000000" w:sz="4" w:space="0"/>
            </w:tcBorders>
            <w:tcW w:w="1622" w:type="dxa"/>
            <w:vAlign w:val="center"/>
          </w:tcPr>
          <w:p>
            <w:pPr>
              <w:pStyle w:val="12385"/>
              <w:pBdr/>
              <w:spacing/>
              <w:ind/>
              <w:rPr/>
            </w:pPr>
            <w:r>
              <w:t xml:space="preserve">5,60</w:t>
            </w:r>
            <w:r/>
          </w:p>
        </w:tc>
        <w:tc>
          <w:tcPr>
            <w:shd w:val="clear" w:color="000000" w:fill="ffff00"/>
            <w:tcBorders>
              <w:bottom w:val="single" w:color="000000" w:sz="4" w:space="0"/>
              <w:right w:val="single" w:color="000000" w:sz="4" w:space="0"/>
            </w:tcBorders>
            <w:tcW w:w="1545" w:type="dxa"/>
            <w:vAlign w:val="center"/>
          </w:tcPr>
          <w:p>
            <w:pPr>
              <w:pStyle w:val="12385"/>
              <w:pBdr/>
              <w:spacing/>
              <w:ind/>
              <w:rPr/>
            </w:pPr>
            <w:r/>
            <w:r/>
          </w:p>
        </w:tc>
        <w:tc>
          <w:tcPr>
            <w:shd w:val="clear" w:color="000000" w:fill="ffff00"/>
            <w:tcBorders>
              <w:bottom w:val="single" w:color="000000" w:sz="4" w:space="0"/>
              <w:right w:val="single" w:color="000000" w:sz="4" w:space="0"/>
            </w:tcBorders>
            <w:tcW w:w="972" w:type="dxa"/>
            <w:vAlign w:val="center"/>
          </w:tcPr>
          <w:p>
            <w:pPr>
              <w:pStyle w:val="12385"/>
              <w:pBdr/>
              <w:spacing/>
              <w:ind/>
              <w:rPr/>
            </w:pPr>
            <w:r/>
            <w:r/>
          </w:p>
        </w:tc>
        <w:tc>
          <w:tcPr>
            <w:shd w:val="clear" w:color="000000" w:fill="ffff00"/>
            <w:tcBorders>
              <w:bottom w:val="single" w:color="000000" w:sz="4" w:space="0"/>
              <w:right w:val="single" w:color="000000" w:sz="4" w:space="0"/>
            </w:tcBorders>
            <w:tcW w:w="2149" w:type="dxa"/>
            <w:vAlign w:val="center"/>
          </w:tcPr>
          <w:p>
            <w:pPr>
              <w:pStyle w:val="12385"/>
              <w:pBdr/>
              <w:spacing/>
              <w:ind/>
              <w:rPr/>
            </w:pPr>
            <w:r>
              <w:t xml:space="preserve">1,00</w:t>
            </w:r>
            <w:r/>
          </w:p>
        </w:tc>
        <w:tc>
          <w:tcPr>
            <w:shd w:val="clear" w:color="000000" w:fill="ffff00"/>
            <w:tcBorders>
              <w:bottom w:val="single" w:color="000000" w:sz="4" w:space="0"/>
              <w:right w:val="single" w:color="000000" w:sz="4" w:space="0"/>
            </w:tcBorders>
            <w:tcW w:w="3134" w:type="dxa"/>
            <w:vAlign w:val="center"/>
          </w:tcPr>
          <w:p>
            <w:pPr>
              <w:pStyle w:val="12385"/>
              <w:pBdr/>
              <w:spacing/>
              <w:ind/>
              <w:rPr/>
            </w:pPr>
            <w:r/>
            <w:r/>
          </w:p>
        </w:tc>
      </w:tr>
      <w:tr>
        <w:trPr>
          <w:trHeight w:val="20"/>
        </w:trPr>
        <w:tc>
          <w:tcPr>
            <w:shd w:val="clear" w:color="000000" w:fill="ffffff"/>
            <w:tcBorders>
              <w:left w:val="single" w:color="000000" w:sz="4" w:space="0"/>
              <w:bottom w:val="single" w:color="000000" w:sz="4" w:space="0"/>
              <w:right w:val="single" w:color="000000" w:sz="4" w:space="0"/>
            </w:tcBorders>
            <w:tcW w:w="3075" w:type="dxa"/>
            <w:vAlign w:val="center"/>
          </w:tcPr>
          <w:p>
            <w:pPr>
              <w:pStyle w:val="12385"/>
              <w:pBdr/>
              <w:spacing/>
              <w:ind/>
              <w:rPr/>
            </w:pPr>
            <w:r>
              <w:t xml:space="preserve">40</w:t>
            </w:r>
            <w:r/>
          </w:p>
        </w:tc>
        <w:tc>
          <w:tcPr>
            <w:shd w:val="clear" w:color="000000" w:fill="ffffff"/>
            <w:tcBorders>
              <w:bottom w:val="single" w:color="000000" w:sz="4" w:space="0"/>
              <w:right w:val="single" w:color="000000" w:sz="4" w:space="0"/>
            </w:tcBorders>
            <w:tcW w:w="1789" w:type="dxa"/>
            <w:vAlign w:val="center"/>
          </w:tcPr>
          <w:p>
            <w:pPr>
              <w:pStyle w:val="12385"/>
              <w:pBdr/>
              <w:spacing/>
              <w:ind/>
              <w:rPr/>
            </w:pPr>
            <w:r>
              <w:t xml:space="preserve">70</w:t>
            </w:r>
            <w:r/>
          </w:p>
        </w:tc>
        <w:tc>
          <w:tcPr>
            <w:shd w:val="clear" w:color="000000" w:fill="ffffff"/>
            <w:tcBorders>
              <w:bottom w:val="single" w:color="000000" w:sz="4" w:space="0"/>
              <w:right w:val="single" w:color="000000" w:sz="4" w:space="0"/>
            </w:tcBorders>
            <w:tcW w:w="1622" w:type="dxa"/>
            <w:vAlign w:val="center"/>
          </w:tcPr>
          <w:p>
            <w:pPr>
              <w:pStyle w:val="12385"/>
              <w:pBdr/>
              <w:spacing/>
              <w:ind/>
              <w:rPr/>
            </w:pPr>
            <w:r>
              <w:t xml:space="preserve">5,60</w:t>
            </w:r>
            <w:r/>
          </w:p>
        </w:tc>
        <w:tc>
          <w:tcPr>
            <w:shd w:val="clear" w:color="000000" w:fill="ffffff"/>
            <w:tcBorders>
              <w:bottom w:val="single" w:color="000000" w:sz="4" w:space="0"/>
              <w:right w:val="single" w:color="000000" w:sz="4" w:space="0"/>
            </w:tcBorders>
            <w:tcW w:w="1545" w:type="dxa"/>
            <w:vAlign w:val="center"/>
          </w:tcPr>
          <w:p>
            <w:pPr>
              <w:pStyle w:val="12385"/>
              <w:pBdr/>
              <w:spacing/>
              <w:ind/>
              <w:rPr/>
            </w:pPr>
            <w:r>
              <w:t xml:space="preserve">н/д</w:t>
            </w:r>
            <w:r/>
          </w:p>
        </w:tc>
        <w:tc>
          <w:tcPr>
            <w:shd w:val="clear" w:color="000000" w:fill="ffffff"/>
            <w:tcBorders>
              <w:bottom w:val="single" w:color="000000" w:sz="4" w:space="0"/>
              <w:right w:val="single" w:color="000000" w:sz="4" w:space="0"/>
            </w:tcBorders>
            <w:tcW w:w="972" w:type="dxa"/>
            <w:vAlign w:val="center"/>
          </w:tcPr>
          <w:p>
            <w:pPr>
              <w:pStyle w:val="12385"/>
              <w:pBdr/>
              <w:spacing/>
              <w:ind/>
              <w:rPr/>
            </w:pPr>
            <w:r>
              <w:t xml:space="preserve">н/д</w:t>
            </w:r>
            <w:r/>
          </w:p>
        </w:tc>
        <w:tc>
          <w:tcPr>
            <w:shd w:val="clear" w:color="000000" w:fill="ffffff"/>
            <w:tcBorders>
              <w:bottom w:val="single" w:color="000000" w:sz="4" w:space="0"/>
              <w:right w:val="single" w:color="000000" w:sz="4" w:space="0"/>
            </w:tcBorders>
            <w:tcW w:w="2149" w:type="dxa"/>
            <w:vAlign w:val="center"/>
          </w:tcPr>
          <w:p>
            <w:pPr>
              <w:pStyle w:val="12385"/>
              <w:pBdr/>
              <w:spacing/>
              <w:ind/>
              <w:rPr/>
            </w:pPr>
            <w:r>
              <w:t xml:space="preserve">100,00%</w:t>
            </w:r>
            <w:r/>
          </w:p>
        </w:tc>
        <w:tc>
          <w:tcPr>
            <w:shd w:val="clear" w:color="000000" w:fill="ffffff"/>
            <w:tcBorders>
              <w:bottom w:val="single" w:color="000000" w:sz="4" w:space="0"/>
              <w:right w:val="single" w:color="000000" w:sz="4" w:space="0"/>
            </w:tcBorders>
            <w:tcW w:w="3134" w:type="dxa"/>
            <w:vAlign w:val="center"/>
          </w:tcPr>
          <w:p>
            <w:pPr>
              <w:pStyle w:val="12385"/>
              <w:pBdr/>
              <w:spacing/>
              <w:ind/>
              <w:rPr/>
            </w:pPr>
            <w:r>
              <w:t xml:space="preserve">н/д</w:t>
            </w:r>
            <w:r/>
          </w:p>
        </w:tc>
      </w:tr>
    </w:tbl>
    <w:p>
      <w:pPr>
        <w:pBdr/>
        <w:spacing/>
        <w:ind/>
        <w:rPr/>
        <w:sectPr>
          <w:headerReference w:type="default" r:id="rId228"/>
          <w:headerReference w:type="first" r:id="rId229"/>
          <w:footerReference w:type="default" r:id="rId496"/>
          <w:footerReference w:type="first" r:id="rId497"/>
          <w:footnotePr/>
          <w:endnotePr/>
          <w:type w:val="nextPage"/>
          <w:pgSz w:h="11906" w:orient="landscape" w:w="16838"/>
          <w:pgMar w:top="1134" w:right="850" w:bottom="1134" w:left="1701" w:header="567" w:footer="454" w:gutter="0"/>
          <w:cols w:num="1" w:sep="0" w:space="1701" w:equalWidth="1"/>
        </w:sectPr>
      </w:pPr>
      <w:r/>
      <w:r/>
    </w:p>
    <w:p>
      <w:pPr>
        <w:pStyle w:val="12279"/>
        <w:pBdr/>
        <w:spacing/>
        <w:ind w:firstLine="0"/>
        <w:rPr>
          <w:rFonts w:ascii="Times New Roman" w:hAnsi="Times New Roman" w:cs="Times New Roman"/>
          <w:b/>
          <w:sz w:val="24"/>
          <w:szCs w:val="24"/>
        </w:rPr>
      </w:pPr>
      <w:r>
        <w:rPr>
          <w:rFonts w:ascii="Times New Roman" w:hAnsi="Times New Roman" w:cs="Times New Roman"/>
          <w:b/>
          <w:sz w:val="24"/>
          <w:szCs w:val="24"/>
        </w:rPr>
      </w:r>
      <w:r>
        <w:rPr>
          <w:rFonts w:ascii="Times New Roman" w:hAnsi="Times New Roman" w:cs="Times New Roman"/>
          <w:b/>
          <w:sz w:val="24"/>
          <w:szCs w:val="24"/>
        </w:rPr>
      </w:r>
    </w:p>
    <w:p>
      <w:pPr>
        <w:pStyle w:val="12279"/>
        <w:pBdr/>
        <w:spacing/>
        <w:ind w:firstLine="0"/>
        <w:rPr>
          <w:rFonts w:ascii="Times New Roman" w:hAnsi="Times New Roman" w:cs="Times New Roman"/>
        </w:rPr>
      </w:pPr>
      <w:r>
        <w:rPr>
          <w:rFonts w:ascii="Times New Roman" w:hAnsi="Times New Roman" w:cs="Times New Roman"/>
          <w:b/>
          <w:sz w:val="24"/>
          <w:szCs w:val="24"/>
        </w:rPr>
        <w:t xml:space="preserve">Таблица 13.11.2 - Средневзвешенный (по материальной характеристике) срок эксплуатации тепловых сетей</w:t>
      </w:r>
      <w:r>
        <w:rPr>
          <w:rFonts w:ascii="Times New Roman" w:hAnsi="Times New Roman" w:cs="Times New Roman"/>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2125"/>
        <w:gridCol w:w="1133"/>
        <w:gridCol w:w="1181"/>
        <w:gridCol w:w="1203"/>
        <w:gridCol w:w="1188"/>
        <w:gridCol w:w="1189"/>
        <w:gridCol w:w="1335"/>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125" w:type="dxa"/>
            <w:vAlign w:val="center"/>
          </w:tcPr>
          <w:p>
            <w:pPr>
              <w:pStyle w:val="10533"/>
              <w:pBdr/>
              <w:spacing/>
              <w:ind/>
              <w:jc w:val="center"/>
              <w:rPr>
                <w:color w:val="000000"/>
                <w:sz w:val="20"/>
                <w:szCs w:val="20"/>
              </w:rPr>
            </w:pPr>
            <w:r>
              <w:rPr>
                <w:color w:val="000000"/>
                <w:sz w:val="20"/>
                <w:szCs w:val="20"/>
              </w:rPr>
              <w:t xml:space="preserve">Наименование источника</w:t>
            </w:r>
            <w:r>
              <w:rPr>
                <w:color w:val="000000"/>
                <w:sz w:val="20"/>
                <w:szCs w:val="20"/>
              </w:rPr>
            </w:r>
          </w:p>
        </w:tc>
        <w:tc>
          <w:tcPr>
            <w:shd w:val="clear" w:color="auto" w:fill="d9d9d9" w:themeFill="background1" w:themeFillShade="D9"/>
            <w:tcBorders>
              <w:top w:val="single" w:color="000000" w:sz="4" w:space="0"/>
              <w:bottom w:val="single" w:color="000000" w:sz="4" w:space="0"/>
              <w:right w:val="single" w:color="000000" w:sz="4" w:space="0"/>
            </w:tcBorders>
            <w:tcW w:w="1133" w:type="dxa"/>
            <w:vAlign w:val="center"/>
          </w:tcPr>
          <w:p>
            <w:pPr>
              <w:pStyle w:val="10533"/>
              <w:pBdr/>
              <w:spacing/>
              <w:ind/>
              <w:jc w:val="center"/>
              <w:rPr>
                <w:color w:val="000000"/>
                <w:sz w:val="20"/>
                <w:szCs w:val="20"/>
              </w:rPr>
            </w:pPr>
            <w:r>
              <w:rPr>
                <w:color w:val="000000"/>
                <w:sz w:val="20"/>
                <w:szCs w:val="20"/>
              </w:rPr>
              <w:t xml:space="preserve">Материальная Характеристика тепловой сети, м</w:t>
            </w:r>
            <w:r>
              <w:rPr>
                <w:color w:val="000000"/>
                <w:sz w:val="20"/>
                <w:szCs w:val="20"/>
                <w:vertAlign w:val="superscript"/>
              </w:rPr>
              <w:t xml:space="preserve">2</w:t>
            </w:r>
            <w:r>
              <w:rPr>
                <w:color w:val="000000"/>
                <w:sz w:val="20"/>
                <w:szCs w:val="20"/>
              </w:rPr>
            </w:r>
          </w:p>
        </w:tc>
        <w:tc>
          <w:tcPr>
            <w:shd w:val="clear" w:color="auto" w:fill="d9d9d9" w:themeFill="background1" w:themeFillShade="D9"/>
            <w:tcBorders>
              <w:top w:val="single" w:color="000000" w:sz="4" w:space="0"/>
              <w:bottom w:val="single" w:color="000000" w:sz="4" w:space="0"/>
              <w:right w:val="single" w:color="000000" w:sz="4" w:space="0"/>
            </w:tcBorders>
            <w:tcW w:w="1181" w:type="dxa"/>
            <w:vAlign w:val="center"/>
          </w:tcPr>
          <w:p>
            <w:pPr>
              <w:pStyle w:val="10533"/>
              <w:pBdr/>
              <w:spacing/>
              <w:ind/>
              <w:jc w:val="center"/>
              <w:rPr>
                <w:color w:val="000000"/>
                <w:sz w:val="20"/>
                <w:szCs w:val="20"/>
              </w:rPr>
            </w:pPr>
            <w:r>
              <w:rPr>
                <w:color w:val="000000"/>
                <w:sz w:val="20"/>
                <w:szCs w:val="20"/>
              </w:rPr>
              <w:t xml:space="preserve">Расчетные технологические потери тепловой энергии, Гкал/ч</w:t>
            </w:r>
            <w:r>
              <w:rPr>
                <w:color w:val="000000"/>
                <w:sz w:val="20"/>
                <w:szCs w:val="20"/>
              </w:rPr>
            </w:r>
          </w:p>
        </w:tc>
        <w:tc>
          <w:tcPr>
            <w:shd w:val="clear" w:color="auto" w:fill="d9d9d9" w:themeFill="background1" w:themeFillShade="D9"/>
            <w:tcBorders>
              <w:top w:val="single" w:color="000000" w:sz="4" w:space="0"/>
              <w:bottom w:val="single" w:color="000000" w:sz="4" w:space="0"/>
              <w:right w:val="single" w:color="000000" w:sz="4" w:space="0"/>
            </w:tcBorders>
            <w:tcW w:w="1203" w:type="dxa"/>
            <w:vAlign w:val="center"/>
          </w:tcPr>
          <w:p>
            <w:pPr>
              <w:pStyle w:val="10533"/>
              <w:pBdr/>
              <w:spacing/>
              <w:ind/>
              <w:jc w:val="center"/>
              <w:rPr>
                <w:color w:val="000000"/>
                <w:sz w:val="20"/>
                <w:szCs w:val="20"/>
              </w:rPr>
            </w:pPr>
            <w:r>
              <w:rPr>
                <w:color w:val="000000"/>
                <w:sz w:val="20"/>
                <w:szCs w:val="20"/>
              </w:rPr>
              <w:t xml:space="preserve">Технологические потери теплоносителя, м</w:t>
            </w:r>
            <w:r>
              <w:rPr>
                <w:color w:val="000000"/>
                <w:sz w:val="20"/>
                <w:szCs w:val="20"/>
                <w:vertAlign w:val="superscript"/>
              </w:rPr>
              <w:t xml:space="preserve">3</w:t>
            </w:r>
            <w:r>
              <w:rPr>
                <w:color w:val="000000"/>
                <w:sz w:val="20"/>
                <w:szCs w:val="20"/>
              </w:rPr>
            </w:r>
          </w:p>
        </w:tc>
        <w:tc>
          <w:tcPr>
            <w:shd w:val="clear" w:color="auto" w:fill="d9d9d9" w:themeFill="background1" w:themeFillShade="D9"/>
            <w:tcBorders>
              <w:top w:val="single" w:color="000000" w:sz="4" w:space="0"/>
              <w:bottom w:val="single" w:color="000000" w:sz="4" w:space="0"/>
              <w:right w:val="single" w:color="000000" w:sz="4" w:space="0"/>
            </w:tcBorders>
            <w:tcW w:w="1188" w:type="dxa"/>
            <w:vAlign w:val="center"/>
          </w:tcPr>
          <w:p>
            <w:pPr>
              <w:pStyle w:val="10533"/>
              <w:pBdr/>
              <w:spacing/>
              <w:ind/>
              <w:jc w:val="center"/>
              <w:rPr>
                <w:color w:val="000000"/>
                <w:sz w:val="20"/>
                <w:szCs w:val="20"/>
              </w:rPr>
            </w:pPr>
            <w:r>
              <w:rPr>
                <w:color w:val="000000"/>
                <w:sz w:val="20"/>
                <w:szCs w:val="20"/>
              </w:rPr>
              <w:t xml:space="preserve">Отношение величины технологических потерь тепловой энергиик материальной характеристике тепловой сети</w:t>
            </w:r>
            <w:r>
              <w:rPr>
                <w:color w:val="000000"/>
                <w:sz w:val="20"/>
                <w:szCs w:val="20"/>
              </w:rPr>
            </w:r>
          </w:p>
        </w:tc>
        <w:tc>
          <w:tcPr>
            <w:shd w:val="clear" w:color="auto" w:fill="d9d9d9" w:themeFill="background1" w:themeFillShade="D9"/>
            <w:tcBorders>
              <w:top w:val="single" w:color="000000" w:sz="4" w:space="0"/>
              <w:bottom w:val="single" w:color="000000" w:sz="4" w:space="0"/>
              <w:right w:val="single" w:color="000000" w:sz="4" w:space="0"/>
            </w:tcBorders>
            <w:tcW w:w="1189" w:type="dxa"/>
            <w:vAlign w:val="center"/>
          </w:tcPr>
          <w:p>
            <w:pPr>
              <w:pStyle w:val="10533"/>
              <w:pBdr/>
              <w:spacing/>
              <w:ind/>
              <w:jc w:val="center"/>
              <w:rPr>
                <w:color w:val="000000"/>
                <w:sz w:val="20"/>
                <w:szCs w:val="20"/>
              </w:rPr>
            </w:pPr>
            <w:r>
              <w:rPr>
                <w:color w:val="000000"/>
                <w:sz w:val="20"/>
                <w:szCs w:val="20"/>
              </w:rPr>
              <w:t xml:space="preserve">Отношение величины технологических потерь т теплоносителя к материальной характеристике тепловой сети</w:t>
            </w:r>
            <w:r>
              <w:rPr>
                <w:color w:val="000000"/>
                <w:sz w:val="20"/>
                <w:szCs w:val="20"/>
              </w:rPr>
            </w:r>
          </w:p>
        </w:tc>
        <w:tc>
          <w:tcPr>
            <w:shd w:val="clear" w:color="auto" w:fill="d9d9d9" w:themeFill="background1" w:themeFillShade="D9"/>
            <w:tcBorders>
              <w:top w:val="single" w:color="000000" w:sz="4" w:space="0"/>
              <w:bottom w:val="single" w:color="000000" w:sz="4" w:space="0"/>
              <w:right w:val="single" w:color="000000" w:sz="4" w:space="0"/>
            </w:tcBorders>
            <w:tcW w:w="1335" w:type="dxa"/>
            <w:vAlign w:val="center"/>
          </w:tcPr>
          <w:p>
            <w:pPr>
              <w:pStyle w:val="10533"/>
              <w:pBdr/>
              <w:spacing/>
              <w:ind/>
              <w:jc w:val="center"/>
              <w:rPr>
                <w:color w:val="000000"/>
                <w:sz w:val="20"/>
                <w:szCs w:val="20"/>
              </w:rPr>
            </w:pPr>
            <w:r>
              <w:rPr>
                <w:color w:val="000000"/>
                <w:sz w:val="20"/>
                <w:szCs w:val="20"/>
              </w:rPr>
              <w:t xml:space="preserve">Средневзвешенный (по материальной характеристике) срок эксплуатации тепловых сетей, лет</w:t>
            </w:r>
            <w:r>
              <w:rPr>
                <w:color w:val="000000"/>
                <w:sz w:val="20"/>
                <w:szCs w:val="20"/>
              </w:rPr>
            </w:r>
          </w:p>
        </w:tc>
      </w:tr>
      <w:tr>
        <w:trPr>
          <w:trHeight w:val="20"/>
        </w:trPr>
        <w:tc>
          <w:tcPr>
            <w:shd w:val="clear" w:color="000000" w:fill="ffffff"/>
            <w:tcBorders>
              <w:left w:val="single" w:color="000000" w:sz="4" w:space="0"/>
              <w:bottom w:val="single" w:color="000000" w:sz="4" w:space="0"/>
              <w:right w:val="single" w:color="000000" w:sz="4" w:space="0"/>
            </w:tcBorders>
            <w:tcW w:w="2125" w:type="dxa"/>
            <w:vAlign w:val="center"/>
          </w:tcPr>
          <w:p>
            <w:pPr>
              <w:pStyle w:val="12385"/>
              <w:pBdr/>
              <w:spacing/>
              <w:ind/>
              <w:rPr>
                <w:rFonts w:cs="Times New Roman"/>
              </w:rPr>
            </w:pPr>
            <w:r>
              <w:rPr>
                <w:color w:val="000000"/>
                <w:szCs w:val="20"/>
              </w:rPr>
              <w:t xml:space="preserve">Котельная №5 д. Ясенки</w:t>
            </w:r>
            <w:r>
              <w:rPr>
                <w:rFonts w:cs="Times New Roman"/>
              </w:rPr>
            </w:r>
          </w:p>
        </w:tc>
        <w:tc>
          <w:tcPr>
            <w:shd w:val="clear" w:color="000000" w:fill="ffffff"/>
            <w:tcBorders>
              <w:bottom w:val="single" w:color="000000" w:sz="4" w:space="0"/>
              <w:right w:val="single" w:color="000000" w:sz="4" w:space="0"/>
            </w:tcBorders>
            <w:tcW w:w="1133" w:type="dxa"/>
            <w:vAlign w:val="center"/>
          </w:tcPr>
          <w:p>
            <w:pPr>
              <w:pStyle w:val="12385"/>
              <w:pBdr/>
              <w:spacing/>
              <w:ind/>
              <w:rPr>
                <w:rFonts w:cs="Times New Roman"/>
              </w:rPr>
            </w:pPr>
            <w:r>
              <w:rPr>
                <w:color w:val="000000"/>
                <w:szCs w:val="20"/>
              </w:rPr>
              <w:t xml:space="preserve">3,20</w:t>
            </w:r>
            <w:r>
              <w:rPr>
                <w:rFonts w:cs="Times New Roman"/>
              </w:rPr>
            </w:r>
          </w:p>
        </w:tc>
        <w:tc>
          <w:tcPr>
            <w:shd w:val="clear" w:color="000000" w:fill="ffffff"/>
            <w:tcBorders>
              <w:bottom w:val="single" w:color="000000" w:sz="4" w:space="0"/>
              <w:right w:val="single" w:color="000000" w:sz="4" w:space="0"/>
            </w:tcBorders>
            <w:tcW w:w="1181" w:type="dxa"/>
            <w:vAlign w:val="center"/>
          </w:tcPr>
          <w:p>
            <w:pPr>
              <w:pStyle w:val="12385"/>
              <w:pBdr/>
              <w:spacing/>
              <w:ind/>
              <w:rPr>
                <w:rFonts w:cs="Times New Roman"/>
              </w:rPr>
            </w:pPr>
            <w:r>
              <w:rPr>
                <w:color w:val="000000"/>
                <w:szCs w:val="20"/>
              </w:rPr>
              <w:t xml:space="preserve">0,0039178</w:t>
            </w:r>
            <w:r>
              <w:rPr>
                <w:rFonts w:cs="Times New Roman"/>
              </w:rPr>
            </w:r>
          </w:p>
        </w:tc>
        <w:tc>
          <w:tcPr>
            <w:shd w:val="clear" w:color="000000" w:fill="ffffff"/>
            <w:tcBorders>
              <w:bottom w:val="single" w:color="000000" w:sz="4" w:space="0"/>
              <w:right w:val="single" w:color="000000" w:sz="4" w:space="0"/>
            </w:tcBorders>
            <w:tcW w:w="1203" w:type="dxa"/>
            <w:vAlign w:val="center"/>
          </w:tcPr>
          <w:p>
            <w:pPr>
              <w:pStyle w:val="12385"/>
              <w:pBdr/>
              <w:spacing/>
              <w:ind/>
              <w:rPr>
                <w:rFonts w:cs="Times New Roman"/>
              </w:rPr>
            </w:pPr>
            <w:r>
              <w:rPr>
                <w:color w:val="000000"/>
                <w:szCs w:val="20"/>
              </w:rPr>
              <w:t xml:space="preserve">1,28</w:t>
            </w:r>
            <w:r>
              <w:rPr>
                <w:rFonts w:cs="Times New Roman"/>
              </w:rPr>
            </w:r>
          </w:p>
        </w:tc>
        <w:tc>
          <w:tcPr>
            <w:shd w:val="clear" w:color="000000" w:fill="ffffff"/>
            <w:tcBorders>
              <w:bottom w:val="single" w:color="000000" w:sz="4" w:space="0"/>
              <w:right w:val="single" w:color="000000" w:sz="4" w:space="0"/>
            </w:tcBorders>
            <w:tcW w:w="1188" w:type="dxa"/>
            <w:vAlign w:val="center"/>
          </w:tcPr>
          <w:p>
            <w:pPr>
              <w:pStyle w:val="12385"/>
              <w:pBdr/>
              <w:spacing/>
              <w:ind/>
              <w:rPr>
                <w:rFonts w:cs="Times New Roman"/>
              </w:rPr>
            </w:pPr>
            <w:r>
              <w:rPr>
                <w:color w:val="000000"/>
                <w:szCs w:val="20"/>
              </w:rPr>
              <w:t xml:space="preserve">0,00122</w:t>
            </w:r>
            <w:r>
              <w:rPr>
                <w:rFonts w:cs="Times New Roman"/>
              </w:rPr>
            </w:r>
          </w:p>
        </w:tc>
        <w:tc>
          <w:tcPr>
            <w:shd w:val="clear" w:color="000000" w:fill="ffffff"/>
            <w:tcBorders>
              <w:bottom w:val="single" w:color="000000" w:sz="4" w:space="0"/>
              <w:right w:val="single" w:color="000000" w:sz="4" w:space="0"/>
            </w:tcBorders>
            <w:tcW w:w="1189" w:type="dxa"/>
            <w:vAlign w:val="center"/>
          </w:tcPr>
          <w:p>
            <w:pPr>
              <w:pStyle w:val="12385"/>
              <w:pBdr/>
              <w:spacing/>
              <w:ind/>
              <w:rPr>
                <w:rFonts w:cs="Times New Roman"/>
              </w:rPr>
            </w:pPr>
            <w:r>
              <w:rPr>
                <w:color w:val="000000"/>
                <w:szCs w:val="20"/>
              </w:rPr>
              <w:t xml:space="preserve">0,40</w:t>
            </w:r>
            <w:r>
              <w:rPr>
                <w:rFonts w:cs="Times New Roman"/>
              </w:rPr>
            </w:r>
          </w:p>
        </w:tc>
        <w:tc>
          <w:tcPr>
            <w:shd w:val="clear" w:color="000000" w:fill="ffffff"/>
            <w:tcBorders>
              <w:bottom w:val="single" w:color="000000" w:sz="4" w:space="0"/>
              <w:right w:val="single" w:color="000000" w:sz="4" w:space="0"/>
            </w:tcBorders>
            <w:tcW w:w="1335" w:type="dxa"/>
            <w:vAlign w:val="center"/>
          </w:tcPr>
          <w:p>
            <w:pPr>
              <w:pStyle w:val="12385"/>
              <w:pBdr/>
              <w:spacing/>
              <w:ind/>
              <w:rPr>
                <w:rFonts w:cs="Times New Roman"/>
              </w:rPr>
            </w:pPr>
            <w:r>
              <w:rPr>
                <w:color w:val="000000"/>
                <w:szCs w:val="20"/>
              </w:rPr>
              <w:t xml:space="preserve">н/д</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2125" w:type="dxa"/>
            <w:vAlign w:val="center"/>
          </w:tcPr>
          <w:p>
            <w:pPr>
              <w:pStyle w:val="12385"/>
              <w:pBdr/>
              <w:spacing/>
              <w:ind/>
              <w:rPr>
                <w:rFonts w:cs="Times New Roman"/>
              </w:rPr>
            </w:pPr>
            <w:r>
              <w:rPr>
                <w:color w:val="000000"/>
                <w:szCs w:val="20"/>
              </w:rPr>
              <w:t xml:space="preserve">Котельная №6 п. Первомайский</w:t>
            </w:r>
            <w:r>
              <w:rPr>
                <w:rFonts w:cs="Times New Roman"/>
              </w:rPr>
            </w:r>
          </w:p>
        </w:tc>
        <w:tc>
          <w:tcPr>
            <w:shd w:val="clear" w:color="000000" w:fill="ffffff"/>
            <w:tcBorders>
              <w:bottom w:val="single" w:color="000000" w:sz="4" w:space="0"/>
              <w:right w:val="single" w:color="000000" w:sz="4" w:space="0"/>
            </w:tcBorders>
            <w:tcW w:w="1133" w:type="dxa"/>
            <w:vAlign w:val="center"/>
          </w:tcPr>
          <w:p>
            <w:pPr>
              <w:pStyle w:val="12385"/>
              <w:pBdr/>
              <w:spacing/>
              <w:ind/>
              <w:rPr>
                <w:rFonts w:cs="Times New Roman"/>
              </w:rPr>
            </w:pPr>
            <w:r>
              <w:rPr>
                <w:color w:val="000000"/>
                <w:szCs w:val="20"/>
              </w:rPr>
              <w:t xml:space="preserve">5,60</w:t>
            </w:r>
            <w:r>
              <w:rPr>
                <w:rFonts w:cs="Times New Roman"/>
              </w:rPr>
            </w:r>
          </w:p>
        </w:tc>
        <w:tc>
          <w:tcPr>
            <w:shd w:val="clear" w:color="000000" w:fill="ffffff"/>
            <w:tcBorders>
              <w:bottom w:val="single" w:color="000000" w:sz="4" w:space="0"/>
              <w:right w:val="single" w:color="000000" w:sz="4" w:space="0"/>
            </w:tcBorders>
            <w:tcW w:w="1181" w:type="dxa"/>
            <w:vAlign w:val="center"/>
          </w:tcPr>
          <w:p>
            <w:pPr>
              <w:pStyle w:val="12385"/>
              <w:pBdr/>
              <w:spacing/>
              <w:ind/>
              <w:rPr>
                <w:rFonts w:cs="Times New Roman"/>
              </w:rPr>
            </w:pPr>
            <w:r>
              <w:rPr>
                <w:color w:val="000000"/>
                <w:szCs w:val="20"/>
              </w:rPr>
              <w:t xml:space="preserve">0,0098924</w:t>
            </w:r>
            <w:r>
              <w:rPr>
                <w:rFonts w:cs="Times New Roman"/>
              </w:rPr>
            </w:r>
          </w:p>
        </w:tc>
        <w:tc>
          <w:tcPr>
            <w:shd w:val="clear" w:color="000000" w:fill="ffffff"/>
            <w:tcBorders>
              <w:bottom w:val="single" w:color="000000" w:sz="4" w:space="0"/>
              <w:right w:val="single" w:color="000000" w:sz="4" w:space="0"/>
            </w:tcBorders>
            <w:tcW w:w="1203" w:type="dxa"/>
            <w:vAlign w:val="center"/>
          </w:tcPr>
          <w:p>
            <w:pPr>
              <w:pStyle w:val="12385"/>
              <w:pBdr/>
              <w:spacing/>
              <w:ind/>
              <w:rPr>
                <w:rFonts w:cs="Times New Roman"/>
              </w:rPr>
            </w:pPr>
            <w:r>
              <w:rPr>
                <w:color w:val="000000"/>
                <w:szCs w:val="20"/>
              </w:rPr>
              <w:t xml:space="preserve">2,24</w:t>
            </w:r>
            <w:r>
              <w:rPr>
                <w:rFonts w:cs="Times New Roman"/>
              </w:rPr>
            </w:r>
          </w:p>
        </w:tc>
        <w:tc>
          <w:tcPr>
            <w:shd w:val="clear" w:color="000000" w:fill="ffffff"/>
            <w:tcBorders>
              <w:bottom w:val="single" w:color="000000" w:sz="4" w:space="0"/>
              <w:right w:val="single" w:color="000000" w:sz="4" w:space="0"/>
            </w:tcBorders>
            <w:tcW w:w="1188" w:type="dxa"/>
            <w:vAlign w:val="center"/>
          </w:tcPr>
          <w:p>
            <w:pPr>
              <w:pStyle w:val="12385"/>
              <w:pBdr/>
              <w:spacing/>
              <w:ind/>
              <w:rPr>
                <w:rFonts w:cs="Times New Roman"/>
              </w:rPr>
            </w:pPr>
            <w:r>
              <w:rPr>
                <w:color w:val="000000"/>
                <w:szCs w:val="20"/>
              </w:rPr>
              <w:t xml:space="preserve">0,00177</w:t>
            </w:r>
            <w:r>
              <w:rPr>
                <w:rFonts w:cs="Times New Roman"/>
              </w:rPr>
            </w:r>
          </w:p>
        </w:tc>
        <w:tc>
          <w:tcPr>
            <w:shd w:val="clear" w:color="000000" w:fill="ffffff"/>
            <w:tcBorders>
              <w:bottom w:val="single" w:color="000000" w:sz="4" w:space="0"/>
              <w:right w:val="single" w:color="000000" w:sz="4" w:space="0"/>
            </w:tcBorders>
            <w:tcW w:w="1189" w:type="dxa"/>
            <w:vAlign w:val="center"/>
          </w:tcPr>
          <w:p>
            <w:pPr>
              <w:pStyle w:val="12385"/>
              <w:pBdr/>
              <w:spacing/>
              <w:ind/>
              <w:rPr>
                <w:rFonts w:cs="Times New Roman"/>
              </w:rPr>
            </w:pPr>
            <w:r>
              <w:rPr>
                <w:color w:val="000000"/>
                <w:szCs w:val="20"/>
              </w:rPr>
              <w:t xml:space="preserve">0,40</w:t>
            </w:r>
            <w:r>
              <w:rPr>
                <w:rFonts w:cs="Times New Roman"/>
              </w:rPr>
            </w:r>
          </w:p>
        </w:tc>
        <w:tc>
          <w:tcPr>
            <w:shd w:val="clear" w:color="000000" w:fill="ffffff"/>
            <w:tcBorders>
              <w:bottom w:val="single" w:color="000000" w:sz="4" w:space="0"/>
              <w:right w:val="single" w:color="000000" w:sz="4" w:space="0"/>
            </w:tcBorders>
            <w:tcW w:w="1335" w:type="dxa"/>
            <w:vAlign w:val="center"/>
          </w:tcPr>
          <w:p>
            <w:pPr>
              <w:pStyle w:val="12385"/>
              <w:pBdr/>
              <w:spacing/>
              <w:ind/>
              <w:rPr>
                <w:rFonts w:cs="Times New Roman"/>
              </w:rPr>
            </w:pPr>
            <w:r>
              <w:rPr>
                <w:color w:val="000000"/>
                <w:szCs w:val="20"/>
              </w:rPr>
              <w:t xml:space="preserve">н/д</w:t>
            </w:r>
            <w:r>
              <w:rPr>
                <w:rFonts w:cs="Times New Roman"/>
              </w:rPr>
            </w:r>
          </w:p>
        </w:tc>
      </w:tr>
      <w:tr>
        <w:trPr>
          <w:trHeight w:val="20"/>
        </w:trPr>
        <w:tc>
          <w:tcPr>
            <w:shd w:val="clear" w:color="000000" w:fill="ffffff"/>
            <w:tcBorders>
              <w:left w:val="single" w:color="000000" w:sz="4" w:space="0"/>
              <w:bottom w:val="single" w:color="000000" w:sz="4" w:space="0"/>
              <w:right w:val="single" w:color="000000" w:sz="4" w:space="0"/>
            </w:tcBorders>
            <w:tcW w:w="2125" w:type="dxa"/>
            <w:vAlign w:val="center"/>
          </w:tcPr>
          <w:p>
            <w:pPr>
              <w:pStyle w:val="12385"/>
              <w:pBdr/>
              <w:spacing/>
              <w:ind/>
              <w:rPr>
                <w:rFonts w:cs="Times New Roman"/>
              </w:rPr>
            </w:pPr>
            <w:r>
              <w:rPr>
                <w:color w:val="000000"/>
                <w:szCs w:val="20"/>
              </w:rPr>
              <w:t xml:space="preserve">Котельная №7 с. Белый Колодезь</w:t>
            </w:r>
            <w:r>
              <w:rPr>
                <w:rFonts w:cs="Times New Roman"/>
              </w:rPr>
            </w:r>
          </w:p>
        </w:tc>
        <w:tc>
          <w:tcPr>
            <w:shd w:val="clear" w:color="000000" w:fill="ffffff"/>
            <w:tcBorders>
              <w:bottom w:val="single" w:color="000000" w:sz="4" w:space="0"/>
              <w:right w:val="single" w:color="000000" w:sz="4" w:space="0"/>
            </w:tcBorders>
            <w:tcW w:w="1133" w:type="dxa"/>
            <w:vAlign w:val="center"/>
          </w:tcPr>
          <w:p>
            <w:pPr>
              <w:pStyle w:val="12385"/>
              <w:pBdr/>
              <w:spacing/>
              <w:ind/>
              <w:rPr>
                <w:rFonts w:cs="Times New Roman"/>
              </w:rPr>
            </w:pPr>
            <w:r>
              <w:rPr>
                <w:color w:val="000000"/>
                <w:szCs w:val="20"/>
              </w:rPr>
              <w:t xml:space="preserve">5,60</w:t>
            </w:r>
            <w:r>
              <w:rPr>
                <w:rFonts w:cs="Times New Roman"/>
              </w:rPr>
            </w:r>
          </w:p>
        </w:tc>
        <w:tc>
          <w:tcPr>
            <w:shd w:val="clear" w:color="000000" w:fill="ffffff"/>
            <w:tcBorders>
              <w:bottom w:val="single" w:color="000000" w:sz="4" w:space="0"/>
              <w:right w:val="single" w:color="000000" w:sz="4" w:space="0"/>
            </w:tcBorders>
            <w:tcW w:w="1181" w:type="dxa"/>
            <w:vAlign w:val="center"/>
          </w:tcPr>
          <w:p>
            <w:pPr>
              <w:pStyle w:val="12385"/>
              <w:pBdr/>
              <w:spacing/>
              <w:ind/>
              <w:rPr>
                <w:rFonts w:cs="Times New Roman"/>
              </w:rPr>
            </w:pPr>
            <w:r>
              <w:rPr>
                <w:color w:val="000000"/>
                <w:szCs w:val="20"/>
              </w:rPr>
              <w:t xml:space="preserve">0,0033738</w:t>
            </w:r>
            <w:r>
              <w:rPr>
                <w:rFonts w:cs="Times New Roman"/>
              </w:rPr>
            </w:r>
          </w:p>
        </w:tc>
        <w:tc>
          <w:tcPr>
            <w:shd w:val="clear" w:color="000000" w:fill="ffffff"/>
            <w:tcBorders>
              <w:bottom w:val="single" w:color="000000" w:sz="4" w:space="0"/>
              <w:right w:val="single" w:color="000000" w:sz="4" w:space="0"/>
            </w:tcBorders>
            <w:tcW w:w="1203" w:type="dxa"/>
            <w:vAlign w:val="center"/>
          </w:tcPr>
          <w:p>
            <w:pPr>
              <w:pStyle w:val="12385"/>
              <w:pBdr/>
              <w:spacing/>
              <w:ind/>
              <w:rPr>
                <w:rFonts w:cs="Times New Roman"/>
              </w:rPr>
            </w:pPr>
            <w:r>
              <w:rPr>
                <w:color w:val="000000"/>
                <w:szCs w:val="20"/>
              </w:rPr>
              <w:t xml:space="preserve">2,24</w:t>
            </w:r>
            <w:r>
              <w:rPr>
                <w:rFonts w:cs="Times New Roman"/>
              </w:rPr>
            </w:r>
          </w:p>
        </w:tc>
        <w:tc>
          <w:tcPr>
            <w:shd w:val="clear" w:color="000000" w:fill="ffffff"/>
            <w:tcBorders>
              <w:bottom w:val="single" w:color="000000" w:sz="4" w:space="0"/>
              <w:right w:val="single" w:color="000000" w:sz="4" w:space="0"/>
            </w:tcBorders>
            <w:tcW w:w="1188" w:type="dxa"/>
            <w:vAlign w:val="center"/>
          </w:tcPr>
          <w:p>
            <w:pPr>
              <w:pStyle w:val="12385"/>
              <w:pBdr/>
              <w:spacing/>
              <w:ind/>
              <w:rPr>
                <w:rFonts w:cs="Times New Roman"/>
              </w:rPr>
            </w:pPr>
            <w:r>
              <w:rPr>
                <w:color w:val="000000"/>
                <w:szCs w:val="20"/>
              </w:rPr>
              <w:t xml:space="preserve">0,00060</w:t>
            </w:r>
            <w:r>
              <w:rPr>
                <w:rFonts w:cs="Times New Roman"/>
              </w:rPr>
            </w:r>
          </w:p>
        </w:tc>
        <w:tc>
          <w:tcPr>
            <w:shd w:val="clear" w:color="000000" w:fill="ffffff"/>
            <w:tcBorders>
              <w:bottom w:val="single" w:color="000000" w:sz="4" w:space="0"/>
              <w:right w:val="single" w:color="000000" w:sz="4" w:space="0"/>
            </w:tcBorders>
            <w:tcW w:w="1189" w:type="dxa"/>
            <w:vAlign w:val="center"/>
          </w:tcPr>
          <w:p>
            <w:pPr>
              <w:pStyle w:val="12385"/>
              <w:pBdr/>
              <w:spacing/>
              <w:ind/>
              <w:rPr>
                <w:rFonts w:cs="Times New Roman"/>
              </w:rPr>
            </w:pPr>
            <w:r>
              <w:rPr>
                <w:color w:val="000000"/>
                <w:szCs w:val="20"/>
              </w:rPr>
              <w:t xml:space="preserve">0,40</w:t>
            </w:r>
            <w:r>
              <w:rPr>
                <w:rFonts w:cs="Times New Roman"/>
              </w:rPr>
            </w:r>
          </w:p>
        </w:tc>
        <w:tc>
          <w:tcPr>
            <w:shd w:val="clear" w:color="000000" w:fill="ffffff"/>
            <w:tcBorders>
              <w:bottom w:val="single" w:color="000000" w:sz="4" w:space="0"/>
              <w:right w:val="single" w:color="000000" w:sz="4" w:space="0"/>
            </w:tcBorders>
            <w:tcW w:w="1335" w:type="dxa"/>
            <w:vAlign w:val="center"/>
          </w:tcPr>
          <w:p>
            <w:pPr>
              <w:pStyle w:val="12385"/>
              <w:pBdr/>
              <w:spacing/>
              <w:ind/>
              <w:rPr>
                <w:rFonts w:cs="Times New Roman"/>
              </w:rPr>
            </w:pPr>
            <w:r>
              <w:rPr>
                <w:color w:val="000000"/>
                <w:szCs w:val="20"/>
              </w:rPr>
              <w:t xml:space="preserve">н/д</w:t>
            </w:r>
            <w:r>
              <w:rPr>
                <w:rFonts w:cs="Times New Roman"/>
              </w:rPr>
            </w:r>
          </w:p>
        </w:tc>
      </w:tr>
    </w:tbl>
    <w:p>
      <w:pPr>
        <w:pStyle w:val="10533"/>
        <w:pBdr/>
        <w:spacing/>
        <w:ind/>
        <w:rPr/>
        <w:sectPr>
          <w:headerReference w:type="default" r:id="rId230"/>
          <w:headerReference w:type="first" r:id="rId231"/>
          <w:footerReference w:type="default" r:id="rId498"/>
          <w:footerReference w:type="first" r:id="rId499"/>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195"/>
        </w:numPr>
        <w:pBdr/>
        <w:spacing/>
        <w:ind/>
        <w:rPr>
          <w:rFonts w:ascii="Times New Roman" w:hAnsi="Times New Roman" w:eastAsia="Times New Roman" w:cs="Times New Roman"/>
          <w:b/>
          <w:smallCaps/>
          <w:spacing w:val="0"/>
          <w:sz w:val="28"/>
          <w:szCs w:val="36"/>
          <w:lang w:eastAsia="en-US" w:bidi="en-US"/>
        </w:rPr>
      </w:pPr>
      <w:r/>
      <w:bookmarkStart w:id="1211" w:name="_Toc198483675"/>
      <w:r/>
      <w:bookmarkStart w:id="1212" w:name="_Toc166767320"/>
      <w:r/>
      <w:bookmarkStart w:id="1213" w:name="_Toc84971091"/>
      <w:r/>
      <w:bookmarkStart w:id="1214" w:name="_Toc9154945"/>
      <w:r/>
      <w:bookmarkStart w:id="1215" w:name="OLE_LINK6"/>
      <w:r>
        <w:rPr>
          <w:rFonts w:eastAsia="Times New Roman" w:cs="Times New Roman"/>
          <w:b/>
          <w:smallCaps/>
          <w:spacing w:val="0"/>
          <w:sz w:val="28"/>
          <w:szCs w:val="36"/>
          <w:lang w:eastAsia="en-US" w:bidi="en-US"/>
        </w:rPr>
        <w:t xml:space="preserve">Отношени</w:t>
      </w:r>
      <w:r>
        <w:rPr>
          <w:rFonts w:eastAsia="Times New Roman" w:cs="Times New Roman"/>
          <w:b/>
          <w:smallCaps/>
          <w:spacing w:val="0"/>
          <w:sz w:val="28"/>
          <w:szCs w:val="36"/>
          <w:lang w:eastAsia="en-US" w:bidi="en-US"/>
        </w:rPr>
        <w:t xml:space="preserve">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bookmarkEnd w:id="1215"/>
      <w:r>
        <w:rPr>
          <w:rFonts w:eastAsia="Times New Roman" w:cs="Times New Roman"/>
          <w:b/>
          <w:smallCaps/>
          <w:spacing w:val="0"/>
          <w:sz w:val="28"/>
          <w:szCs w:val="36"/>
          <w:lang w:eastAsia="en-US" w:bidi="en-US"/>
        </w:rPr>
        <w:t xml:space="preserve"> (для каждой системы теплоснабжения, а также для поселения, муниципального образования, муниципального образования федерального значения)</w:t>
      </w:r>
      <w:bookmarkEnd w:id="1211"/>
      <w:r/>
      <w:bookmarkEnd w:id="1212"/>
      <w:r/>
      <w:bookmarkEnd w:id="1213"/>
      <w:r/>
      <w:bookmarkEnd w:id="1214"/>
      <w:r/>
      <w:r>
        <w:rPr>
          <w:rFonts w:ascii="Times New Roman" w:hAnsi="Times New Roman" w:eastAsia="Times New Roman" w:cs="Times New Roman"/>
          <w:b/>
          <w:smallCaps/>
          <w:spacing w:val="0"/>
          <w:sz w:val="28"/>
          <w:szCs w:val="36"/>
          <w:lang w:eastAsia="en-US" w:bidi="en-US"/>
        </w:rPr>
      </w:r>
    </w:p>
    <w:p>
      <w:pPr>
        <w:pStyle w:val="12960"/>
        <w:pBdr/>
        <w:spacing/>
        <w:ind/>
        <w:rPr/>
      </w:pPr>
      <w:r/>
      <w:bookmarkStart w:id="1216" w:name="_Hlk216405833"/>
      <w:r>
        <w:t xml:space="preserve">Динамика изменения материальной характеристики тепловых сетей отсутствует. За последний год материальная характеристика тепловых сетей не изменялась. Информация отсутствует.</w:t>
      </w:r>
      <w:bookmarkEnd w:id="1216"/>
      <w:r/>
      <w:r/>
    </w:p>
    <w:p>
      <w:pPr>
        <w:pStyle w:val="12960"/>
        <w:pBdr/>
        <w:spacing/>
        <w:ind/>
        <w:rPr/>
        <w:sectPr>
          <w:headerReference w:type="default" r:id="rId232"/>
          <w:headerReference w:type="first" r:id="rId233"/>
          <w:footerReference w:type="default" r:id="rId500"/>
          <w:footerReference w:type="first" r:id="rId501"/>
          <w:footnotePr/>
          <w:endnotePr/>
          <w:type w:val="nextPage"/>
          <w:pgSz w:h="16838" w:orient="portrait" w:w="11906"/>
          <w:pgMar w:top="1134" w:right="850" w:bottom="1134" w:left="1701" w:header="708" w:footer="708" w:gutter="0"/>
          <w:cols w:num="1" w:sep="0" w:space="1701" w:equalWidth="1"/>
        </w:sectPr>
      </w:pPr>
      <w:r/>
      <w:r/>
    </w:p>
    <w:p>
      <w:pPr>
        <w:pStyle w:val="12960"/>
        <w:pBdr/>
        <w:spacing/>
        <w:ind/>
        <w:rPr>
          <w:b/>
          <w:bCs w:val="0"/>
        </w:rPr>
      </w:pPr>
      <w:r>
        <w:rPr>
          <w:b/>
          <w:bCs w:val="0"/>
        </w:rPr>
        <w:t xml:space="preserve">Таблица 13.12.1 - Динамика изменения материальной характеристики тепловых сетей </w:t>
      </w:r>
      <w:r>
        <w:rPr>
          <w:b/>
          <w:bCs w:val="0"/>
        </w:rPr>
      </w:r>
    </w:p>
    <w:tbl>
      <w:tblP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1868"/>
        <w:gridCol w:w="1867"/>
        <w:gridCol w:w="2139"/>
        <w:gridCol w:w="2538"/>
        <w:gridCol w:w="2003"/>
        <w:gridCol w:w="1868"/>
        <w:gridCol w:w="2003"/>
      </w:tblGrid>
      <w:t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rPr>
              <w:t xml:space="preserve">Год актуализации (разработки)</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67" w:type="dxa"/>
            <w:vAlign w:val="center"/>
          </w:tcPr>
          <w:p>
            <w:pPr>
              <w:pStyle w:val="12385"/>
              <w:pBdr/>
              <w:spacing/>
              <w:ind/>
              <w:rPr>
                <w:rFonts w:cs="Times New Roman"/>
                <w:vertAlign w:val="superscript"/>
              </w:rPr>
            </w:pPr>
            <w:r>
              <w:rPr>
                <w:rFonts w:cs="Times New Roman"/>
              </w:rPr>
              <w:t xml:space="preserve">Строительство магистральных тепловых сетей, м</w:t>
            </w:r>
            <w:r>
              <w:rPr>
                <w:rFonts w:cs="Times New Roman"/>
                <w:vertAlign w:val="superscript"/>
              </w:rPr>
              <w:t xml:space="preserve">2</w:t>
            </w:r>
            <w:r>
              <w:rPr>
                <w:rFonts w:cs="Times New Roman"/>
                <w:vertAlign w:val="superscript"/>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139" w:type="dxa"/>
            <w:vAlign w:val="center"/>
          </w:tcPr>
          <w:p>
            <w:pPr>
              <w:pStyle w:val="12385"/>
              <w:pBdr/>
              <w:spacing/>
              <w:ind/>
              <w:rPr>
                <w:rFonts w:cs="Times New Roman"/>
                <w:vertAlign w:val="superscript"/>
              </w:rPr>
            </w:pPr>
            <w:r>
              <w:rPr>
                <w:rFonts w:cs="Times New Roman"/>
              </w:rPr>
              <w:t xml:space="preserve">Реконструкция магистральных тепловых сетей, м</w:t>
            </w:r>
            <w:r>
              <w:rPr>
                <w:rFonts w:cs="Times New Roman"/>
                <w:vertAlign w:val="superscript"/>
              </w:rPr>
              <w:t xml:space="preserve">2</w:t>
            </w:r>
            <w:r>
              <w:rPr>
                <w:rFonts w:cs="Times New Roman"/>
                <w:vertAlign w:val="superscript"/>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538" w:type="dxa"/>
            <w:vAlign w:val="center"/>
          </w:tcPr>
          <w:p>
            <w:pPr>
              <w:pStyle w:val="12385"/>
              <w:pBdr/>
              <w:spacing/>
              <w:ind/>
              <w:rPr>
                <w:rFonts w:cs="Times New Roman"/>
                <w:vertAlign w:val="superscript"/>
              </w:rPr>
            </w:pPr>
            <w:r>
              <w:rPr>
                <w:rFonts w:cs="Times New Roman"/>
              </w:rPr>
              <w:t xml:space="preserve">Строительство распределительных (внутриквартальных) тепловых сетей, м</w:t>
            </w:r>
            <w:r>
              <w:rPr>
                <w:rFonts w:cs="Times New Roman"/>
                <w:vertAlign w:val="superscript"/>
              </w:rPr>
              <w:t xml:space="preserve">2</w:t>
            </w:r>
            <w:r>
              <w:rPr>
                <w:rFonts w:cs="Times New Roman"/>
                <w:vertAlign w:val="superscript"/>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03" w:type="dxa"/>
            <w:vAlign w:val="center"/>
          </w:tcPr>
          <w:p>
            <w:pPr>
              <w:pStyle w:val="12385"/>
              <w:pBdr/>
              <w:spacing/>
              <w:ind/>
              <w:rPr>
                <w:rFonts w:cs="Times New Roman"/>
                <w:vertAlign w:val="superscript"/>
              </w:rPr>
            </w:pPr>
            <w:r>
              <w:rPr>
                <w:rFonts w:cs="Times New Roman"/>
              </w:rPr>
              <w:t xml:space="preserve">Реконструкция распределительных тепловых сетей, м</w:t>
            </w:r>
            <w:r>
              <w:rPr>
                <w:rFonts w:cs="Times New Roman"/>
                <w:vertAlign w:val="superscript"/>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rPr>
              <w:t xml:space="preserve">Доля строительства тепловых сетей, %</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003" w:type="dxa"/>
            <w:vAlign w:val="center"/>
          </w:tcPr>
          <w:p>
            <w:pPr>
              <w:pStyle w:val="12385"/>
              <w:pBdr/>
              <w:spacing/>
              <w:ind/>
              <w:rPr>
                <w:rFonts w:cs="Times New Roman"/>
              </w:rPr>
            </w:pPr>
            <w:r>
              <w:rPr>
                <w:rFonts w:cs="Times New Roman"/>
              </w:rPr>
              <w:t xml:space="preserve">Доля реконструкции тепловых сетей, %</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color w:val="000000"/>
                <w:szCs w:val="20"/>
              </w:rPr>
              <w:t xml:space="preserve">2021</w:t>
            </w:r>
            <w:r>
              <w:rPr>
                <w:rFonts w:cs="Times New Roman"/>
              </w:rPr>
            </w:r>
          </w:p>
        </w:tc>
        <w:tc>
          <w:tcPr>
            <w:tcBorders>
              <w:top w:val="single" w:color="000000" w:sz="4" w:space="0"/>
              <w:left w:val="single" w:color="000000" w:sz="4" w:space="0"/>
              <w:bottom w:val="single" w:color="000000" w:sz="4" w:space="0"/>
              <w:right w:val="single" w:color="000000" w:sz="4" w:space="0"/>
            </w:tcBorders>
            <w:tcW w:w="1867"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139"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538"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1868"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color w:val="000000"/>
                <w:szCs w:val="20"/>
              </w:rPr>
              <w:t xml:space="preserve">2022</w:t>
            </w:r>
            <w:r>
              <w:rPr>
                <w:rFonts w:cs="Times New Roman"/>
              </w:rPr>
            </w:r>
          </w:p>
        </w:tc>
        <w:tc>
          <w:tcPr>
            <w:tcBorders>
              <w:top w:val="single" w:color="000000" w:sz="4" w:space="0"/>
              <w:left w:val="single" w:color="000000" w:sz="4" w:space="0"/>
              <w:bottom w:val="single" w:color="000000" w:sz="4" w:space="0"/>
              <w:right w:val="single" w:color="000000" w:sz="4" w:space="0"/>
            </w:tcBorders>
            <w:tcW w:w="1867"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139"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538"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1868"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color w:val="000000"/>
                <w:szCs w:val="20"/>
              </w:rPr>
              <w:t xml:space="preserve">2023</w:t>
            </w:r>
            <w:r>
              <w:rPr>
                <w:rFonts w:cs="Times New Roman"/>
              </w:rPr>
            </w:r>
          </w:p>
        </w:tc>
        <w:tc>
          <w:tcPr>
            <w:tcBorders>
              <w:top w:val="single" w:color="000000" w:sz="4" w:space="0"/>
              <w:left w:val="single" w:color="000000" w:sz="4" w:space="0"/>
              <w:bottom w:val="single" w:color="000000" w:sz="4" w:space="0"/>
              <w:right w:val="single" w:color="000000" w:sz="4" w:space="0"/>
            </w:tcBorders>
            <w:tcW w:w="1867"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139"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538"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1868"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color w:val="000000"/>
                <w:szCs w:val="20"/>
              </w:rPr>
              <w:t xml:space="preserve">2024</w:t>
            </w:r>
            <w:r>
              <w:rPr>
                <w:rFonts w:cs="Times New Roman"/>
              </w:rPr>
            </w:r>
          </w:p>
        </w:tc>
        <w:tc>
          <w:tcPr>
            <w:tcBorders>
              <w:top w:val="single" w:color="000000" w:sz="4" w:space="0"/>
              <w:left w:val="single" w:color="000000" w:sz="4" w:space="0"/>
              <w:bottom w:val="single" w:color="000000" w:sz="4" w:space="0"/>
              <w:right w:val="single" w:color="000000" w:sz="4" w:space="0"/>
            </w:tcBorders>
            <w:tcW w:w="1867"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139"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538"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1868"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r>
      <w:tr>
        <w:trPr/>
        <w:tc>
          <w:tcPr>
            <w:tcBorders>
              <w:top w:val="single" w:color="000000" w:sz="4" w:space="0"/>
              <w:left w:val="single" w:color="000000" w:sz="4" w:space="0"/>
              <w:bottom w:val="single" w:color="000000" w:sz="4" w:space="0"/>
              <w:right w:val="single" w:color="000000" w:sz="4" w:space="0"/>
            </w:tcBorders>
            <w:tcW w:w="1868" w:type="dxa"/>
            <w:vAlign w:val="center"/>
          </w:tcPr>
          <w:p>
            <w:pPr>
              <w:pStyle w:val="12385"/>
              <w:pBdr/>
              <w:spacing/>
              <w:ind/>
              <w:rPr>
                <w:rFonts w:cs="Times New Roman"/>
              </w:rPr>
            </w:pPr>
            <w:r>
              <w:rPr>
                <w:rFonts w:cs="Times New Roman"/>
                <w:color w:val="000000"/>
                <w:szCs w:val="20"/>
              </w:rPr>
              <w:t xml:space="preserve">2025</w:t>
            </w:r>
            <w:r>
              <w:rPr>
                <w:rFonts w:cs="Times New Roman"/>
              </w:rPr>
            </w:r>
          </w:p>
        </w:tc>
        <w:tc>
          <w:tcPr>
            <w:tcBorders>
              <w:top w:val="single" w:color="000000" w:sz="4" w:space="0"/>
              <w:left w:val="single" w:color="000000" w:sz="4" w:space="0"/>
              <w:bottom w:val="single" w:color="000000" w:sz="4" w:space="0"/>
              <w:right w:val="single" w:color="000000" w:sz="4" w:space="0"/>
            </w:tcBorders>
            <w:tcW w:w="1867"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139"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538" w:type="dxa"/>
            <w:vAlign w:val="center"/>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1868" w:type="dxa"/>
          </w:tcPr>
          <w:p>
            <w:pPr>
              <w:pStyle w:val="12385"/>
              <w:pBdr/>
              <w:spacing/>
              <w:ind/>
              <w:rPr>
                <w:rFonts w:cs="Times New Roman"/>
              </w:rPr>
            </w:pPr>
            <w:r>
              <w:rPr>
                <w:rFonts w:cs="Times New Roman"/>
              </w:rPr>
              <w:t xml:space="preserve">0</w:t>
            </w:r>
            <w:r>
              <w:rPr>
                <w:rFonts w:cs="Times New Roman"/>
              </w:rPr>
            </w:r>
          </w:p>
        </w:tc>
        <w:tc>
          <w:tcPr>
            <w:tcBorders>
              <w:top w:val="single" w:color="000000" w:sz="4" w:space="0"/>
              <w:left w:val="single" w:color="000000" w:sz="4" w:space="0"/>
              <w:bottom w:val="single" w:color="000000" w:sz="4" w:space="0"/>
              <w:right w:val="single" w:color="000000" w:sz="4" w:space="0"/>
            </w:tcBorders>
            <w:tcW w:w="2003" w:type="dxa"/>
          </w:tcPr>
          <w:p>
            <w:pPr>
              <w:pStyle w:val="12385"/>
              <w:pBdr/>
              <w:spacing/>
              <w:ind/>
              <w:rPr>
                <w:rFonts w:cs="Times New Roman"/>
              </w:rPr>
            </w:pPr>
            <w:r>
              <w:rPr>
                <w:rFonts w:cs="Times New Roman"/>
              </w:rPr>
              <w:t xml:space="preserve">0</w:t>
            </w:r>
            <w:bookmarkStart w:id="1217" w:name="_Hlk193207154"/>
            <w:r/>
            <w:bookmarkStart w:id="1218" w:name="_Hlk173921227"/>
            <w:r/>
            <w:bookmarkEnd w:id="1217"/>
            <w:r/>
            <w:bookmarkEnd w:id="1218"/>
            <w:r/>
            <w:r>
              <w:rPr>
                <w:rFonts w:cs="Times New Roman"/>
              </w:rPr>
            </w:r>
          </w:p>
        </w:tc>
      </w:tr>
    </w:tbl>
    <w:p>
      <w:pPr>
        <w:pStyle w:val="12960"/>
        <w:pBdr/>
        <w:spacing/>
        <w:ind w:firstLine="0"/>
        <w:rPr/>
      </w:pPr>
      <w:r/>
      <w:r/>
    </w:p>
    <w:p>
      <w:pPr>
        <w:pStyle w:val="12960"/>
        <w:pBdr/>
        <w:spacing/>
        <w:ind/>
        <w:rPr/>
        <w:sectPr>
          <w:headerReference w:type="default" r:id="rId234"/>
          <w:headerReference w:type="first" r:id="rId235"/>
          <w:footerReference w:type="default" r:id="rId502"/>
          <w:footerReference w:type="first" r:id="rId503"/>
          <w:footnotePr/>
          <w:endnotePr/>
          <w:type w:val="nextPage"/>
          <w:pgSz w:h="11906" w:orient="landscape" w:w="16838"/>
          <w:pgMar w:top="1134" w:right="850" w:bottom="1134" w:left="1701" w:header="567" w:footer="454" w:gutter="0"/>
          <w:cols w:num="1" w:sep="0" w:space="1701" w:equalWidth="1"/>
        </w:sectPr>
      </w:pPr>
      <w:r/>
      <w:r/>
    </w:p>
    <w:p>
      <w:pPr>
        <w:pStyle w:val="10534"/>
        <w:numPr>
          <w:ilvl w:val="0"/>
          <w:numId w:val="196"/>
        </w:numPr>
        <w:pBdr/>
        <w:spacing/>
        <w:ind/>
        <w:rPr>
          <w:spacing w:val="0"/>
        </w:rPr>
      </w:pPr>
      <w:r/>
      <w:bookmarkStart w:id="1219" w:name="_Toc84971092"/>
      <w:r/>
      <w:bookmarkStart w:id="1220" w:name="_Toc198483676"/>
      <w:r/>
      <w:bookmarkStart w:id="1221" w:name="_Toc9154946"/>
      <w:r/>
      <w:bookmarkStart w:id="1222" w:name="_Toc166767321"/>
      <w:r>
        <w:rPr>
          <w:spacing w:val="0"/>
        </w:rPr>
        <w:t xml:space="preserve"> </w:t>
      </w:r>
      <w:r>
        <w:rPr>
          <w:spacing w:val="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w:t>
      </w:r>
      <w:r>
        <w:rPr>
          <w:spacing w:val="0"/>
        </w:rPr>
        <w:t xml:space="preserve">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bookmarkEnd w:id="1219"/>
      <w:r/>
      <w:bookmarkEnd w:id="1220"/>
      <w:r/>
      <w:bookmarkEnd w:id="1221"/>
      <w:r/>
      <w:bookmarkEnd w:id="1222"/>
      <w:r/>
      <w:r>
        <w:rPr>
          <w:spacing w:val="0"/>
        </w:rPr>
      </w:r>
    </w:p>
    <w:p>
      <w:pPr>
        <w:pStyle w:val="12960"/>
        <w:pBdr/>
        <w:spacing/>
        <w:ind/>
        <w:rPr/>
        <w:sectPr>
          <w:headerReference w:type="default" r:id="rId236"/>
          <w:headerReference w:type="first" r:id="rId237"/>
          <w:footerReference w:type="default" r:id="rId504"/>
          <w:footerReference w:type="even" r:id="rId505"/>
          <w:footerReference w:type="first" r:id="rId506"/>
          <w:footnotePr/>
          <w:endnotePr/>
          <w:type w:val="nextPage"/>
          <w:pgSz w:h="16838" w:orient="portrait" w:w="11906"/>
          <w:pgMar w:top="1134" w:right="850" w:bottom="1134" w:left="1701" w:header="567" w:footer="454" w:gutter="0"/>
          <w:cols w:num="1" w:sep="0" w:space="1701" w:equalWidth="1"/>
        </w:sectPr>
      </w:pPr>
      <w:r/>
      <w:bookmarkStart w:id="1223" w:name="_Hlk215474492"/>
      <w:r>
        <w:t xml:space="preserve">За последний год установленной тепловой мощности оборудования источников тепловой энергии не изменялась. Информация отсутствует.</w:t>
      </w:r>
      <w:bookmarkEnd w:id="1223"/>
      <w:r/>
      <w:r/>
    </w:p>
    <w:p>
      <w:pPr>
        <w:pStyle w:val="10534"/>
        <w:numPr>
          <w:ilvl w:val="0"/>
          <w:numId w:val="197"/>
        </w:numPr>
        <w:pBdr/>
        <w:spacing/>
        <w:ind/>
        <w:rPr>
          <w:spacing w:val="0"/>
        </w:rPr>
      </w:pPr>
      <w:r/>
      <w:bookmarkStart w:id="1224" w:name="_Toc198483677"/>
      <w:r/>
      <w:bookmarkStart w:id="1225" w:name="_Toc166767322"/>
      <w:r/>
      <w:bookmarkStart w:id="1226" w:name="_Toc84971093"/>
      <w:r/>
      <w:bookmarkStart w:id="1227" w:name="_Toc9154947"/>
      <w:r>
        <w:rPr>
          <w:spacing w:val="0"/>
        </w:rPr>
        <w:t xml:space="preserve"> </w:t>
      </w:r>
      <w:r>
        <w:rPr>
          <w:spacing w:val="0"/>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w:t>
      </w:r>
      <w:r>
        <w:rPr>
          <w:spacing w:val="0"/>
        </w:rPr>
        <w:t xml:space="preserve">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224"/>
      <w:r/>
      <w:bookmarkEnd w:id="1225"/>
      <w:r/>
      <w:bookmarkEnd w:id="1226"/>
      <w:r/>
      <w:bookmarkEnd w:id="1227"/>
      <w:r/>
      <w:r>
        <w:rPr>
          <w:spacing w:val="0"/>
        </w:rPr>
      </w:r>
    </w:p>
    <w:p>
      <w:pPr>
        <w:pStyle w:val="12960"/>
        <w:pBdr/>
        <w:spacing/>
        <w:ind/>
        <w:rPr/>
      </w:pPr>
      <w:r>
        <w:rPr>
          <w:rStyle w:val="11000"/>
          <w:bCs/>
          <w:iCs/>
        </w:rPr>
        <w:t xml:space="preserve">Фактов нарушения антимонопольного законодательства (выданных предупреждений, предписаний), а также отсутствие применения санкций, предусмотр</w:t>
      </w:r>
      <w:r>
        <w:rPr>
          <w:rStyle w:val="11000"/>
          <w:bCs/>
          <w:iCs/>
        </w:rPr>
        <w:t xml:space="preserve">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w:t>
      </w:r>
      <w:r>
        <w:t xml:space="preserve"> монополиях не зафиксировано.</w:t>
      </w:r>
      <w:r/>
    </w:p>
    <w:p>
      <w:pPr>
        <w:pStyle w:val="12960"/>
        <w:pBdr/>
        <w:spacing/>
        <w:ind/>
        <w:rPr/>
      </w:pPr>
      <w:r/>
      <w:r/>
    </w:p>
    <w:p>
      <w:pPr>
        <w:pStyle w:val="12960"/>
        <w:pBdr/>
        <w:spacing/>
        <w:ind/>
        <w:rPr/>
      </w:pPr>
      <w:r/>
      <w:r/>
    </w:p>
    <w:p>
      <w:pPr>
        <w:pStyle w:val="10534"/>
        <w:numPr>
          <w:ilvl w:val="0"/>
          <w:numId w:val="0"/>
        </w:numPr>
        <w:pBdr/>
        <w:spacing/>
        <w:ind w:firstLine="0" w:left="0"/>
        <w:rPr>
          <w:spacing w:val="0"/>
        </w:rPr>
      </w:pPr>
      <w:r/>
      <w:bookmarkStart w:id="1228" w:name="_Toc198483678"/>
      <w:r/>
      <w:bookmarkStart w:id="1229" w:name="_Toc166767323"/>
      <w:r/>
      <w:bookmarkStart w:id="1230" w:name="_Toc84971094"/>
      <w:r/>
      <w:bookmarkStart w:id="1231" w:name="_Toc9154948"/>
      <w:r>
        <w:rPr>
          <w:spacing w:val="0"/>
        </w:rPr>
        <w:t xml:space="preserve">ГЛАВА 14. ЦЕНОВЫЕ (ТАРИФНЫЕ) ПОСЛЕДСТВИЯ</w:t>
      </w:r>
      <w:bookmarkEnd w:id="1228"/>
      <w:r/>
      <w:bookmarkEnd w:id="1229"/>
      <w:r/>
      <w:bookmarkEnd w:id="1230"/>
      <w:r/>
      <w:bookmarkEnd w:id="1231"/>
      <w:r/>
      <w:r>
        <w:rPr>
          <w:spacing w:val="0"/>
        </w:rPr>
      </w:r>
    </w:p>
    <w:p>
      <w:pPr>
        <w:pStyle w:val="10534"/>
        <w:numPr>
          <w:ilvl w:val="0"/>
          <w:numId w:val="198"/>
        </w:numPr>
        <w:pBdr/>
        <w:spacing/>
        <w:ind/>
        <w:rPr>
          <w:spacing w:val="0"/>
        </w:rPr>
      </w:pPr>
      <w:r/>
      <w:bookmarkStart w:id="1232" w:name="_Toc9154949"/>
      <w:r/>
      <w:bookmarkStart w:id="1233" w:name="_Toc84971095"/>
      <w:r/>
      <w:bookmarkStart w:id="1234" w:name="_Toc166767324"/>
      <w:r/>
      <w:bookmarkStart w:id="1235" w:name="_Toc198483679"/>
      <w:r>
        <w:rPr>
          <w:spacing w:val="0"/>
        </w:rPr>
        <w:t xml:space="preserve">Тарифно-балансовые расчетные модели теплоснабжения потребителей по каждой системе теплоснабжения</w:t>
      </w:r>
      <w:bookmarkEnd w:id="1232"/>
      <w:r/>
      <w:bookmarkEnd w:id="1233"/>
      <w:r/>
      <w:bookmarkEnd w:id="1234"/>
      <w:r/>
      <w:bookmarkEnd w:id="1235"/>
      <w:r/>
      <w:r>
        <w:rPr>
          <w:spacing w:val="0"/>
        </w:rPr>
      </w:r>
    </w:p>
    <w:p>
      <w:pPr>
        <w:pStyle w:val="12960"/>
        <w:pBdr/>
        <w:spacing/>
        <w:ind/>
        <w:rPr>
          <w:color w:val="auto"/>
        </w:rPr>
      </w:pPr>
      <w:r>
        <w:rPr>
          <w:color w:val="auto"/>
        </w:rPr>
        <w:t xml:space="preserve">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w:t>
      </w:r>
      <w:r>
        <w:rPr>
          <w:color w:val="auto"/>
        </w:rPr>
        <w:t xml:space="preserve">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r>
        <w:rPr>
          <w:color w:val="auto"/>
        </w:rPr>
      </w:r>
    </w:p>
    <w:p>
      <w:pPr>
        <w:pStyle w:val="12960"/>
        <w:pBdr/>
        <w:spacing/>
        <w:ind/>
        <w:rPr>
          <w:color w:val="auto"/>
        </w:rPr>
      </w:pPr>
      <w:r>
        <w:rPr>
          <w:color w:val="auto"/>
        </w:rPr>
        <w:t xml:space="preserve">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w:t>
      </w:r>
      <w:r>
        <w:rPr>
          <w:color w:val="auto"/>
        </w:rPr>
        <w:t xml:space="preserve">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r>
        <w:rPr>
          <w:color w:val="auto"/>
        </w:rPr>
      </w:r>
    </w:p>
    <w:p>
      <w:pPr>
        <w:pStyle w:val="12960"/>
        <w:pBdr/>
        <w:spacing/>
        <w:ind/>
        <w:rPr>
          <w:color w:val="auto"/>
        </w:rPr>
      </w:pPr>
      <w:r>
        <w:rPr>
          <w:color w:val="auto"/>
        </w:rPr>
        <w:t xml:space="preserve">Предлагается рассмотреть 8 сценариев по финансированию мероприятий:</w:t>
      </w:r>
      <w:r>
        <w:rPr>
          <w:color w:val="auto"/>
        </w:rPr>
      </w:r>
    </w:p>
    <w:p>
      <w:pPr>
        <w:pStyle w:val="12960"/>
        <w:pBdr/>
        <w:spacing/>
        <w:ind/>
        <w:rPr>
          <w:color w:val="auto"/>
        </w:rPr>
      </w:pPr>
      <w:r>
        <w:rPr>
          <w:color w:val="auto"/>
        </w:rPr>
        <w:t xml:space="preserve">Полный объем финансовых затрат покрывается за счет собственных средств теплоснабжающих компаний.</w:t>
      </w:r>
      <w:r>
        <w:rPr>
          <w:color w:val="auto"/>
        </w:rPr>
      </w:r>
    </w:p>
    <w:p>
      <w:pPr>
        <w:pStyle w:val="12960"/>
        <w:pBdr/>
        <w:spacing/>
        <w:ind/>
        <w:rPr>
          <w:color w:val="auto"/>
        </w:rPr>
      </w:pPr>
      <w:r>
        <w:rPr>
          <w:color w:val="auto"/>
        </w:rPr>
        <w:t xml:space="preserve">1. 2 % объема финансовых затрат покрывается за счет надбавки в тарифе – остальное за счет собственных средств теплоснабжающих компаний.</w:t>
      </w:r>
      <w:r>
        <w:rPr>
          <w:color w:val="auto"/>
        </w:rPr>
      </w:r>
    </w:p>
    <w:p>
      <w:pPr>
        <w:pStyle w:val="12960"/>
        <w:pBdr/>
        <w:spacing/>
        <w:ind/>
        <w:rPr>
          <w:color w:val="auto"/>
        </w:rPr>
      </w:pPr>
      <w:r>
        <w:rPr>
          <w:color w:val="auto"/>
        </w:rPr>
        <w:t xml:space="preserve">2. 5 % объема финансовых затрат покрывается за счет надбавки в тарифе – остальное за счет собственных средств теплоснабжающих компаний.</w:t>
      </w:r>
      <w:r>
        <w:rPr>
          <w:color w:val="auto"/>
        </w:rPr>
      </w:r>
    </w:p>
    <w:p>
      <w:pPr>
        <w:pStyle w:val="12960"/>
        <w:pBdr/>
        <w:spacing/>
        <w:ind/>
        <w:rPr>
          <w:color w:val="auto"/>
        </w:rPr>
      </w:pPr>
      <w:r>
        <w:rPr>
          <w:color w:val="auto"/>
        </w:rPr>
        <w:t xml:space="preserve">3. 10 % объема финансовых затрат покрывается за счет надбавки в тарифе.</w:t>
      </w:r>
      <w:r>
        <w:rPr>
          <w:color w:val="auto"/>
        </w:rPr>
      </w:r>
    </w:p>
    <w:p>
      <w:pPr>
        <w:pStyle w:val="12960"/>
        <w:pBdr/>
        <w:spacing/>
        <w:ind/>
        <w:rPr>
          <w:color w:val="auto"/>
        </w:rPr>
      </w:pPr>
      <w:r>
        <w:rPr>
          <w:color w:val="auto"/>
        </w:rPr>
        <w:t xml:space="preserve">4. Полный объем финансовых затрат покрывается за счет заемного капитала.</w:t>
      </w:r>
      <w:r>
        <w:rPr>
          <w:color w:val="auto"/>
        </w:rPr>
      </w:r>
    </w:p>
    <w:p>
      <w:pPr>
        <w:pStyle w:val="12960"/>
        <w:pBdr/>
        <w:spacing/>
        <w:ind/>
        <w:rPr>
          <w:color w:val="auto"/>
        </w:rPr>
      </w:pPr>
      <w:r>
        <w:rPr>
          <w:color w:val="auto"/>
        </w:rPr>
        <w:t xml:space="preserve">5. 2 % объема финансовых затрат покрывается за счет надбавки в тарифе – остальное за счет заемного капитала.</w:t>
      </w:r>
      <w:r>
        <w:rPr>
          <w:color w:val="auto"/>
        </w:rPr>
      </w:r>
    </w:p>
    <w:p>
      <w:pPr>
        <w:pStyle w:val="12960"/>
        <w:pBdr/>
        <w:spacing/>
        <w:ind/>
        <w:rPr>
          <w:color w:val="auto"/>
        </w:rPr>
      </w:pPr>
      <w:r>
        <w:rPr>
          <w:color w:val="auto"/>
        </w:rPr>
        <w:t xml:space="preserve">6. 5 % объема финансовых затрат покрывается за счет надбавки в тарифе – остальное за счет заемного капитала.</w:t>
      </w:r>
      <w:r>
        <w:rPr>
          <w:color w:val="auto"/>
        </w:rPr>
      </w:r>
    </w:p>
    <w:p>
      <w:pPr>
        <w:pStyle w:val="12960"/>
        <w:pBdr/>
        <w:spacing/>
        <w:ind/>
        <w:rPr>
          <w:color w:val="auto"/>
        </w:rPr>
      </w:pPr>
      <w:r>
        <w:rPr>
          <w:color w:val="auto"/>
        </w:rPr>
        <w:t xml:space="preserve">7. 10 % объема финансовых затрат покрывается за счет надбавки в тарифе.</w:t>
      </w:r>
      <w:r>
        <w:rPr>
          <w:color w:val="auto"/>
        </w:rPr>
      </w:r>
    </w:p>
    <w:p>
      <w:pPr>
        <w:pStyle w:val="12960"/>
        <w:pBdr/>
        <w:spacing/>
        <w:ind/>
        <w:rPr>
          <w:color w:val="auto"/>
        </w:rPr>
      </w:pPr>
      <w:r>
        <w:rPr>
          <w:color w:val="auto"/>
        </w:rPr>
        <w:t xml:space="preserve">На основании этих данных рассчитываются показатели эффективности инвестиционного проекта:</w:t>
      </w:r>
      <w:r>
        <w:rPr>
          <w:color w:val="auto"/>
        </w:rPr>
      </w:r>
    </w:p>
    <w:p>
      <w:pPr>
        <w:pStyle w:val="12960"/>
        <w:pBdr/>
        <w:spacing/>
        <w:ind/>
        <w:rPr>
          <w:color w:val="auto"/>
        </w:rPr>
      </w:pPr>
      <w:r>
        <w:rPr>
          <w:color w:val="auto"/>
        </w:rPr>
        <w:t xml:space="preserve">Приведенный (дисконтированный) доход NPV за период;</w:t>
      </w:r>
      <w:r>
        <w:rPr>
          <w:color w:val="auto"/>
        </w:rPr>
      </w:r>
    </w:p>
    <w:p>
      <w:pPr>
        <w:pStyle w:val="12960"/>
        <w:pBdr/>
        <w:spacing/>
        <w:ind/>
        <w:rPr>
          <w:color w:val="auto"/>
        </w:rPr>
      </w:pPr>
      <w:r>
        <w:rPr>
          <w:color w:val="auto"/>
        </w:rPr>
        <w:t xml:space="preserve">Индекс рентабельности инвестиций PI;</w:t>
      </w:r>
      <w:r>
        <w:rPr>
          <w:color w:val="auto"/>
        </w:rPr>
      </w:r>
    </w:p>
    <w:p>
      <w:pPr>
        <w:pStyle w:val="12960"/>
        <w:pBdr/>
        <w:spacing/>
        <w:ind/>
        <w:rPr>
          <w:color w:val="auto"/>
        </w:rPr>
      </w:pPr>
      <w:r>
        <w:rPr>
          <w:color w:val="auto"/>
        </w:rPr>
        <w:t xml:space="preserve">Срок окупаемости (динамический) от начала операционной деятельности.</w:t>
      </w:r>
      <w:r>
        <w:rPr>
          <w:color w:val="auto"/>
        </w:rPr>
      </w:r>
    </w:p>
    <w:p>
      <w:pPr>
        <w:pStyle w:val="12960"/>
        <w:pBdr/>
        <w:spacing/>
        <w:ind/>
        <w:rPr/>
      </w:pPr>
      <w: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w:t>
      </w:r>
      <w:r>
        <w:t xml:space="preserve">оциально-экономического развития Российской Федерации на период до 2037 года». В таблице ниже представлен прогноз роста тарифов на товары (услуги) инфраструктурных компаний для населения и тарифов на услуги организаций ЖКХ в 2027-2030 гг. и в 2031-2037 гг.</w:t>
      </w:r>
      <w:r/>
    </w:p>
    <w:p>
      <w:pPr>
        <w:pStyle w:val="12960"/>
        <w:pBdr/>
        <w:spacing/>
        <w:ind/>
        <w:rPr>
          <w:b/>
          <w:bCs w:val="0"/>
        </w:rPr>
      </w:pPr>
      <w:r>
        <w:rPr>
          <w:b/>
          <w:bCs w:val="0"/>
        </w:rPr>
        <w:t xml:space="preserve">Таблица 14.1.1 - Прогноз роста тарифов на услуги организаций ЖКХ в 2027-2030 гг. и в 2031-2037 гг.</w:t>
      </w:r>
      <w:r>
        <w:rPr>
          <w:b/>
          <w:bCs w:val="0"/>
        </w:rPr>
      </w:r>
    </w:p>
    <w:tbl>
      <w:tblPr>
        <w:tblInd w:w="0" w:type="dxa"/>
        <w:tblW w:w="5000" w:type="pct"/>
        <w:tblCellMar>
          <w:left w:w="108" w:type="dxa"/>
          <w:top w:w="0" w:type="dxa"/>
          <w:right w:w="108" w:type="dxa"/>
          <w:bottom w:w="0" w:type="dxa"/>
        </w:tblCellMar>
        <w:tblBorders/>
        <w:tblLayout w:type="fixed"/>
        <w:tblLook w:val="01E0" w:firstRow="1" w:lastRow="1" w:firstColumn="1" w:lastColumn="1" w:noHBand="0" w:noVBand="0"/>
      </w:tblPr>
      <w:tblGrid>
        <w:gridCol w:w="5409"/>
        <w:gridCol w:w="1385"/>
        <w:gridCol w:w="1406"/>
        <w:gridCol w:w="1154"/>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409" w:type="dxa"/>
            <w:vAlign w:val="center"/>
          </w:tcPr>
          <w:p>
            <w:pPr>
              <w:pStyle w:val="12385"/>
              <w:pBdr/>
              <w:spacing/>
              <w:ind/>
              <w:rPr>
                <w:rFonts w:cs="Times New Roman"/>
              </w:rPr>
            </w:pPr>
            <w:r>
              <w:rPr>
                <w:rFonts w:cs="Times New Roman"/>
              </w:rPr>
              <w:t xml:space="preserve">Показатель</w:t>
            </w:r>
            <w:r>
              <w:rPr>
                <w:rFonts w:cs="Times New Roman"/>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Вариант</w:t>
            </w:r>
            <w:r>
              <w:rPr>
                <w:rFonts w:cs="Times New Roman"/>
                <w:sz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2027 - 2030</w:t>
            </w:r>
            <w:r>
              <w:rPr>
                <w:rFonts w:cs="Times New Roman"/>
                <w:sz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2031-2037</w:t>
            </w:r>
            <w:r>
              <w:rPr>
                <w:rFonts w:cs="Times New Roman"/>
                <w:sz w:val="18"/>
              </w:rPr>
            </w:r>
          </w:p>
        </w:tc>
      </w:tr>
      <w:tr>
        <w:trPr>
          <w:trHeight w:val="20"/>
        </w:trPr>
        <w:tc>
          <w:tcPr>
            <w:tcBorders>
              <w:top w:val="single" w:color="000000" w:sz="4" w:space="0"/>
              <w:left w:val="single" w:color="000000" w:sz="4" w:space="0"/>
              <w:bottom w:val="single" w:color="000000" w:sz="4" w:space="0"/>
              <w:right w:val="single" w:color="000000" w:sz="4" w:space="0"/>
            </w:tcBorders>
            <w:tcW w:w="5409" w:type="dxa"/>
            <w:vAlign w:val="center"/>
            <w:vMerge w:val="restart"/>
          </w:tcPr>
          <w:p>
            <w:pPr>
              <w:pStyle w:val="12385"/>
              <w:pBdr/>
              <w:spacing/>
              <w:ind/>
              <w:rPr>
                <w:rFonts w:cs="Times New Roman"/>
                <w:sz w:val="18"/>
              </w:rPr>
            </w:pPr>
            <w:r>
              <w:rPr>
                <w:rFonts w:cs="Times New Roman"/>
                <w:sz w:val="18"/>
              </w:rPr>
              <w:t xml:space="preserve">Рост тарифов на электроэнергию для населения на розничном рынке с учетом сверхнормативного потребления (включая льготные категории), %</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1</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136</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401</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2</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128</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352</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3</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114</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313</w:t>
            </w:r>
            <w:r>
              <w:rPr>
                <w:rFonts w:cs="Times New Roman"/>
                <w:sz w:val="18"/>
              </w:rPr>
            </w:r>
          </w:p>
        </w:tc>
      </w:tr>
      <w:tr>
        <w:trPr>
          <w:trHeight w:val="20"/>
        </w:trPr>
        <w:tc>
          <w:tcPr>
            <w:tcBorders>
              <w:top w:val="single" w:color="000000" w:sz="4" w:space="0"/>
              <w:left w:val="single" w:color="000000" w:sz="4" w:space="0"/>
              <w:bottom w:val="single" w:color="000000" w:sz="4" w:space="0"/>
              <w:right w:val="single" w:color="000000" w:sz="4" w:space="0"/>
            </w:tcBorders>
            <w:tcW w:w="5409" w:type="dxa"/>
            <w:vAlign w:val="center"/>
            <w:vMerge w:val="restart"/>
          </w:tcPr>
          <w:p>
            <w:pPr>
              <w:pStyle w:val="12385"/>
              <w:pBdr/>
              <w:spacing/>
              <w:ind/>
              <w:rPr>
                <w:rFonts w:cs="Times New Roman"/>
                <w:sz w:val="18"/>
              </w:rPr>
            </w:pPr>
            <w:r>
              <w:rPr>
                <w:rFonts w:cs="Times New Roman"/>
                <w:sz w:val="18"/>
              </w:rPr>
              <w:t xml:space="preserve">Соотношение цен (тарифов) на электроэнергию для населения (без учета оплаты населением за сверхнормативное потребление) и цен для прочих категорий потребителей, на конец периода (раз)</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1</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1,7</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rPr>
            </w:pPr>
            <w:r>
              <w:rPr>
                <w:rFonts w:cs="Times New Roman"/>
              </w:rPr>
            </w:r>
            <w:r>
              <w:rPr>
                <w:rFonts w:cs="Times New Roman"/>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2</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1,7</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rPr>
            </w:pPr>
            <w:r>
              <w:rPr>
                <w:rFonts w:cs="Times New Roman"/>
              </w:rPr>
            </w:r>
            <w:r>
              <w:rPr>
                <w:rFonts w:cs="Times New Roman"/>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3</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1,7</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rPr>
            </w:pPr>
            <w:r>
              <w:rPr>
                <w:rFonts w:cs="Times New Roman"/>
              </w:rPr>
            </w:r>
            <w:r>
              <w:rPr>
                <w:rFonts w:cs="Times New Roman"/>
              </w:rPr>
            </w:r>
          </w:p>
        </w:tc>
      </w:tr>
      <w:tr>
        <w:trPr>
          <w:trHeight w:val="20"/>
        </w:trPr>
        <w:tc>
          <w:tcPr>
            <w:tcBorders>
              <w:top w:val="single" w:color="000000" w:sz="4" w:space="0"/>
              <w:left w:val="single" w:color="000000" w:sz="4" w:space="0"/>
              <w:bottom w:val="single" w:color="000000" w:sz="4" w:space="0"/>
              <w:right w:val="single" w:color="000000" w:sz="4" w:space="0"/>
            </w:tcBorders>
            <w:tcW w:w="5409" w:type="dxa"/>
            <w:vAlign w:val="center"/>
            <w:vMerge w:val="restart"/>
          </w:tcPr>
          <w:p>
            <w:pPr>
              <w:pStyle w:val="12385"/>
              <w:pBdr/>
              <w:spacing/>
              <w:ind/>
              <w:rPr>
                <w:rFonts w:cs="Times New Roman"/>
                <w:sz w:val="18"/>
              </w:rPr>
            </w:pPr>
            <w:r>
              <w:rPr>
                <w:rFonts w:cs="Times New Roman"/>
                <w:sz w:val="18"/>
              </w:rPr>
              <w:t xml:space="preserve">Тепловая энергия рост тарифов, %</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1</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115</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209</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2</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115</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195</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3</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117</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193</w:t>
            </w:r>
            <w:r>
              <w:rPr>
                <w:rFonts w:cs="Times New Roman"/>
                <w:sz w:val="18"/>
              </w:rPr>
            </w:r>
          </w:p>
        </w:tc>
      </w:tr>
      <w:tr>
        <w:trPr>
          <w:trHeight w:val="20"/>
        </w:trPr>
        <w:tc>
          <w:tcPr>
            <w:tcBorders>
              <w:top w:val="single" w:color="000000" w:sz="4" w:space="0"/>
              <w:left w:val="single" w:color="000000" w:sz="4" w:space="0"/>
              <w:bottom w:val="single" w:color="000000" w:sz="4" w:space="0"/>
              <w:right w:val="single" w:color="000000" w:sz="4" w:space="0"/>
            </w:tcBorders>
            <w:tcW w:w="5409" w:type="dxa"/>
            <w:vAlign w:val="center"/>
            <w:vMerge w:val="restart"/>
          </w:tcPr>
          <w:p>
            <w:pPr>
              <w:pStyle w:val="12385"/>
              <w:pBdr/>
              <w:spacing/>
              <w:ind/>
              <w:rPr>
                <w:rFonts w:cs="Times New Roman"/>
                <w:sz w:val="18"/>
              </w:rPr>
            </w:pPr>
            <w:r>
              <w:rPr>
                <w:rFonts w:cs="Times New Roman"/>
                <w:sz w:val="18"/>
              </w:rPr>
              <w:t xml:space="preserve">Справочные данные:</w:t>
            </w:r>
            <w:r>
              <w:rPr>
                <w:rFonts w:cs="Times New Roman"/>
                <w:sz w:val="18"/>
              </w:rPr>
            </w:r>
          </w:p>
          <w:p>
            <w:pPr>
              <w:pStyle w:val="12385"/>
              <w:pBdr/>
              <w:spacing/>
              <w:ind/>
              <w:rPr>
                <w:rFonts w:cs="Times New Roman"/>
                <w:sz w:val="18"/>
              </w:rPr>
            </w:pPr>
            <w:r>
              <w:rPr>
                <w:rFonts w:cs="Times New Roman"/>
                <w:sz w:val="18"/>
              </w:rPr>
              <w:t xml:space="preserve">Рост тарифов на услуги ЖКХ, %</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1</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119</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243</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2</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119</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231</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3</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120</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223</w:t>
            </w:r>
            <w:r>
              <w:rPr>
                <w:rFonts w:cs="Times New Roman"/>
                <w:sz w:val="18"/>
              </w:rPr>
            </w:r>
          </w:p>
        </w:tc>
      </w:tr>
      <w:tr>
        <w:trPr>
          <w:trHeight w:val="20"/>
        </w:trPr>
        <w:tc>
          <w:tcPr>
            <w:tcBorders>
              <w:top w:val="single" w:color="000000" w:sz="4" w:space="0"/>
              <w:left w:val="single" w:color="000000" w:sz="4" w:space="0"/>
              <w:bottom w:val="single" w:color="000000" w:sz="4" w:space="0"/>
              <w:right w:val="single" w:color="000000" w:sz="4" w:space="0"/>
            </w:tcBorders>
            <w:tcW w:w="5409" w:type="dxa"/>
            <w:vAlign w:val="center"/>
            <w:vMerge w:val="restart"/>
          </w:tcPr>
          <w:p>
            <w:pPr>
              <w:pStyle w:val="12385"/>
              <w:pBdr/>
              <w:spacing/>
              <w:ind/>
              <w:rPr>
                <w:rFonts w:cs="Times New Roman"/>
                <w:b/>
                <w:sz w:val="18"/>
              </w:rPr>
            </w:pPr>
            <w:r>
              <w:rPr>
                <w:rFonts w:cs="Times New Roman"/>
                <w:b/>
                <w:sz w:val="18"/>
              </w:rPr>
            </w:r>
            <w:r>
              <w:rPr>
                <w:rFonts w:cs="Times New Roman"/>
                <w:b/>
                <w:sz w:val="18"/>
              </w:rPr>
            </w:r>
          </w:p>
          <w:p>
            <w:pPr>
              <w:pStyle w:val="12385"/>
              <w:pBdr/>
              <w:spacing/>
              <w:ind/>
              <w:rPr>
                <w:rFonts w:cs="Times New Roman"/>
                <w:sz w:val="18"/>
              </w:rPr>
            </w:pPr>
            <w:r>
              <w:rPr>
                <w:rFonts w:cs="Times New Roman"/>
                <w:sz w:val="18"/>
              </w:rPr>
              <w:t xml:space="preserve">Инфляция (ИПЦ), %</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1</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114</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176</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2</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114</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174</w:t>
            </w:r>
            <w:r>
              <w:rPr>
                <w:rFonts w:cs="Times New Roman"/>
                <w:sz w:val="18"/>
              </w:rPr>
            </w:r>
          </w:p>
        </w:tc>
      </w:tr>
      <w:tr>
        <w:trPr>
          <w:trHeight w:val="20"/>
        </w:trPr>
        <w:tc>
          <w:tcPr>
            <w:tcBorders>
              <w:left w:val="single" w:color="000000" w:sz="4" w:space="0"/>
              <w:bottom w:val="single" w:color="000000" w:sz="4" w:space="0"/>
              <w:right w:val="single" w:color="000000" w:sz="4" w:space="0"/>
            </w:tcBorders>
            <w:tcW w:w="5409" w:type="dxa"/>
            <w:vAlign w:val="center"/>
            <w:vMerge w:val="continue"/>
          </w:tcPr>
          <w:p>
            <w:pPr>
              <w:pStyle w:val="12385"/>
              <w:pBdr/>
              <w:spacing/>
              <w:ind/>
              <w:rPr>
                <w:rFonts w:cs="Times New Roman"/>
                <w:sz w:val="2"/>
                <w:szCs w:val="2"/>
              </w:rPr>
            </w:pPr>
            <w:r>
              <w:rPr>
                <w:rFonts w:cs="Times New Roman"/>
                <w:sz w:val="2"/>
                <w:szCs w:val="2"/>
              </w:rPr>
            </w:r>
            <w:r>
              <w:rPr>
                <w:rFonts w:cs="Times New Roman"/>
                <w:sz w:val="2"/>
                <w:szCs w:val="2"/>
              </w:rPr>
            </w:r>
          </w:p>
        </w:tc>
        <w:tc>
          <w:tcPr>
            <w:tcBorders>
              <w:top w:val="single" w:color="000000" w:sz="4" w:space="0"/>
              <w:left w:val="single" w:color="000000" w:sz="4" w:space="0"/>
              <w:bottom w:val="single" w:color="000000" w:sz="4" w:space="0"/>
              <w:right w:val="single" w:color="000000" w:sz="4" w:space="0"/>
            </w:tcBorders>
            <w:tcW w:w="1385" w:type="dxa"/>
            <w:vAlign w:val="center"/>
          </w:tcPr>
          <w:p>
            <w:pPr>
              <w:pStyle w:val="12385"/>
              <w:pBdr/>
              <w:spacing/>
              <w:ind/>
              <w:rPr>
                <w:rFonts w:cs="Times New Roman"/>
                <w:sz w:val="18"/>
              </w:rPr>
            </w:pPr>
            <w:r>
              <w:rPr>
                <w:rFonts w:cs="Times New Roman"/>
                <w:sz w:val="18"/>
              </w:rPr>
              <w:t xml:space="preserve">3</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406" w:type="dxa"/>
            <w:vAlign w:val="center"/>
          </w:tcPr>
          <w:p>
            <w:pPr>
              <w:pStyle w:val="12385"/>
              <w:pBdr/>
              <w:spacing/>
              <w:ind/>
              <w:rPr>
                <w:rFonts w:cs="Times New Roman"/>
                <w:sz w:val="18"/>
              </w:rPr>
            </w:pPr>
            <w:r>
              <w:rPr>
                <w:rFonts w:cs="Times New Roman"/>
                <w:sz w:val="18"/>
              </w:rPr>
              <w:t xml:space="preserve">116</w:t>
            </w:r>
            <w:r>
              <w:rPr>
                <w:rFonts w:cs="Times New Roman"/>
                <w:sz w:val="18"/>
              </w:rPr>
            </w:r>
          </w:p>
        </w:tc>
        <w:tc>
          <w:tcPr>
            <w:tcBorders>
              <w:top w:val="single" w:color="000000" w:sz="4" w:space="0"/>
              <w:left w:val="single" w:color="000000" w:sz="4" w:space="0"/>
              <w:bottom w:val="single" w:color="000000" w:sz="4" w:space="0"/>
              <w:right w:val="single" w:color="000000" w:sz="4" w:space="0"/>
            </w:tcBorders>
            <w:tcW w:w="1154" w:type="dxa"/>
            <w:vAlign w:val="center"/>
          </w:tcPr>
          <w:p>
            <w:pPr>
              <w:pStyle w:val="12385"/>
              <w:pBdr/>
              <w:spacing/>
              <w:ind/>
              <w:rPr>
                <w:rFonts w:cs="Times New Roman"/>
                <w:sz w:val="18"/>
              </w:rPr>
            </w:pPr>
            <w:r>
              <w:rPr>
                <w:rFonts w:cs="Times New Roman"/>
                <w:sz w:val="18"/>
              </w:rPr>
              <w:t xml:space="preserve">171</w:t>
            </w:r>
            <w:r>
              <w:rPr>
                <w:rFonts w:cs="Times New Roman"/>
                <w:sz w:val="18"/>
              </w:rPr>
            </w:r>
          </w:p>
        </w:tc>
      </w:tr>
    </w:tbl>
    <w:p>
      <w:pPr>
        <w:pStyle w:val="12960"/>
        <w:pBdr/>
        <w:spacing/>
        <w:ind/>
        <w:rPr>
          <w:color w:val="auto"/>
        </w:rPr>
      </w:pPr>
      <w:r>
        <w:rPr>
          <w:color w:val="auto"/>
        </w:rPr>
        <w:t xml:space="preserve">Источники финансирования определены. В условиях недостатка собственных средств</w:t>
      </w:r>
      <w:r>
        <w:rPr>
          <w:color w:val="auto"/>
        </w:rPr>
        <w:t xml:space="preserve">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r>
        <w:rPr>
          <w:color w:val="auto"/>
        </w:rPr>
      </w:r>
    </w:p>
    <w:p>
      <w:pPr>
        <w:pStyle w:val="12960"/>
        <w:pBdr/>
        <w:spacing/>
        <w:ind/>
        <w:rPr>
          <w:color w:val="auto"/>
        </w:rPr>
      </w:pPr>
      <w:r>
        <w:rPr>
          <w:color w:val="auto"/>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r>
        <w:rPr>
          <w:color w:val="auto"/>
        </w:rPr>
      </w:r>
    </w:p>
    <w:p>
      <w:pPr>
        <w:pStyle w:val="12960"/>
        <w:pBdr/>
        <w:spacing/>
        <w:ind/>
        <w:rPr>
          <w:color w:val="auto"/>
        </w:rPr>
      </w:pPr>
      <w:r>
        <w:rPr>
          <w:color w:val="auto"/>
        </w:rPr>
        <w:t xml:space="preserve">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r>
        <w:rPr>
          <w:color w:val="auto"/>
        </w:rPr>
      </w:r>
    </w:p>
    <w:p>
      <w:pPr>
        <w:pStyle w:val="12960"/>
        <w:pBdr/>
        <w:spacing/>
        <w:ind/>
        <w:rPr>
          <w:color w:val="auto"/>
        </w:rPr>
      </w:pPr>
      <w:r>
        <w:rPr>
          <w:color w:val="auto"/>
        </w:rPr>
        <w:t xml:space="preserve">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r>
        <w:rPr>
          <w:color w:val="auto"/>
        </w:rPr>
      </w:r>
    </w:p>
    <w:p>
      <w:pPr>
        <w:pStyle w:val="12960"/>
        <w:pBdr/>
        <w:spacing/>
        <w:ind/>
        <w:rPr>
          <w:color w:val="auto"/>
        </w:rPr>
      </w:pPr>
      <w:r>
        <w:rPr>
          <w:color w:val="auto"/>
        </w:rPr>
        <w:t xml:space="preserve">Увеличение тарифа на тепловую энергию в первую очередь связано с увеличением стоимости энергоресурсов (ув</w:t>
      </w:r>
      <w:r>
        <w:rPr>
          <w:color w:val="auto"/>
        </w:rPr>
        <w:t xml:space="preserve">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w:t>
      </w:r>
      <w:r>
        <w:rPr>
          <w:color w:val="auto"/>
        </w:rPr>
        <w:t xml:space="preserve">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r>
        <w:rPr>
          <w:color w:val="auto"/>
        </w:rPr>
      </w:r>
    </w:p>
    <w:p>
      <w:pPr>
        <w:pStyle w:val="12960"/>
        <w:pBdr/>
        <w:spacing/>
        <w:ind/>
        <w:rPr>
          <w:color w:val="auto"/>
        </w:rPr>
      </w:pPr>
      <w:r>
        <w:rPr>
          <w:color w:val="auto"/>
        </w:rPr>
        <w:t xml:space="preserve">Варианты финансирования за счет собственного капитала, который не предполагает установления инвестиционной надбавки к тарифу, может</w:t>
      </w:r>
      <w:r>
        <w:rPr>
          <w:color w:val="auto"/>
        </w:rPr>
        <w:t xml:space="preserve">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r>
        <w:rPr>
          <w:color w:val="auto"/>
        </w:rPr>
      </w:r>
    </w:p>
    <w:p>
      <w:pPr>
        <w:pStyle w:val="12960"/>
        <w:pBdr/>
        <w:spacing/>
        <w:ind/>
        <w:rPr>
          <w:color w:val="auto"/>
        </w:rPr>
      </w:pPr>
      <w:r>
        <w:rPr>
          <w:color w:val="auto"/>
        </w:rPr>
        <w:t xml:space="preserve">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r>
        <w:rPr>
          <w:color w:val="auto"/>
        </w:rPr>
      </w:r>
    </w:p>
    <w:p>
      <w:pPr>
        <w:pStyle w:val="12960"/>
        <w:pBdr/>
        <w:spacing/>
        <w:ind/>
        <w:rPr>
          <w:color w:val="auto"/>
        </w:rPr>
      </w:pPr>
      <w:r>
        <w:rPr>
          <w:color w:val="auto"/>
        </w:rPr>
        <w:t xml:space="preserve">Кредитное финансирование используется, как правило, в процессе реализации краткосрочных </w:t>
      </w:r>
      <w:r>
        <w:rPr>
          <w:color w:val="auto"/>
        </w:rPr>
        <w:t xml:space="preserve">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r>
        <w:rPr>
          <w:color w:val="auto"/>
        </w:rPr>
      </w:r>
    </w:p>
    <w:p>
      <w:pPr>
        <w:pStyle w:val="12960"/>
        <w:pBdr/>
        <w:spacing/>
        <w:ind/>
        <w:rPr>
          <w:color w:val="auto"/>
        </w:rPr>
      </w:pPr>
      <w:r>
        <w:rPr>
          <w:color w:val="auto"/>
        </w:rPr>
        <w:t xml:space="preserve">Основным показателем, характеризующим рентабельность использования заемного капитала, является эффект финансового рычага.</w:t>
      </w:r>
      <w:r>
        <w:rPr>
          <w:color w:val="auto"/>
        </w:rPr>
      </w:r>
    </w:p>
    <w:p>
      <w:pPr>
        <w:pStyle w:val="12960"/>
        <w:pBdr/>
        <w:spacing/>
        <w:ind/>
        <w:rPr>
          <w:color w:val="auto"/>
        </w:rPr>
      </w:pPr>
      <w:r>
        <w:rPr>
          <w:color w:val="auto"/>
        </w:rPr>
        <w:t xml:space="preserve">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r>
        <w:rPr>
          <w:color w:val="auto"/>
        </w:rPr>
      </w:r>
    </w:p>
    <w:p>
      <w:pPr>
        <w:pStyle w:val="12960"/>
        <w:pBdr/>
        <w:spacing/>
        <w:ind/>
        <w:rPr>
          <w:color w:val="auto"/>
        </w:rPr>
      </w:pPr>
      <w:r>
        <w:rPr>
          <w:color w:val="auto"/>
        </w:rPr>
        <w:t xml:space="preserve">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r>
        <w:rPr>
          <w:color w:val="auto"/>
        </w:rPr>
      </w:r>
    </w:p>
    <w:p>
      <w:pPr>
        <w:pStyle w:val="12960"/>
        <w:pBdr/>
        <w:spacing/>
        <w:ind/>
        <w:rPr>
          <w:color w:val="auto"/>
        </w:rPr>
      </w:pPr>
      <w:r>
        <w:rPr>
          <w:color w:val="auto"/>
        </w:rPr>
        <w:t xml:space="preserve">Положительный эффект финансового рычага базируется на том, что банковская ставка в</w:t>
      </w:r>
      <w:r>
        <w:rPr>
          <w:color w:val="auto"/>
        </w:rPr>
        <w:t xml:space="preserve">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r>
        <w:rPr>
          <w:color w:val="auto"/>
        </w:rPr>
      </w:r>
    </w:p>
    <w:p>
      <w:pPr>
        <w:pStyle w:val="12960"/>
        <w:pBdr/>
        <w:spacing/>
        <w:ind/>
        <w:rPr>
          <w:color w:val="auto"/>
        </w:rPr>
      </w:pPr>
      <w:r>
        <w:rPr>
          <w:color w:val="auto"/>
        </w:rPr>
        <w:t xml:space="preserve">По оценкам экономистов на основании изучения эмпирического материала успешных зарубежных компаний, оптимально эффект фина</w:t>
      </w:r>
      <w:r>
        <w:rPr>
          <w:color w:val="auto"/>
        </w:rPr>
        <w:t xml:space="preserve">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r>
        <w:rPr>
          <w:color w:val="auto"/>
        </w:rPr>
      </w:r>
    </w:p>
    <w:p>
      <w:pPr>
        <w:pStyle w:val="12960"/>
        <w:pBdr/>
        <w:spacing/>
        <w:ind/>
        <w:rPr>
          <w:color w:val="auto"/>
        </w:rPr>
      </w:pPr>
      <w:r>
        <w:rPr>
          <w:color w:val="auto"/>
        </w:rPr>
        <w:t xml:space="preserve">Финансовый рычаг характеризует возможность повышения рентабельности собственног</w:t>
      </w:r>
      <w:r>
        <w:rPr>
          <w:color w:val="auto"/>
        </w:rPr>
        <w:t xml:space="preserve">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r>
        <w:rPr>
          <w:color w:val="auto"/>
        </w:rPr>
      </w:r>
    </w:p>
    <w:p>
      <w:pPr>
        <w:pStyle w:val="12960"/>
        <w:pBdr/>
        <w:spacing/>
        <w:ind/>
        <w:rPr>
          <w:color w:val="auto"/>
        </w:rPr>
      </w:pPr>
      <w:r>
        <w:rPr>
          <w:color w:val="auto"/>
        </w:rPr>
        <w:t xml:space="preserve">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r>
        <w:rPr>
          <w:color w:val="auto"/>
        </w:rPr>
      </w:r>
    </w:p>
    <w:p>
      <w:pPr>
        <w:pStyle w:val="12960"/>
        <w:pBdr/>
        <w:spacing/>
        <w:ind/>
        <w:rPr>
          <w:color w:val="auto"/>
        </w:rPr>
      </w:pPr>
      <w:r>
        <w:rPr>
          <w:color w:val="auto"/>
        </w:rPr>
        <w:t xml:space="preserve">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 </w:t>
      </w:r>
      <w:r>
        <w:rPr>
          <w:color w:val="auto"/>
        </w:rPr>
      </w:r>
    </w:p>
    <w:p>
      <w:pPr>
        <w:pStyle w:val="12385"/>
        <w:pBdr/>
        <w:tabs>
          <w:tab w:val="clear" w:leader="none" w:pos="708"/>
          <w:tab w:val="left" w:leader="none" w:pos="2126"/>
          <w:tab w:val="left" w:leader="none" w:pos="2736"/>
          <w:tab w:val="left" w:leader="none" w:pos="3589"/>
          <w:tab w:val="left" w:leader="none" w:pos="4442"/>
          <w:tab w:val="left" w:leader="none" w:pos="5295"/>
          <w:tab w:val="left" w:leader="none" w:pos="6148"/>
          <w:tab w:val="left" w:leader="none" w:pos="7001"/>
          <w:tab w:val="left" w:leader="none" w:pos="7854"/>
          <w:tab w:val="left" w:leader="none" w:pos="8707"/>
          <w:tab w:val="left" w:leader="none" w:pos="9560"/>
          <w:tab w:val="left" w:leader="none" w:pos="10413"/>
          <w:tab w:val="left" w:leader="none" w:pos="11266"/>
          <w:tab w:val="left" w:leader="none" w:pos="12119"/>
          <w:tab w:val="left" w:leader="none" w:pos="12972"/>
          <w:tab w:val="left" w:leader="none" w:pos="13825"/>
        </w:tabs>
        <w:spacing/>
        <w:ind w:firstLine="0" w:left="113"/>
        <w:jc w:val="left"/>
        <w:rPr>
          <w:rFonts w:cs="Times New Roman"/>
        </w:rPr>
        <w:sectPr>
          <w:headerReference w:type="default" r:id="rId238"/>
          <w:headerReference w:type="first" r:id="rId239"/>
          <w:footerReference w:type="default" r:id="rId507"/>
          <w:footerReference w:type="first" r:id="rId508"/>
          <w:footnotePr/>
          <w:endnotePr/>
          <w:type w:val="nextPage"/>
          <w:pgSz w:h="16838" w:orient="portrait" w:w="11906"/>
          <w:pgMar w:top="1134" w:right="850" w:bottom="1134" w:left="1701" w:header="567" w:footer="454" w:gutter="0"/>
          <w:cols w:num="1" w:sep="0" w:space="1701" w:equalWidth="1"/>
        </w:sectPr>
      </w:pPr>
      <w:r/>
      <w:bookmarkStart w:id="1236" w:name="_Hlk208775345"/>
      <w:r/>
      <w:bookmarkEnd w:id="1236"/>
      <w:r>
        <w:rPr>
          <w:rFonts w:cs="Times New Roman"/>
        </w:rPr>
        <w:tab/>
        <w:tab/>
        <w:tab/>
        <w:tab/>
        <w:tab/>
        <w:tab/>
        <w:tab/>
        <w:tab/>
        <w:tab/>
      </w:r>
      <w:r>
        <w:rPr>
          <w:rFonts w:cs="Times New Roman"/>
        </w:rPr>
      </w:r>
    </w:p>
    <w:p>
      <w:pPr>
        <w:pStyle w:val="10534"/>
        <w:numPr>
          <w:ilvl w:val="0"/>
          <w:numId w:val="199"/>
        </w:numPr>
        <w:pBdr/>
        <w:spacing/>
        <w:ind/>
        <w:rPr>
          <w:rFonts w:ascii="Times New Roman" w:hAnsi="Times New Roman" w:eastAsia="Times New Roman" w:cs="Times New Roman"/>
          <w:b/>
          <w:smallCaps/>
          <w:spacing w:val="0"/>
          <w:sz w:val="28"/>
          <w:szCs w:val="36"/>
          <w:lang w:eastAsia="en-US" w:bidi="en-US"/>
        </w:rPr>
      </w:pPr>
      <w:r/>
      <w:bookmarkStart w:id="1237" w:name="_Hlk208775345"/>
      <w:r/>
      <w:bookmarkStart w:id="1238" w:name="_Toc198483680"/>
      <w:r/>
      <w:bookmarkStart w:id="1239" w:name="_Toc166767326"/>
      <w:r/>
      <w:bookmarkStart w:id="1240" w:name="_Toc84971097"/>
      <w:r/>
      <w:bookmarkStart w:id="1241" w:name="_Toc9154951"/>
      <w:r/>
      <w:bookmarkEnd w:id="1237"/>
      <w:r>
        <w:rPr>
          <w:rFonts w:eastAsia="Times New Roman" w:cs="Times New Roman"/>
          <w:b/>
          <w:smallCaps/>
          <w:spacing w:val="0"/>
          <w:sz w:val="28"/>
          <w:szCs w:val="36"/>
          <w:lang w:eastAsia="en-US" w:bidi="en-US"/>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238"/>
      <w:r/>
      <w:bookmarkEnd w:id="1239"/>
      <w:r/>
      <w:bookmarkEnd w:id="1240"/>
      <w:r/>
      <w:bookmarkEnd w:id="1241"/>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Тарифно-балансовые модели представлены в таблице.</w:t>
      </w:r>
      <w:r/>
    </w:p>
    <w:p>
      <w:pPr>
        <w:pStyle w:val="12960"/>
        <w:pBdr/>
        <w:spacing/>
        <w:ind/>
        <w:rPr/>
        <w:sectPr>
          <w:headerReference w:type="default" r:id="rId240"/>
          <w:headerReference w:type="first" r:id="rId241"/>
          <w:footerReference w:type="default" r:id="rId509"/>
          <w:footerReference w:type="first" r:id="rId510"/>
          <w:footnotePr/>
          <w:endnotePr/>
          <w:type w:val="nextPage"/>
          <w:pgSz w:h="16838" w:orient="portrait" w:w="11906"/>
          <w:pgMar w:top="1134" w:right="850" w:bottom="1134" w:left="1701" w:header="708" w:footer="708" w:gutter="0"/>
          <w:cols w:num="1" w:sep="0" w:space="1701" w:equalWidth="1"/>
        </w:sectPr>
      </w:pPr>
      <w:r/>
      <w:r/>
    </w:p>
    <w:p>
      <w:pPr>
        <w:pStyle w:val="12960"/>
        <w:pBdr/>
        <w:spacing/>
        <w:ind/>
        <w:rPr>
          <w:b/>
          <w:bCs w:val="0"/>
        </w:rPr>
      </w:pPr>
      <w:r>
        <w:rPr>
          <w:b/>
          <w:bCs w:val="0"/>
        </w:rPr>
        <w:t xml:space="preserve">Таблица 14.2.1. - Тарифно-балансовые модели</w:t>
      </w:r>
      <w:r>
        <w:rPr>
          <w:b/>
          <w:bCs w:val="0"/>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1194"/>
        <w:gridCol w:w="1204"/>
        <w:gridCol w:w="724"/>
        <w:gridCol w:w="880"/>
        <w:gridCol w:w="881"/>
        <w:gridCol w:w="880"/>
        <w:gridCol w:w="880"/>
        <w:gridCol w:w="882"/>
        <w:gridCol w:w="880"/>
        <w:gridCol w:w="881"/>
        <w:gridCol w:w="880"/>
        <w:gridCol w:w="880"/>
        <w:gridCol w:w="882"/>
        <w:gridCol w:w="880"/>
        <w:gridCol w:w="881"/>
        <w:gridCol w:w="877"/>
      </w:tblGrid>
      <w:tr>
        <w:trPr>
          <w:trHeight w:val="20"/>
          <w:tblHeader/>
        </w:trPr>
        <w:tc>
          <w:tcPr>
            <w:shd w:val="clear" w:color="000000" w:fill="d9d9d9"/>
            <w:tcBorders>
              <w:top w:val="single" w:color="000000" w:sz="4" w:space="0"/>
              <w:left w:val="single" w:color="000000" w:sz="4" w:space="0"/>
              <w:bottom w:val="single" w:color="000000" w:sz="4" w:space="0"/>
              <w:right w:val="single" w:color="000000" w:sz="4" w:space="0"/>
            </w:tcBorders>
            <w:tcW w:w="1194" w:type="dxa"/>
            <w:vAlign w:val="center"/>
            <w:vMerge w:val="restart"/>
          </w:tcPr>
          <w:p>
            <w:pPr>
              <w:pStyle w:val="12385"/>
              <w:pBdr/>
              <w:spacing/>
              <w:ind/>
              <w:rPr>
                <w:sz w:val="16"/>
                <w:szCs w:val="16"/>
              </w:rPr>
            </w:pPr>
            <w:r>
              <w:rPr>
                <w:sz w:val="16"/>
                <w:szCs w:val="16"/>
              </w:rPr>
              <w:t xml:space="preserve">Наименование</w:t>
            </w:r>
            <w:r>
              <w:rPr>
                <w:sz w:val="16"/>
                <w:szCs w:val="16"/>
              </w:rPr>
            </w:r>
          </w:p>
        </w:tc>
        <w:tc>
          <w:tcPr>
            <w:shd w:val="clear" w:color="000000" w:fill="d9d9d9"/>
            <w:tcBorders>
              <w:top w:val="single" w:color="000000" w:sz="4" w:space="0"/>
              <w:left w:val="single" w:color="000000" w:sz="4" w:space="0"/>
              <w:bottom w:val="single" w:color="000000" w:sz="4" w:space="0"/>
              <w:right w:val="single" w:color="000000" w:sz="4" w:space="0"/>
            </w:tcBorders>
            <w:tcW w:w="1204" w:type="dxa"/>
            <w:vAlign w:val="center"/>
            <w:vMerge w:val="restart"/>
          </w:tcPr>
          <w:p>
            <w:pPr>
              <w:pStyle w:val="12385"/>
              <w:pBdr/>
              <w:spacing/>
              <w:ind/>
              <w:rPr>
                <w:sz w:val="16"/>
                <w:szCs w:val="16"/>
              </w:rPr>
            </w:pPr>
            <w:r>
              <w:rPr>
                <w:sz w:val="16"/>
                <w:szCs w:val="16"/>
              </w:rPr>
              <w:t xml:space="preserve">Полугодие</w:t>
            </w:r>
            <w:r>
              <w:rPr>
                <w:sz w:val="16"/>
                <w:szCs w:val="16"/>
              </w:rPr>
            </w:r>
          </w:p>
        </w:tc>
        <w:tc>
          <w:tcPr>
            <w:gridSpan w:val="14"/>
            <w:shd w:val="clear" w:color="000000" w:fill="d9d9d9"/>
            <w:tcBorders>
              <w:top w:val="single" w:color="000000" w:sz="4" w:space="0"/>
              <w:bottom w:val="single" w:color="000000" w:sz="4" w:space="0"/>
              <w:right w:val="single" w:color="000000" w:sz="4" w:space="0"/>
            </w:tcBorders>
            <w:tcW w:w="12168" w:type="dxa"/>
            <w:vAlign w:val="center"/>
          </w:tcPr>
          <w:p>
            <w:pPr>
              <w:pStyle w:val="12385"/>
              <w:pBdr/>
              <w:spacing/>
              <w:ind/>
              <w:rPr>
                <w:sz w:val="16"/>
                <w:szCs w:val="16"/>
              </w:rPr>
            </w:pPr>
            <w:r>
              <w:rPr>
                <w:sz w:val="16"/>
                <w:szCs w:val="16"/>
              </w:rPr>
              <w:t xml:space="preserve">Тарифы на коммунальные услуги</w:t>
            </w:r>
            <w:r>
              <w:rPr>
                <w:sz w:val="16"/>
                <w:szCs w:val="16"/>
              </w:rPr>
            </w:r>
          </w:p>
        </w:tc>
      </w:tr>
      <w:tr>
        <w:trPr>
          <w:trHeight w:val="20"/>
          <w:tblHeader/>
        </w:trPr>
        <w:tc>
          <w:tcPr>
            <w:tcBorders>
              <w:top w:val="single" w:color="000000" w:sz="4" w:space="0"/>
              <w:left w:val="single" w:color="000000" w:sz="4" w:space="0"/>
              <w:bottom w:val="single" w:color="000000" w:sz="4" w:space="0"/>
              <w:right w:val="single" w:color="000000" w:sz="4" w:space="0"/>
            </w:tcBorders>
            <w:tcW w:w="1194" w:type="dxa"/>
            <w:vAlign w:val="center"/>
            <w:vMerge w:val="continue"/>
          </w:tcPr>
          <w:p>
            <w:pPr>
              <w:pStyle w:val="12385"/>
              <w:pBdr/>
              <w:spacing/>
              <w:ind/>
              <w:rPr>
                <w:sz w:val="16"/>
                <w:szCs w:val="16"/>
              </w:rPr>
            </w:pPr>
            <w:r>
              <w:rPr>
                <w:sz w:val="16"/>
                <w:szCs w:val="16"/>
              </w:rPr>
            </w:r>
            <w:r>
              <w:rPr>
                <w:sz w:val="16"/>
                <w:szCs w:val="16"/>
              </w:rPr>
            </w:r>
          </w:p>
        </w:tc>
        <w:tc>
          <w:tcPr>
            <w:tcBorders>
              <w:top w:val="single" w:color="000000" w:sz="4" w:space="0"/>
              <w:left w:val="single" w:color="000000" w:sz="4" w:space="0"/>
              <w:bottom w:val="single" w:color="000000" w:sz="4" w:space="0"/>
              <w:right w:val="single" w:color="000000" w:sz="4" w:space="0"/>
            </w:tcBorders>
            <w:tcW w:w="1204" w:type="dxa"/>
            <w:vAlign w:val="center"/>
            <w:vMerge w:val="continue"/>
          </w:tcPr>
          <w:p>
            <w:pPr>
              <w:pStyle w:val="12385"/>
              <w:pBdr/>
              <w:spacing/>
              <w:ind/>
              <w:rPr>
                <w:sz w:val="16"/>
                <w:szCs w:val="16"/>
              </w:rPr>
            </w:pPr>
            <w:r>
              <w:rPr>
                <w:sz w:val="16"/>
                <w:szCs w:val="16"/>
              </w:rPr>
            </w:r>
            <w:r>
              <w:rPr>
                <w:sz w:val="16"/>
                <w:szCs w:val="16"/>
              </w:rPr>
            </w:r>
          </w:p>
        </w:tc>
        <w:tc>
          <w:tcPr>
            <w:shd w:val="clear" w:color="000000" w:fill="d9d9d9"/>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2025</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2026</w:t>
            </w:r>
            <w:r>
              <w:rPr>
                <w:sz w:val="16"/>
                <w:szCs w:val="16"/>
              </w:rPr>
            </w:r>
          </w:p>
        </w:tc>
        <w:tc>
          <w:tcPr>
            <w:shd w:val="clear" w:color="000000" w:fill="d9d9d9"/>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2027</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2028</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2029</w:t>
            </w:r>
            <w:r>
              <w:rPr>
                <w:sz w:val="16"/>
                <w:szCs w:val="16"/>
              </w:rPr>
            </w:r>
          </w:p>
        </w:tc>
        <w:tc>
          <w:tcPr>
            <w:shd w:val="clear" w:color="000000" w:fill="d9d9d9"/>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2030</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2031</w:t>
            </w:r>
            <w:r>
              <w:rPr>
                <w:sz w:val="16"/>
                <w:szCs w:val="16"/>
              </w:rPr>
            </w:r>
          </w:p>
        </w:tc>
        <w:tc>
          <w:tcPr>
            <w:shd w:val="clear" w:color="000000" w:fill="d9d9d9"/>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2032</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2033</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2034</w:t>
            </w:r>
            <w:r>
              <w:rPr>
                <w:sz w:val="16"/>
                <w:szCs w:val="16"/>
              </w:rPr>
            </w:r>
          </w:p>
        </w:tc>
        <w:tc>
          <w:tcPr>
            <w:shd w:val="clear" w:color="000000" w:fill="d9d9d9"/>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2035</w:t>
            </w:r>
            <w:r>
              <w:rPr>
                <w:sz w:val="16"/>
                <w:szCs w:val="16"/>
              </w:rPr>
            </w:r>
          </w:p>
        </w:tc>
        <w:tc>
          <w:tcPr>
            <w:shd w:val="clear" w:color="000000" w:fill="d9d9d9"/>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2036</w:t>
            </w:r>
            <w:r>
              <w:rPr>
                <w:sz w:val="16"/>
                <w:szCs w:val="16"/>
              </w:rPr>
            </w:r>
          </w:p>
        </w:tc>
        <w:tc>
          <w:tcPr>
            <w:shd w:val="clear" w:color="000000" w:fill="d9d9d9"/>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2037</w:t>
            </w:r>
            <w:r>
              <w:rPr>
                <w:sz w:val="16"/>
                <w:szCs w:val="16"/>
              </w:rPr>
            </w:r>
          </w:p>
        </w:tc>
        <w:tc>
          <w:tcPr>
            <w:shd w:val="clear" w:color="000000" w:fill="d9d9d9"/>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2038</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tcPr>
          <w:p>
            <w:pPr>
              <w:pStyle w:val="12385"/>
              <w:pBdr/>
              <w:spacing/>
              <w:ind/>
              <w:rPr>
                <w:sz w:val="16"/>
                <w:szCs w:val="16"/>
              </w:rPr>
            </w:pPr>
            <w:r>
              <w:rPr>
                <w:sz w:val="16"/>
                <w:szCs w:val="16"/>
              </w:rPr>
              <w:t xml:space="preserve">Полезный отпуск тепловой энергии, Гкал</w:t>
            </w:r>
            <w:r>
              <w:rPr>
                <w:sz w:val="16"/>
                <w:szCs w:val="16"/>
              </w:rPr>
            </w:r>
          </w:p>
        </w:tc>
        <w:tc>
          <w:tcPr>
            <w:shd w:val="clear" w:color="000000" w:fill="ffffff"/>
            <w:tcBorders>
              <w:left w:val="single" w:color="000000" w:sz="4" w:space="0"/>
              <w:bottom w:val="single" w:color="000000" w:sz="4" w:space="0"/>
              <w:right w:val="single" w:color="000000" w:sz="4" w:space="0"/>
            </w:tcBorders>
            <w:tcW w:w="1204" w:type="dxa"/>
            <w:vAlign w:val="center"/>
            <w:vMerge w:val="restart"/>
          </w:tcPr>
          <w:p>
            <w:pPr>
              <w:pStyle w:val="12385"/>
              <w:pBdr/>
              <w:spacing/>
              <w:ind/>
              <w:rPr>
                <w:sz w:val="16"/>
                <w:szCs w:val="16"/>
              </w:rPr>
            </w:pPr>
            <w:r>
              <w:rPr>
                <w:sz w:val="16"/>
                <w:szCs w:val="16"/>
              </w:rPr>
              <w:t xml:space="preserve">Отопительный период</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549,58</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549,58</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tcPr>
          <w:p>
            <w:pPr>
              <w:pStyle w:val="12385"/>
              <w:pBdr/>
              <w:spacing/>
              <w:ind/>
              <w:rPr>
                <w:sz w:val="16"/>
                <w:szCs w:val="16"/>
              </w:rPr>
            </w:pPr>
            <w:r>
              <w:rPr>
                <w:sz w:val="16"/>
                <w:szCs w:val="16"/>
              </w:rPr>
              <w:t xml:space="preserve">Котельная №5 д. Ясенки</w:t>
            </w:r>
            <w:r>
              <w:rPr>
                <w:sz w:val="16"/>
                <w:szCs w:val="16"/>
              </w:rPr>
            </w:r>
          </w:p>
        </w:tc>
        <w:tc>
          <w:tcPr>
            <w:tcBorders>
              <w:left w:val="single" w:color="000000" w:sz="4" w:space="0"/>
              <w:bottom w:val="single" w:color="000000" w:sz="4" w:space="0"/>
              <w:right w:val="single" w:color="000000" w:sz="4" w:space="0"/>
            </w:tcBorders>
            <w:tcW w:w="1204" w:type="dxa"/>
            <w:vAlign w:val="center"/>
            <w:vMerge w:val="continue"/>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108,10</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108,10</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tcPr>
          <w:p>
            <w:pPr>
              <w:pStyle w:val="12385"/>
              <w:pBdr/>
              <w:spacing/>
              <w:ind/>
              <w:rPr>
                <w:sz w:val="16"/>
                <w:szCs w:val="16"/>
              </w:rPr>
            </w:pPr>
            <w:r>
              <w:rPr>
                <w:sz w:val="16"/>
                <w:szCs w:val="16"/>
              </w:rPr>
              <w:t xml:space="preserve">Котельная №6 п. Первомайский</w:t>
            </w:r>
            <w:r>
              <w:rPr>
                <w:sz w:val="16"/>
                <w:szCs w:val="16"/>
              </w:rPr>
            </w:r>
          </w:p>
        </w:tc>
        <w:tc>
          <w:tcPr>
            <w:tcBorders>
              <w:left w:val="single" w:color="000000" w:sz="4" w:space="0"/>
              <w:bottom w:val="single" w:color="000000" w:sz="4" w:space="0"/>
              <w:right w:val="single" w:color="000000" w:sz="4" w:space="0"/>
            </w:tcBorders>
            <w:tcW w:w="1204" w:type="dxa"/>
            <w:vAlign w:val="center"/>
            <w:vMerge w:val="continue"/>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290,65</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290,65</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tcPr>
          <w:p>
            <w:pPr>
              <w:pStyle w:val="12385"/>
              <w:pBdr/>
              <w:spacing/>
              <w:ind/>
              <w:rPr>
                <w:sz w:val="16"/>
                <w:szCs w:val="16"/>
              </w:rPr>
            </w:pPr>
            <w:r>
              <w:rPr>
                <w:sz w:val="16"/>
                <w:szCs w:val="16"/>
              </w:rPr>
              <w:t xml:space="preserve">Котельная №7 с. Белый Колодезь</w:t>
            </w:r>
            <w:r>
              <w:rPr>
                <w:sz w:val="16"/>
                <w:szCs w:val="16"/>
              </w:rPr>
            </w:r>
          </w:p>
        </w:tc>
        <w:tc>
          <w:tcPr>
            <w:tcBorders>
              <w:left w:val="single" w:color="000000" w:sz="4" w:space="0"/>
              <w:bottom w:val="single" w:color="000000" w:sz="4" w:space="0"/>
              <w:right w:val="single" w:color="000000" w:sz="4" w:space="0"/>
            </w:tcBorders>
            <w:tcW w:w="1204" w:type="dxa"/>
            <w:vAlign w:val="center"/>
            <w:vMerge w:val="continue"/>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150,84</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150,84</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vMerge w:val="restart"/>
          </w:tcPr>
          <w:p>
            <w:pPr>
              <w:pStyle w:val="12385"/>
              <w:pBdr/>
              <w:spacing/>
              <w:ind/>
              <w:rPr>
                <w:sz w:val="16"/>
                <w:szCs w:val="16"/>
              </w:rPr>
            </w:pPr>
            <w:r>
              <w:rPr>
                <w:sz w:val="16"/>
                <w:szCs w:val="16"/>
              </w:rPr>
              <w:t xml:space="preserve">Размер тарифов на тепловую энерги, руб/Гкал</w:t>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01.01-31.06</w:t>
            </w:r>
            <w:r>
              <w:rPr>
                <w:sz w:val="16"/>
                <w:szCs w:val="16"/>
              </w:rPr>
            </w:r>
          </w:p>
        </w:tc>
        <w:tc>
          <w:tcPr>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w:t>
            </w:r>
            <w:r>
              <w:rPr>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3 399,30</w:t>
            </w:r>
            <w:r>
              <w:rPr>
                <w:rFonts w:ascii="Calibri" w:hAnsi="Calibri"/>
                <w:sz w:val="16"/>
                <w:szCs w:val="16"/>
              </w:rPr>
            </w:r>
          </w:p>
        </w:tc>
        <w:tc>
          <w:tcPr>
            <w:tcBorders>
              <w:bottom w:val="single" w:color="000000" w:sz="4" w:space="0"/>
              <w:right w:val="single" w:color="000000" w:sz="4" w:space="0"/>
            </w:tcBorders>
            <w:tcW w:w="881" w:type="dxa"/>
            <w:vAlign w:val="center"/>
          </w:tcPr>
          <w:p>
            <w:pPr>
              <w:pStyle w:val="12385"/>
              <w:pBdr/>
              <w:spacing/>
              <w:ind/>
              <w:rPr>
                <w:rFonts w:ascii="Calibri" w:hAnsi="Calibri"/>
                <w:sz w:val="16"/>
                <w:szCs w:val="16"/>
              </w:rPr>
            </w:pPr>
            <w:r>
              <w:rPr>
                <w:rFonts w:ascii="Calibri" w:hAnsi="Calibri"/>
                <w:sz w:val="16"/>
                <w:szCs w:val="16"/>
              </w:rPr>
              <w:t xml:space="preserve">3 467,29</w:t>
            </w:r>
            <w:r>
              <w:rPr>
                <w:rFonts w:ascii="Calibri" w:hAnsi="Calibri"/>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3 536,63</w:t>
            </w:r>
            <w:r>
              <w:rPr>
                <w:rFonts w:ascii="Calibri" w:hAnsi="Calibri"/>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3 607,36</w:t>
            </w:r>
            <w:r>
              <w:rPr>
                <w:rFonts w:ascii="Calibri" w:hAnsi="Calibri"/>
                <w:sz w:val="16"/>
                <w:szCs w:val="16"/>
              </w:rPr>
            </w:r>
          </w:p>
        </w:tc>
        <w:tc>
          <w:tcPr>
            <w:tcBorders>
              <w:bottom w:val="single" w:color="000000" w:sz="4" w:space="0"/>
              <w:right w:val="single" w:color="000000" w:sz="4" w:space="0"/>
            </w:tcBorders>
            <w:tcW w:w="882" w:type="dxa"/>
            <w:vAlign w:val="center"/>
          </w:tcPr>
          <w:p>
            <w:pPr>
              <w:pStyle w:val="12385"/>
              <w:pBdr/>
              <w:spacing/>
              <w:ind/>
              <w:rPr>
                <w:rFonts w:ascii="Calibri" w:hAnsi="Calibri"/>
                <w:sz w:val="16"/>
                <w:szCs w:val="16"/>
              </w:rPr>
            </w:pPr>
            <w:r>
              <w:rPr>
                <w:rFonts w:ascii="Calibri" w:hAnsi="Calibri"/>
                <w:sz w:val="16"/>
                <w:szCs w:val="16"/>
              </w:rPr>
              <w:t xml:space="preserve">3 679,51</w:t>
            </w:r>
            <w:r>
              <w:rPr>
                <w:rFonts w:ascii="Calibri" w:hAnsi="Calibri"/>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3 753,10</w:t>
            </w:r>
            <w:r>
              <w:rPr>
                <w:rFonts w:ascii="Calibri" w:hAnsi="Calibri"/>
                <w:sz w:val="16"/>
                <w:szCs w:val="16"/>
              </w:rPr>
            </w:r>
          </w:p>
        </w:tc>
        <w:tc>
          <w:tcPr>
            <w:tcBorders>
              <w:bottom w:val="single" w:color="000000" w:sz="4" w:space="0"/>
              <w:right w:val="single" w:color="000000" w:sz="4" w:space="0"/>
            </w:tcBorders>
            <w:tcW w:w="881" w:type="dxa"/>
            <w:vAlign w:val="center"/>
          </w:tcPr>
          <w:p>
            <w:pPr>
              <w:pStyle w:val="12385"/>
              <w:pBdr/>
              <w:spacing/>
              <w:ind/>
              <w:rPr>
                <w:rFonts w:ascii="Calibri" w:hAnsi="Calibri"/>
                <w:sz w:val="16"/>
                <w:szCs w:val="16"/>
              </w:rPr>
            </w:pPr>
            <w:r>
              <w:rPr>
                <w:rFonts w:ascii="Calibri" w:hAnsi="Calibri"/>
                <w:sz w:val="16"/>
                <w:szCs w:val="16"/>
              </w:rPr>
              <w:t xml:space="preserve">3 828,16</w:t>
            </w:r>
            <w:r>
              <w:rPr>
                <w:rFonts w:ascii="Calibri" w:hAnsi="Calibri"/>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3 904,73</w:t>
            </w:r>
            <w:r>
              <w:rPr>
                <w:rFonts w:ascii="Calibri" w:hAnsi="Calibri"/>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3 982,82</w:t>
            </w:r>
            <w:r>
              <w:rPr>
                <w:rFonts w:ascii="Calibri" w:hAnsi="Calibri"/>
                <w:sz w:val="16"/>
                <w:szCs w:val="16"/>
              </w:rPr>
            </w:r>
          </w:p>
        </w:tc>
        <w:tc>
          <w:tcPr>
            <w:tcBorders>
              <w:bottom w:val="single" w:color="000000" w:sz="4" w:space="0"/>
              <w:right w:val="single" w:color="000000" w:sz="4" w:space="0"/>
            </w:tcBorders>
            <w:tcW w:w="882" w:type="dxa"/>
            <w:vAlign w:val="center"/>
          </w:tcPr>
          <w:p>
            <w:pPr>
              <w:pStyle w:val="12385"/>
              <w:pBdr/>
              <w:spacing/>
              <w:ind/>
              <w:rPr>
                <w:rFonts w:ascii="Calibri" w:hAnsi="Calibri"/>
                <w:sz w:val="16"/>
                <w:szCs w:val="16"/>
              </w:rPr>
            </w:pPr>
            <w:r>
              <w:rPr>
                <w:rFonts w:ascii="Calibri" w:hAnsi="Calibri"/>
                <w:sz w:val="16"/>
                <w:szCs w:val="16"/>
              </w:rPr>
              <w:t xml:space="preserve">4 062,48</w:t>
            </w:r>
            <w:r>
              <w:rPr>
                <w:rFonts w:ascii="Calibri" w:hAnsi="Calibri"/>
                <w:sz w:val="16"/>
                <w:szCs w:val="16"/>
              </w:rPr>
            </w:r>
          </w:p>
        </w:tc>
        <w:tc>
          <w:tcPr>
            <w:tcBorders>
              <w:bottom w:val="single" w:color="000000" w:sz="4" w:space="0"/>
              <w:right w:val="single" w:color="000000" w:sz="4" w:space="0"/>
            </w:tcBorders>
            <w:tcW w:w="880" w:type="dxa"/>
            <w:vAlign w:val="center"/>
          </w:tcPr>
          <w:p>
            <w:pPr>
              <w:pStyle w:val="12385"/>
              <w:pBdr/>
              <w:spacing/>
              <w:ind/>
              <w:rPr>
                <w:rFonts w:ascii="Calibri" w:hAnsi="Calibri"/>
                <w:sz w:val="16"/>
                <w:szCs w:val="16"/>
              </w:rPr>
            </w:pPr>
            <w:r>
              <w:rPr>
                <w:rFonts w:ascii="Calibri" w:hAnsi="Calibri"/>
                <w:sz w:val="16"/>
                <w:szCs w:val="16"/>
              </w:rPr>
              <w:t xml:space="preserve">4 143,73</w:t>
            </w:r>
            <w:r>
              <w:rPr>
                <w:rFonts w:ascii="Calibri" w:hAnsi="Calibri"/>
                <w:sz w:val="16"/>
                <w:szCs w:val="16"/>
              </w:rPr>
            </w:r>
          </w:p>
        </w:tc>
        <w:tc>
          <w:tcPr>
            <w:tcBorders>
              <w:bottom w:val="single" w:color="000000" w:sz="4" w:space="0"/>
              <w:right w:val="single" w:color="000000" w:sz="4" w:space="0"/>
            </w:tcBorders>
            <w:tcW w:w="881" w:type="dxa"/>
            <w:vAlign w:val="center"/>
          </w:tcPr>
          <w:p>
            <w:pPr>
              <w:pStyle w:val="12385"/>
              <w:pBdr/>
              <w:spacing/>
              <w:ind/>
              <w:rPr>
                <w:rFonts w:ascii="Calibri" w:hAnsi="Calibri"/>
                <w:sz w:val="16"/>
                <w:szCs w:val="16"/>
              </w:rPr>
            </w:pPr>
            <w:r>
              <w:rPr>
                <w:rFonts w:ascii="Calibri" w:hAnsi="Calibri"/>
                <w:sz w:val="16"/>
                <w:szCs w:val="16"/>
              </w:rPr>
              <w:t xml:space="preserve">4 226,60</w:t>
            </w:r>
            <w:r>
              <w:rPr>
                <w:rFonts w:ascii="Calibri" w:hAnsi="Calibri"/>
                <w:sz w:val="16"/>
                <w:szCs w:val="16"/>
              </w:rPr>
            </w:r>
          </w:p>
        </w:tc>
        <w:tc>
          <w:tcPr>
            <w:tcBorders>
              <w:bottom w:val="single" w:color="000000" w:sz="4" w:space="0"/>
              <w:right w:val="single" w:color="000000" w:sz="4" w:space="0"/>
            </w:tcBorders>
            <w:tcW w:w="877" w:type="dxa"/>
            <w:vAlign w:val="center"/>
          </w:tcPr>
          <w:p>
            <w:pPr>
              <w:pStyle w:val="12385"/>
              <w:pBdr/>
              <w:spacing/>
              <w:ind/>
              <w:rPr>
                <w:rFonts w:ascii="Calibri" w:hAnsi="Calibri"/>
                <w:sz w:val="16"/>
                <w:szCs w:val="16"/>
              </w:rPr>
            </w:pPr>
            <w:r>
              <w:rPr>
                <w:rFonts w:ascii="Calibri" w:hAnsi="Calibri"/>
                <w:sz w:val="16"/>
                <w:szCs w:val="16"/>
              </w:rPr>
              <w:t xml:space="preserve">4 311,13</w:t>
            </w:r>
            <w:r>
              <w:rPr>
                <w:rFonts w:ascii="Calibri" w:hAnsi="Calibri"/>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vMerge w:val="continue"/>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rFonts w:cs="Times New Roman"/>
                <w:sz w:val="16"/>
                <w:szCs w:val="16"/>
              </w:rPr>
            </w:pPr>
            <w:r>
              <w:rPr>
                <w:sz w:val="16"/>
                <w:szCs w:val="16"/>
              </w:rPr>
              <w:t xml:space="preserve">01.07-31.12</w:t>
            </w:r>
            <w:r>
              <w:rPr>
                <w:rFonts w:cs="Times New Roman"/>
                <w:sz w:val="16"/>
                <w:szCs w:val="16"/>
              </w:rPr>
            </w:r>
          </w:p>
        </w:tc>
        <w:tc>
          <w:tcPr>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3 467,29</w:t>
            </w:r>
            <w:r>
              <w:rPr>
                <w:sz w:val="16"/>
                <w:szCs w:val="16"/>
              </w:rPr>
            </w:r>
          </w:p>
        </w:tc>
        <w:tc>
          <w:tcPr>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3 536,63</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3 607,36</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3 679,51</w:t>
            </w:r>
            <w:r>
              <w:rPr>
                <w:sz w:val="16"/>
                <w:szCs w:val="16"/>
              </w:rPr>
            </w:r>
          </w:p>
        </w:tc>
        <w:tc>
          <w:tcPr>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3 753,10</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3 828,16</w:t>
            </w:r>
            <w:r>
              <w:rPr>
                <w:sz w:val="16"/>
                <w:szCs w:val="16"/>
              </w:rPr>
            </w:r>
          </w:p>
        </w:tc>
        <w:tc>
          <w:tcPr>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3 904,73</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3 982,82</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4 062,48</w:t>
            </w:r>
            <w:r>
              <w:rPr>
                <w:sz w:val="16"/>
                <w:szCs w:val="16"/>
              </w:rPr>
            </w:r>
          </w:p>
        </w:tc>
        <w:tc>
          <w:tcPr>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4 143,73</w:t>
            </w:r>
            <w:r>
              <w:rPr>
                <w:sz w:val="16"/>
                <w:szCs w:val="16"/>
              </w:rPr>
            </w:r>
          </w:p>
        </w:tc>
        <w:tc>
          <w:tcPr>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4 226,60</w:t>
            </w:r>
            <w:r>
              <w:rPr>
                <w:sz w:val="16"/>
                <w:szCs w:val="16"/>
              </w:rPr>
            </w:r>
          </w:p>
        </w:tc>
        <w:tc>
          <w:tcPr>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4 311,13</w:t>
            </w:r>
            <w:r>
              <w:rPr>
                <w:sz w:val="16"/>
                <w:szCs w:val="16"/>
              </w:rPr>
            </w:r>
          </w:p>
        </w:tc>
        <w:tc>
          <w:tcPr>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4 397,36</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tcPr>
          <w:p>
            <w:pPr>
              <w:pStyle w:val="12385"/>
              <w:pBdr/>
              <w:spacing/>
              <w:ind/>
              <w:rPr>
                <w:sz w:val="16"/>
                <w:szCs w:val="16"/>
              </w:rPr>
            </w:pPr>
            <w:r>
              <w:rPr>
                <w:sz w:val="16"/>
                <w:szCs w:val="16"/>
              </w:rPr>
              <w:t xml:space="preserve">Тарифы с учетом 2% капитальных вложений в мероприятия, руб/Гкал</w:t>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01.01-31.06</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3426,10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3494,09</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3563,43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3634,17</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3706,31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3779,90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3854,97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3931,53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4009,62</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4089,28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4170,53</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4253,40</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4337,94</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01.07-31.12</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3494,09</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3563,43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3634,17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3706,31</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3779,90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3854,97</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3931,53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4009,62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4089,28</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4170,53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4253,40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4337,94</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4424,16</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Размер надбавки, руб./Гкал</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53,60</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53,60</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Размер надбавки, %.</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0,77</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0,76</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0,74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0,73</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0,72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0,70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0,69</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0,68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0,66</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0,65</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0,64</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0,62</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0,61</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Сумма надбавки, руб</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29460,00</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29460,00</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vMerge w:val="restart"/>
          </w:tcPr>
          <w:p>
            <w:pPr>
              <w:pStyle w:val="12385"/>
              <w:pBdr/>
              <w:spacing/>
              <w:ind/>
              <w:rPr>
                <w:sz w:val="16"/>
                <w:szCs w:val="16"/>
              </w:rPr>
            </w:pPr>
            <w:r>
              <w:rPr>
                <w:sz w:val="16"/>
                <w:szCs w:val="16"/>
              </w:rPr>
              <w:t xml:space="preserve">Тарифы с учетом 5% капитальных вложений в мероприятия, руб/Гкал</w:t>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01.01-31.06</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3466,31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3534,29</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3603,64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3674,37</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3746,52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3820,11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3895,17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3971,73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4049,83</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4129,48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4210,73</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4293,61</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4378,14</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vMerge w:val="continue"/>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01.07-31.12</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3534,29</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3603,64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3674,37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3746,52</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3820,11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3895,17</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3971,73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4049,83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4129,48</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4210,73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4293,61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4378,14</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4464,36</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Размер надбавки, руб./Гкал</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134,01</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134,01</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Размер надбавки, %.</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1,91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1,88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1,84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1,81</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1,77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1,74</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1,70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1,67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1,64</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1,61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1,58</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1,55</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1,5</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Сумма надбавки, руб</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73650,00</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73650,00</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vMerge w:val="restart"/>
          </w:tcPr>
          <w:p>
            <w:pPr>
              <w:pStyle w:val="12385"/>
              <w:pBdr/>
              <w:spacing/>
              <w:ind/>
              <w:rPr>
                <w:sz w:val="16"/>
                <w:szCs w:val="16"/>
              </w:rPr>
            </w:pPr>
            <w:r>
              <w:rPr>
                <w:sz w:val="16"/>
                <w:szCs w:val="16"/>
              </w:rPr>
              <w:t xml:space="preserve">Тарифы с учетом 10% капитальных вложений в мероприятия, руб/Гкал</w:t>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01.01-31.06</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3533,31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3601,30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3670,64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3741,38</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3813,52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3887,11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3962,17</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4038,74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4116,83</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4196,49</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4277,74</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4360,61</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4445,15</w:t>
            </w:r>
            <w:r>
              <w:rPr>
                <w:sz w:val="16"/>
                <w:szCs w:val="16"/>
              </w:rPr>
            </w:r>
          </w:p>
        </w:tc>
      </w:tr>
      <w:tr>
        <w:trPr>
          <w:trHeight w:val="20"/>
        </w:trPr>
        <w:tc>
          <w:tcPr>
            <w:tcBorders>
              <w:left w:val="single" w:color="000000" w:sz="4" w:space="0"/>
              <w:bottom w:val="single" w:color="000000" w:sz="4" w:space="0"/>
              <w:right w:val="single" w:color="000000" w:sz="4" w:space="0"/>
            </w:tcBorders>
            <w:tcW w:w="1194" w:type="dxa"/>
            <w:vAlign w:val="center"/>
            <w:vMerge w:val="continue"/>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1204" w:type="dxa"/>
            <w:vAlign w:val="center"/>
          </w:tcPr>
          <w:p>
            <w:pPr>
              <w:pStyle w:val="12385"/>
              <w:pBdr/>
              <w:spacing/>
              <w:ind/>
              <w:rPr>
                <w:sz w:val="16"/>
                <w:szCs w:val="16"/>
              </w:rPr>
            </w:pPr>
            <w:r>
              <w:rPr>
                <w:sz w:val="16"/>
                <w:szCs w:val="16"/>
              </w:rPr>
              <w:t xml:space="preserve">01.07-31.12</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3399,30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3601,30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3670,64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3741,38</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3813,52</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3887,11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3962,17</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4038,74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4116,83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4196,49</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4277,74</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4360,61</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4445,15</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4531,37</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Размер надбавки, руб./Гкал</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268,02</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268,02</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Размер надбавки, %.</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t xml:space="preserve">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3,757</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3,686</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3,616</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3,548</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3,481</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3,415</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3,350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3,286</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3,224</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3,163</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3,103</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3,044</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2,986</w:t>
            </w:r>
            <w:r>
              <w:rPr>
                <w:sz w:val="16"/>
                <w:szCs w:val="16"/>
              </w:rPr>
            </w:r>
          </w:p>
        </w:tc>
      </w:tr>
      <w:tr>
        <w:trPr>
          <w:trHeight w:val="20"/>
        </w:trPr>
        <w:tc>
          <w:tcPr>
            <w:gridSpan w:val="2"/>
            <w:tcBorders>
              <w:top w:val="single" w:color="000000" w:sz="4" w:space="0"/>
              <w:left w:val="single" w:color="000000" w:sz="4" w:space="0"/>
              <w:bottom w:val="single" w:color="000000" w:sz="4" w:space="0"/>
              <w:right w:val="single" w:color="000000" w:sz="4" w:space="0"/>
            </w:tcBorders>
            <w:tcW w:w="2398" w:type="dxa"/>
            <w:vAlign w:val="center"/>
          </w:tcPr>
          <w:p>
            <w:pPr>
              <w:pStyle w:val="12385"/>
              <w:pBdr/>
              <w:spacing/>
              <w:ind/>
              <w:rPr>
                <w:sz w:val="16"/>
                <w:szCs w:val="16"/>
              </w:rPr>
            </w:pPr>
            <w:r>
              <w:rPr>
                <w:sz w:val="16"/>
                <w:szCs w:val="16"/>
              </w:rPr>
              <w:t xml:space="preserve">Сумма надбавки, руб</w:t>
            </w:r>
            <w:r>
              <w:rPr>
                <w:sz w:val="16"/>
                <w:szCs w:val="16"/>
              </w:rPr>
            </w:r>
          </w:p>
        </w:tc>
        <w:tc>
          <w:tcPr>
            <w:shd w:val="clear" w:color="000000" w:fill="ffffff"/>
            <w:tcBorders>
              <w:bottom w:val="single" w:color="000000" w:sz="4" w:space="0"/>
              <w:right w:val="single" w:color="000000" w:sz="4" w:space="0"/>
            </w:tcBorders>
            <w:tcW w:w="724" w:type="dxa"/>
            <w:vAlign w:val="center"/>
          </w:tcPr>
          <w:p>
            <w:pPr>
              <w:pStyle w:val="12385"/>
              <w:pBdr/>
              <w:spacing/>
              <w:ind/>
              <w:rPr>
                <w:sz w:val="16"/>
                <w:szCs w:val="16"/>
              </w:rPr>
            </w:pPr>
            <w:r>
              <w:rPr>
                <w:sz w:val="16"/>
                <w:szCs w:val="16"/>
              </w:rPr>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2"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0"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81" w:type="dxa"/>
            <w:vAlign w:val="center"/>
          </w:tcPr>
          <w:p>
            <w:pPr>
              <w:pStyle w:val="12385"/>
              <w:pBdr/>
              <w:spacing/>
              <w:ind/>
              <w:rPr>
                <w:sz w:val="16"/>
                <w:szCs w:val="16"/>
              </w:rPr>
            </w:pPr>
            <w:r>
              <w:rPr>
                <w:sz w:val="16"/>
                <w:szCs w:val="16"/>
              </w:rPr>
              <w:t xml:space="preserve">147300,00</w:t>
            </w:r>
            <w:r>
              <w:rPr>
                <w:sz w:val="16"/>
                <w:szCs w:val="16"/>
              </w:rPr>
            </w:r>
          </w:p>
        </w:tc>
        <w:tc>
          <w:tcPr>
            <w:shd w:val="clear" w:color="000000" w:fill="ffffff"/>
            <w:tcBorders>
              <w:bottom w:val="single" w:color="000000" w:sz="4" w:space="0"/>
              <w:right w:val="single" w:color="000000" w:sz="4" w:space="0"/>
            </w:tcBorders>
            <w:tcW w:w="877" w:type="dxa"/>
            <w:vAlign w:val="center"/>
          </w:tcPr>
          <w:p>
            <w:pPr>
              <w:pStyle w:val="12385"/>
              <w:pBdr/>
              <w:spacing/>
              <w:ind/>
              <w:rPr>
                <w:sz w:val="16"/>
                <w:szCs w:val="16"/>
              </w:rPr>
            </w:pPr>
            <w:r>
              <w:rPr>
                <w:sz w:val="16"/>
                <w:szCs w:val="16"/>
              </w:rPr>
              <w:t xml:space="preserve">147300,00</w:t>
            </w:r>
            <w:r>
              <w:rPr>
                <w:sz w:val="16"/>
                <w:szCs w:val="16"/>
              </w:rPr>
            </w:r>
          </w:p>
        </w:tc>
      </w:tr>
    </w:tbl>
    <w:p>
      <w:pPr>
        <w:pBdr/>
        <w:spacing/>
        <w:ind/>
        <w:rPr/>
        <w:sectPr>
          <w:headerReference w:type="default" r:id="rId242"/>
          <w:headerReference w:type="first" r:id="rId243"/>
          <w:footerReference w:type="default" r:id="rId511"/>
          <w:footerReference w:type="first" r:id="rId512"/>
          <w:footnotePr/>
          <w:endnotePr/>
          <w:type w:val="nextPage"/>
          <w:pgSz w:h="11906" w:orient="landscape" w:w="16838"/>
          <w:pgMar w:top="1701" w:right="1134" w:bottom="851" w:left="1134" w:header="567" w:footer="454" w:gutter="0"/>
          <w:cols w:num="1" w:sep="0" w:space="1701" w:equalWidth="1"/>
        </w:sectPr>
      </w:pPr>
      <w:r/>
      <w:r/>
    </w:p>
    <w:p>
      <w:pPr>
        <w:pStyle w:val="12960"/>
        <w:pBdr/>
        <w:spacing/>
        <w:ind/>
        <w:rPr/>
      </w:pPr>
      <w:r/>
      <w:r/>
    </w:p>
    <w:p>
      <w:pPr>
        <w:pStyle w:val="12960"/>
        <w:pBdr/>
        <w:spacing/>
        <w:ind/>
        <w:rPr/>
      </w:pPr>
      <w:r>
        <w:t xml:space="preserve">В рамках данной Схемы теплоснабжения предполагается, что финансовые потре</w:t>
      </w:r>
      <w:r>
        <w:t xml:space="preserve">бности, необходимые для реализации мероприятий Схемы теплоснабжения, обеспечиваются за счет бюджета муниципального образования Астаповское бюджета Арсеньевского муниципального района, бюджета Тульской области и внебюджетных источников. Заложения стоимости </w:t>
      </w:r>
      <w:r>
        <w:t xml:space="preserve">данного мероприятия в тариф на услуги теплоснабжения по не планируется, ценовых (тарифных) последствий для потребителей при реализации приоритетного сценария перспективного развития систем теплоснабжения муниципального образования Астаповское не ожидается.</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244"/>
          <w:headerReference w:type="first" r:id="rId245"/>
          <w:footerReference w:type="default" r:id="rId513"/>
          <w:footerReference w:type="first" r:id="rId514"/>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sectPr>
          <w:headerReference w:type="default" r:id="rId246"/>
          <w:headerReference w:type="first" r:id="rId247"/>
          <w:footerReference w:type="default" r:id="rId515"/>
          <w:footerReference w:type="first" r:id="rId516"/>
          <w:footnotePr/>
          <w:endnotePr/>
          <w:type w:val="nextPage"/>
          <w:pgSz w:h="16838" w:orient="portrait" w:w="11906"/>
          <w:pgMar w:top="1134" w:right="850" w:bottom="1134" w:left="1701" w:header="567" w:footer="454" w:gutter="0"/>
          <w:cols w:num="1" w:sep="0" w:space="1701" w:equalWidth="1"/>
        </w:sectPr>
      </w:pPr>
      <w:r/>
      <w:bookmarkStart w:id="1242" w:name="_Toc198483681"/>
      <w:r/>
      <w:bookmarkStart w:id="1243" w:name="_Toc166767327"/>
      <w:r/>
      <w:bookmarkStart w:id="1244" w:name="_Toc84971098"/>
      <w:r/>
      <w:bookmarkStart w:id="1245" w:name="_Toc9154952"/>
      <w:r>
        <w:rPr>
          <w:spacing w:val="0"/>
        </w:rPr>
        <w:t xml:space="preserve">ГЛАВА 15. РЕЕСТР ЕДИНЫХ ТЕПЛОСНАБЖАЮЩИХ ОРГАНИЗАЦИЙ</w:t>
      </w:r>
      <w:bookmarkEnd w:id="1242"/>
      <w:r/>
      <w:bookmarkEnd w:id="1243"/>
      <w:r/>
      <w:bookmarkEnd w:id="1244"/>
      <w:r/>
      <w:bookmarkEnd w:id="1245"/>
      <w:r/>
      <w:r>
        <w:rPr>
          <w:spacing w:val="0"/>
        </w:rPr>
      </w:r>
    </w:p>
    <w:p>
      <w:pPr>
        <w:pStyle w:val="10534"/>
        <w:numPr>
          <w:ilvl w:val="0"/>
          <w:numId w:val="200"/>
        </w:numPr>
        <w:pBdr/>
        <w:spacing/>
        <w:ind/>
        <w:rPr>
          <w:rFonts w:ascii="Times New Roman" w:hAnsi="Times New Roman" w:eastAsia="Times New Roman" w:cs="Times New Roman"/>
          <w:b/>
          <w:smallCaps/>
          <w:spacing w:val="0"/>
          <w:sz w:val="28"/>
          <w:szCs w:val="36"/>
          <w:lang w:eastAsia="en-US" w:bidi="en-US"/>
        </w:rPr>
      </w:pPr>
      <w:r/>
      <w:bookmarkStart w:id="1246" w:name="_Toc198483682"/>
      <w:r/>
      <w:bookmarkStart w:id="1247" w:name="_Toc84971099"/>
      <w:r/>
      <w:bookmarkStart w:id="1248" w:name="_Toc9154953"/>
      <w:r/>
      <w:bookmarkStart w:id="1249" w:name="_Toc166767328"/>
      <w:r>
        <w:rPr>
          <w:rFonts w:eastAsia="Times New Roman" w:cs="Times New Roman"/>
          <w:b/>
          <w:smallCaps/>
          <w:spacing w:val="0"/>
          <w:sz w:val="28"/>
          <w:szCs w:val="36"/>
          <w:lang w:eastAsia="en-US" w:bidi="en-US"/>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1246"/>
      <w:r/>
      <w:bookmarkEnd w:id="1247"/>
      <w:r/>
      <w:bookmarkEnd w:id="1248"/>
      <w:r/>
      <w:bookmarkEnd w:id="1249"/>
      <w:r/>
      <w:r>
        <w:rPr>
          <w:rFonts w:ascii="Times New Roman" w:hAnsi="Times New Roman" w:eastAsia="Times New Roman" w:cs="Times New Roman"/>
          <w:b/>
          <w:smallCaps/>
          <w:spacing w:val="0"/>
          <w:sz w:val="28"/>
          <w:szCs w:val="36"/>
          <w:lang w:eastAsia="en-US" w:bidi="en-US"/>
        </w:rPr>
      </w:r>
    </w:p>
    <w:p>
      <w:pPr>
        <w:pStyle w:val="12960"/>
        <w:pBdr/>
        <w:spacing/>
        <w:ind/>
        <w:rPr/>
      </w:pPr>
      <w:r/>
      <w:r/>
      <w:r/>
      <w:r>
        <w:t xml:space="preserve">На территории муниципального образования Астаповское по состоянию на 01.01.2026г. одна теплоснабжающая организация, производящие и транспортирующие тепловую энергию потребителям: </w:t>
      </w:r>
      <w:r/>
    </w:p>
    <w:p>
      <w:pPr>
        <w:pStyle w:val="13832"/>
        <w:numPr>
          <w:ilvl w:val="0"/>
          <w:numId w:val="61"/>
        </w:numPr>
        <w:pBdr/>
        <w:spacing/>
        <w:ind w:hanging="284" w:left="1135"/>
        <w:rPr/>
      </w:pPr>
      <w:r>
        <w:t xml:space="preserve">ООО «АГК». </w:t>
      </w:r>
      <w:r/>
    </w:p>
    <w:p>
      <w:pPr>
        <w:pStyle w:val="12960"/>
        <w:pBdr/>
        <w:spacing/>
        <w:ind/>
        <w:rPr>
          <w:color w:val="auto"/>
        </w:rPr>
      </w:pPr>
      <w:r>
        <w:rPr>
          <w:color w:val="auto"/>
        </w:rPr>
        <w:t xml:space="preserve">Система централизованного теплоснабжения (СЦТ) муниципального образования состоит из 1 секционированной зоны действия (эксплуатационной ответственности) теплоснабжающих и теплосетевых организаций, представляет собой:</w:t>
      </w:r>
      <w:r>
        <w:rPr>
          <w:color w:val="auto"/>
        </w:rPr>
      </w:r>
    </w:p>
    <w:p>
      <w:pPr>
        <w:pStyle w:val="13832"/>
        <w:numPr>
          <w:ilvl w:val="0"/>
          <w:numId w:val="61"/>
        </w:numPr>
        <w:pBdr/>
        <w:spacing/>
        <w:ind w:hanging="284" w:left="1135"/>
        <w:rPr>
          <w:rFonts w:eastAsia="Calibri"/>
        </w:rPr>
      </w:pPr>
      <w:r>
        <w:rPr>
          <w:rFonts w:eastAsia="Calibri"/>
        </w:rPr>
        <w:t xml:space="preserve">СЦТ 1 - зона действия ООО «АГК». </w:t>
      </w:r>
      <w:r>
        <w:rPr>
          <w:rFonts w:eastAsia="Calibri"/>
        </w:rPr>
      </w:r>
    </w:p>
    <w:p>
      <w:pPr>
        <w:pStyle w:val="12960"/>
        <w:pBdr/>
        <w:spacing/>
        <w:ind/>
        <w:rPr/>
      </w:pPr>
      <w:r>
        <w:t xml:space="preserve">Поставку (транспортировку) тепловой энергии от котельной до потребителей обеспечивают ООО «АГК»</w:t>
      </w:r>
      <w:r/>
    </w:p>
    <w:p>
      <w:pPr>
        <w:pStyle w:val="12960"/>
        <w:pBdr/>
        <w:spacing/>
        <w:ind/>
        <w:rPr/>
      </w:pPr>
      <w:r/>
      <w:bookmarkStart w:id="1253" w:name="_Hlk216660386"/>
      <w:r>
        <w:t xml:space="preserve">Система централизованного теплоснабжения (СЦТ) муниципального образования состоит из 3 технологических зон:</w:t>
      </w:r>
      <w:bookmarkEnd w:id="1253"/>
      <w:r/>
      <w:r/>
    </w:p>
    <w:p>
      <w:pPr>
        <w:pStyle w:val="13832"/>
        <w:numPr>
          <w:ilvl w:val="0"/>
          <w:numId w:val="61"/>
        </w:numPr>
        <w:pBdr/>
        <w:spacing/>
        <w:ind w:hanging="284" w:left="1135"/>
        <w:rPr/>
      </w:pPr>
      <w:r>
        <w:t xml:space="preserve">СЦТ 1 - Зона действия источника тепловой энергии Котельная №5 д. Ясенки;</w:t>
      </w:r>
      <w:r/>
    </w:p>
    <w:p>
      <w:pPr>
        <w:pStyle w:val="13832"/>
        <w:numPr>
          <w:ilvl w:val="0"/>
          <w:numId w:val="61"/>
        </w:numPr>
        <w:pBdr/>
        <w:spacing/>
        <w:ind w:hanging="284" w:left="1135"/>
        <w:rPr/>
      </w:pPr>
      <w:r>
        <w:t xml:space="preserve">СЦТ 2 - Зона действия источника тепловой энергии Котельная №6 п. Первомайский;</w:t>
      </w:r>
      <w:r/>
    </w:p>
    <w:p>
      <w:pPr>
        <w:pStyle w:val="13832"/>
        <w:numPr>
          <w:ilvl w:val="0"/>
          <w:numId w:val="61"/>
        </w:numPr>
        <w:pBdr/>
        <w:spacing/>
        <w:ind w:hanging="284" w:left="1135"/>
        <w:rPr/>
      </w:pPr>
      <w:r>
        <w:t xml:space="preserve">СЦТ 3 - Зона действия источника тепловой энергии Котельная №7 с. Белый Колодезь.</w:t>
      </w:r>
      <w:r/>
    </w:p>
    <w:p>
      <w:pPr>
        <w:pStyle w:val="13832"/>
        <w:numPr>
          <w:ilvl w:val="0"/>
          <w:numId w:val="0"/>
        </w:numPr>
        <w:pBdr/>
        <w:spacing/>
        <w:ind w:firstLine="0" w:left="0"/>
        <w:rPr/>
        <w:sectPr>
          <w:headerReference w:type="default" r:id="rId248"/>
          <w:headerReference w:type="first" r:id="rId249"/>
          <w:footerReference w:type="default" r:id="rId517"/>
          <w:footerReference w:type="first" r:id="rId518"/>
          <w:footnotePr/>
          <w:endnotePr/>
          <w:type w:val="nextPage"/>
          <w:pgSz w:h="16838" w:orient="portrait" w:w="11906"/>
          <w:pgMar w:top="1134" w:right="850" w:bottom="1134" w:left="1701" w:header="708" w:footer="708" w:gutter="0"/>
          <w:cols w:num="1" w:sep="0" w:space="1701" w:equalWidth="1"/>
        </w:sectPr>
      </w:pPr>
      <w:r/>
      <w:r/>
    </w:p>
    <w:p>
      <w:pPr>
        <w:pStyle w:val="12960"/>
        <w:pBdr/>
        <w:spacing/>
        <w:ind w:firstLine="0"/>
        <w:jc w:val="center"/>
        <w:rPr/>
      </w:pPr>
      <w:r>
        <mc:AlternateContent>
          <mc:Choice Requires="wpg">
            <w:drawing>
              <wp:inline xmlns:wp="http://schemas.openxmlformats.org/drawingml/2006/wordprocessingDrawing" distT="0" distB="0" distL="0" distR="0">
                <wp:extent cx="9239250" cy="5381625"/>
                <wp:effectExtent l="0" t="0" r="0" b="0"/>
                <wp:docPr id="58" name="Изображение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зображение18" descr=""/>
                        <pic:cNvPicPr>
                          <a:picLocks noChangeAspect="1"/>
                        </pic:cNvPicPr>
                        <pic:nvPr/>
                      </pic:nvPicPr>
                      <pic:blipFill rotWithShape="1">
                        <a:blip r:embed="rId617"/>
                        <a:srcRect l="14930" t="5494" r="5182" b="8852"/>
                        <a:stretch/>
                      </pic:blipFill>
                      <pic:spPr bwMode="auto">
                        <a:xfrm>
                          <a:off x="0" y="0"/>
                          <a:ext cx="9239250" cy="538162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1" o:spid="_x0000_s61" type="#_x0000_t75" style="width:727.50pt;height:423.75pt;mso-wrap-distance-left:0.00pt;mso-wrap-distance-top:0.00pt;mso-wrap-distance-right:0.00pt;mso-wrap-distance-bottom:0.00pt;z-index:1;" stroked="false">
                <v:imagedata r:id="rId617" o:title="" croptop="3601f" cropleft="9785f" cropbottom="5801f" cropright="3396f"/>
                <o:lock v:ext="edit" rotation="t"/>
              </v:shape>
            </w:pict>
          </mc:Fallback>
        </mc:AlternateContent>
      </w:r>
      <w:r>
        <w:t xml:space="preserve">Рисунок 15.1.1. – Зона действия (эксплуатационной ответственности) теплоснабжающей организации ООО «АГК»</w:t>
      </w:r>
      <w:r/>
    </w:p>
    <w:p>
      <w:pPr>
        <w:pStyle w:val="12960"/>
        <w:pBdr/>
        <w:spacing/>
        <w:ind w:firstLine="0"/>
        <w:rPr/>
      </w:pPr>
      <w:r>
        <mc:AlternateContent>
          <mc:Choice Requires="wpg">
            <w:drawing>
              <wp:inline xmlns:wp="http://schemas.openxmlformats.org/drawingml/2006/wordprocessingDrawing" distT="0" distB="0" distL="0" distR="0">
                <wp:extent cx="8991600" cy="5622925"/>
                <wp:effectExtent l="0" t="0" r="0" b="0"/>
                <wp:docPr id="59" name="Изображение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зображение19" descr=""/>
                        <pic:cNvPicPr>
                          <a:picLocks noChangeAspect="1"/>
                        </pic:cNvPicPr>
                        <pic:nvPr/>
                      </pic:nvPicPr>
                      <pic:blipFill rotWithShape="1">
                        <a:blip r:embed="rId618"/>
                        <a:srcRect l="6592" t="7715" r="18293" b="5822"/>
                        <a:stretch/>
                      </pic:blipFill>
                      <pic:spPr bwMode="auto">
                        <a:xfrm>
                          <a:off x="0" y="0"/>
                          <a:ext cx="8991600" cy="562292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2" o:spid="_x0000_s62" type="#_x0000_t75" style="width:708.00pt;height:442.75pt;mso-wrap-distance-left:0.00pt;mso-wrap-distance-top:0.00pt;mso-wrap-distance-right:0.00pt;mso-wrap-distance-bottom:0.00pt;z-index:1;" stroked="false">
                <v:imagedata r:id="rId618" o:title="" croptop="5056f" cropleft="4320f" cropbottom="3816f" cropright="11989f"/>
                <o:lock v:ext="edit" rotation="t"/>
              </v:shape>
            </w:pict>
          </mc:Fallback>
        </mc:AlternateContent>
      </w:r>
      <w:r>
        <w:t xml:space="preserve">Рисунок 15.1.2. – Зона действия (эксплуатационной ответственности) теплоснабжающей организации ООО «АГК»</w:t>
      </w:r>
      <w:r/>
    </w:p>
    <w:p>
      <w:pPr>
        <w:pStyle w:val="12960"/>
        <w:pBdr/>
        <w:spacing/>
        <w:ind w:firstLine="0"/>
        <w:rPr>
          <w:lang w:bidi="en-US"/>
        </w:rPr>
      </w:pPr>
      <w:r>
        <w:rPr>
          <w:lang w:bidi="en-US"/>
        </w:rPr>
      </w:r>
      <w:r>
        <w:rPr>
          <w:lang w:bidi="en-US"/>
        </w:rPr>
      </w:r>
    </w:p>
    <w:p>
      <w:pPr>
        <w:pStyle w:val="12960"/>
        <w:pBdr/>
        <w:spacing/>
        <w:ind w:firstLine="0"/>
        <w:rPr>
          <w:lang w:bidi="en-US"/>
        </w:rPr>
      </w:pPr>
      <w:r>
        <mc:AlternateContent>
          <mc:Choice Requires="wpg">
            <w:drawing>
              <wp:inline xmlns:wp="http://schemas.openxmlformats.org/drawingml/2006/wordprocessingDrawing" distT="0" distB="0" distL="0" distR="0">
                <wp:extent cx="8934450" cy="5275580"/>
                <wp:effectExtent l="0" t="0" r="0" b="0"/>
                <wp:docPr id="60" name="Изображение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зображение20" descr=""/>
                        <pic:cNvPicPr>
                          <a:picLocks noChangeAspect="1"/>
                        </pic:cNvPicPr>
                        <pic:nvPr/>
                      </pic:nvPicPr>
                      <pic:blipFill rotWithShape="1">
                        <a:blip r:embed="rId553"/>
                        <a:srcRect l="15135" t="12132" r="13212" b="9988"/>
                        <a:stretch/>
                      </pic:blipFill>
                      <pic:spPr bwMode="auto">
                        <a:xfrm>
                          <a:off x="0" y="0"/>
                          <a:ext cx="8934450" cy="527558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3" o:spid="_x0000_s63" type="#_x0000_t75" style="width:703.50pt;height:415.40pt;mso-wrap-distance-left:0.00pt;mso-wrap-distance-top:0.00pt;mso-wrap-distance-right:0.00pt;mso-wrap-distance-bottom:0.00pt;z-index:1;" stroked="false">
                <v:imagedata r:id="rId553" o:title="" croptop="7951f" cropleft="9919f" cropbottom="6546f" cropright="8659f"/>
                <o:lock v:ext="edit" rotation="t"/>
              </v:shape>
            </w:pict>
          </mc:Fallback>
        </mc:AlternateContent>
      </w:r>
      <w:r>
        <w:rPr>
          <w:lang w:bidi="en-US"/>
        </w:rPr>
      </w:r>
    </w:p>
    <w:p>
      <w:pPr>
        <w:pStyle w:val="12960"/>
        <w:pBdr/>
        <w:spacing/>
        <w:ind w:firstLine="0"/>
        <w:rPr>
          <w:lang w:bidi="en-US"/>
        </w:rPr>
        <w:sectPr>
          <w:headerReference w:type="default" r:id="rId250"/>
          <w:headerReference w:type="first" r:id="rId251"/>
          <w:footerReference w:type="default" r:id="rId519"/>
          <w:footerReference w:type="first" r:id="rId520"/>
          <w:footnotePr/>
          <w:endnotePr/>
          <w:type w:val="nextPage"/>
          <w:pgSz w:h="11906" w:orient="landscape" w:w="16838"/>
          <w:pgMar w:top="1701" w:right="1134" w:bottom="851" w:left="1134" w:header="680" w:footer="340" w:gutter="0"/>
          <w:cols w:num="1" w:sep="0" w:space="1701" w:equalWidth="1"/>
          <w:titlePg/>
        </w:sectPr>
      </w:pPr>
      <w:r>
        <w:t xml:space="preserve">Рисунок 15.1.3. – Зона действия (эксплуатационной ответственности) теплоснабжающей организации ООО «АГК»</w:t>
      </w:r>
      <w:r>
        <w:rPr>
          <w:lang w:bidi="en-US"/>
        </w:rPr>
      </w:r>
    </w:p>
    <w:p>
      <w:pPr>
        <w:pStyle w:val="10534"/>
        <w:numPr>
          <w:ilvl w:val="0"/>
          <w:numId w:val="201"/>
        </w:numPr>
        <w:pBdr/>
        <w:spacing/>
        <w:ind/>
        <w:rPr>
          <w:rFonts w:ascii="Times New Roman" w:hAnsi="Times New Roman" w:eastAsia="Times New Roman" w:cs="Times New Roman"/>
          <w:b/>
          <w:smallCaps/>
          <w:spacing w:val="0"/>
          <w:sz w:val="28"/>
          <w:szCs w:val="36"/>
          <w:lang w:eastAsia="en-US" w:bidi="en-US"/>
        </w:rPr>
      </w:pPr>
      <w:r/>
      <w:bookmarkStart w:id="1254" w:name="_Toc84971100"/>
      <w:r/>
      <w:bookmarkStart w:id="1255" w:name="_Toc9154954"/>
      <w:r/>
      <w:bookmarkStart w:id="1256" w:name="_Toc198483683"/>
      <w:r/>
      <w:bookmarkStart w:id="1257" w:name="_Toc166767329"/>
      <w:r>
        <w:rPr>
          <w:rFonts w:eastAsia="Times New Roman" w:cs="Times New Roman"/>
          <w:b/>
          <w:smallCaps/>
          <w:spacing w:val="0"/>
          <w:sz w:val="28"/>
          <w:szCs w:val="36"/>
          <w:lang w:eastAsia="en-US" w:bidi="en-US"/>
        </w:rPr>
        <w:t xml:space="preserve">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254"/>
      <w:r/>
      <w:bookmarkEnd w:id="1255"/>
      <w:r/>
      <w:bookmarkEnd w:id="1256"/>
      <w:r/>
      <w:bookmarkEnd w:id="1257"/>
      <w:r/>
      <w:r>
        <w:rPr>
          <w:rFonts w:ascii="Times New Roman" w:hAnsi="Times New Roman" w:eastAsia="Times New Roman" w:cs="Times New Roman"/>
          <w:b/>
          <w:smallCaps/>
          <w:spacing w:val="0"/>
          <w:sz w:val="28"/>
          <w:szCs w:val="36"/>
          <w:lang w:eastAsia="en-US" w:bidi="en-US"/>
        </w:rPr>
      </w:r>
    </w:p>
    <w:p>
      <w:pPr>
        <w:pStyle w:val="12960"/>
        <w:pBdr/>
        <w:spacing/>
        <w:ind/>
        <w:rPr/>
        <w:sectPr>
          <w:headerReference w:type="default" r:id="rId252"/>
          <w:headerReference w:type="first" r:id="rId253"/>
          <w:footerReference w:type="default" r:id="rId521"/>
          <w:footerReference w:type="first" r:id="rId522"/>
          <w:footnotePr/>
          <w:endnotePr/>
          <w:type w:val="nextPage"/>
          <w:pgSz w:h="16838" w:orient="portrait" w:w="11906"/>
          <w:pgMar w:top="1134" w:right="850" w:bottom="1134" w:left="1701" w:header="567" w:footer="454" w:gutter="0"/>
          <w:cols w:num="1" w:sep="0" w:space="1701" w:equalWidth="1"/>
        </w:sectPr>
      </w:pPr>
      <w:r/>
      <w:r/>
      <w:r>
        <w:t xml:space="preserve">ООО «АГК» является единственной теплоснабжающей организацией. Статусом единой теплоснабжающей организации наделена организация ООО «АГК» </w:t>
      </w:r>
      <w:r/>
    </w:p>
    <w:p>
      <w:pPr>
        <w:pStyle w:val="12960"/>
        <w:pBdr/>
        <w:spacing/>
        <w:ind/>
        <w:rPr>
          <w:b/>
          <w:bCs w:val="0"/>
        </w:rPr>
      </w:pPr>
      <w:r/>
      <w:bookmarkStart w:id="1260" w:name="sub_10491"/>
      <w:r/>
      <w:bookmarkStart w:id="1261" w:name="_Hlk173920832"/>
      <w:r>
        <w:rPr>
          <w:b/>
          <w:bCs w:val="0"/>
        </w:rPr>
        <w:t xml:space="preserve">Таблица 15.2.1 - Утвержденные единые теплоснабжающие организации (далее - ЕТО) в системах теплоснабжения на территории поселения, г</w:t>
      </w:r>
      <w:r>
        <w:rPr>
          <w:b/>
          <w:bCs w:val="0"/>
          <w:lang w:val="en-US"/>
        </w:rPr>
        <w:t xml:space="preserve">o</w:t>
      </w:r>
      <w:r>
        <w:rPr>
          <w:b/>
          <w:bCs w:val="0"/>
        </w:rPr>
        <w:t xml:space="preserve">родского округа, г</w:t>
      </w:r>
      <w:r>
        <w:rPr>
          <w:b/>
          <w:bCs w:val="0"/>
          <w:lang w:val="en-US"/>
        </w:rPr>
        <w:t xml:space="preserve">o</w:t>
      </w:r>
      <w:r>
        <w:rPr>
          <w:b/>
          <w:bCs w:val="0"/>
        </w:rPr>
        <w:t xml:space="preserve">рода федерального значения </w:t>
      </w:r>
      <w:bookmarkEnd w:id="1260"/>
      <w:r/>
      <w:bookmarkEnd w:id="1261"/>
      <w:r/>
      <w:r>
        <w:rPr>
          <w:b/>
          <w:bCs w:val="0"/>
        </w:rPr>
      </w:r>
    </w:p>
    <w:tbl>
      <w:tblPr>
        <w:jc w:val="center"/>
        <w:tblInd w:w="0" w:type="dxa"/>
        <w:tblW w:w="5000" w:type="pct"/>
        <w:tblCellMar>
          <w:left w:w="28" w:type="dxa"/>
          <w:top w:w="0" w:type="dxa"/>
          <w:right w:w="28" w:type="dxa"/>
          <w:bottom w:w="0" w:type="dxa"/>
        </w:tblCellMar>
        <w:tblBorders/>
        <w:tblLayout w:type="fixed"/>
        <w:tblLook w:val="0000" w:firstRow="0" w:lastRow="0" w:firstColumn="0" w:lastColumn="0" w:noHBand="0" w:noVBand="0"/>
      </w:tblPr>
      <w:tblGrid>
        <w:gridCol w:w="1455"/>
        <w:gridCol w:w="1456"/>
        <w:gridCol w:w="1683"/>
        <w:gridCol w:w="1649"/>
        <w:gridCol w:w="1649"/>
        <w:gridCol w:w="1483"/>
        <w:gridCol w:w="865"/>
        <w:gridCol w:w="1156"/>
        <w:gridCol w:w="1193"/>
        <w:gridCol w:w="1696"/>
      </w:tblGrid>
      <w:t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55" w:type="dxa"/>
            <w:vAlign w:val="center"/>
          </w:tcPr>
          <w:p>
            <w:pPr>
              <w:pStyle w:val="12385"/>
              <w:pBdr/>
              <w:spacing/>
              <w:ind/>
              <w:rPr/>
            </w:pPr>
            <w:r>
              <w:t xml:space="preserve">№ </w:t>
            </w:r>
            <w:r>
              <w:t xml:space="preserve">системы теплоснабжения</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56" w:type="dxa"/>
            <w:vAlign w:val="center"/>
          </w:tcPr>
          <w:p>
            <w:pPr>
              <w:pStyle w:val="12385"/>
              <w:pBdr/>
              <w:spacing/>
              <w:ind/>
              <w:rPr/>
            </w:pPr>
            <w:r>
              <w:t xml:space="preserve">Наименования источников тепловой энергии в системе теплоснабжения</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83" w:type="dxa"/>
            <w:vAlign w:val="center"/>
          </w:tcPr>
          <w:p>
            <w:pPr>
              <w:pStyle w:val="12385"/>
              <w:pBdr/>
              <w:spacing/>
              <w:ind/>
              <w:rPr/>
            </w:pPr>
            <w:r>
              <w:t xml:space="preserve">Теплоснабжающие (теплосетевые) организации в границах системы теплоснабжения</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t xml:space="preserve">Размер собственного капитала теплоснабжающей (теплосетевой) организации, тыс. руб.</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t xml:space="preserve">Объекты систем теплоснабжения в обслуживании теплоснабжающей (теплосетевой) организации</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483" w:type="dxa"/>
            <w:vAlign w:val="center"/>
          </w:tcPr>
          <w:p>
            <w:pPr>
              <w:pStyle w:val="12385"/>
              <w:pBdr/>
              <w:spacing/>
              <w:ind/>
              <w:rPr/>
            </w:pPr>
            <w:r>
              <w:t xml:space="preserve">Вид имущественного права</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65" w:type="dxa"/>
            <w:vAlign w:val="center"/>
          </w:tcPr>
          <w:p>
            <w:pPr>
              <w:pStyle w:val="12385"/>
              <w:pBdr/>
              <w:spacing/>
              <w:ind/>
              <w:rPr>
                <w:vertAlign w:val="superscript"/>
              </w:rPr>
            </w:pPr>
            <w:r>
              <w:t xml:space="preserve">Емкость тепловых сетей, м</w:t>
            </w:r>
            <w:r>
              <w:rPr>
                <w:vertAlign w:val="superscript"/>
              </w:rPr>
              <w:t xml:space="preserve">3</w:t>
            </w:r>
            <w:r>
              <w:rPr>
                <w:vertAlign w:val="superscript"/>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56" w:type="dxa"/>
            <w:vAlign w:val="center"/>
          </w:tcPr>
          <w:p>
            <w:pPr>
              <w:pStyle w:val="12385"/>
              <w:pBdr/>
              <w:spacing/>
              <w:ind/>
              <w:rPr/>
            </w:pPr>
            <w:r>
              <w:t xml:space="preserve">Информация о подаче заявки на присвоение статуса ЕТО</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193" w:type="dxa"/>
            <w:vAlign w:val="center"/>
          </w:tcPr>
          <w:p>
            <w:pPr>
              <w:pStyle w:val="12385"/>
              <w:pBdr/>
              <w:spacing/>
              <w:ind/>
              <w:rPr/>
            </w:pPr>
            <w:r>
              <w:t xml:space="preserve">N зоны деятельности</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96" w:type="dxa"/>
            <w:vAlign w:val="center"/>
          </w:tcPr>
          <w:p>
            <w:pPr>
              <w:pStyle w:val="12385"/>
              <w:pBdr/>
              <w:spacing/>
              <w:ind/>
              <w:rPr/>
            </w:pPr>
            <w:r>
              <w:t xml:space="preserve">Утвержденная ЕТО</w:t>
            </w:r>
            <w:r/>
          </w:p>
        </w:tc>
      </w:tr>
      <w:tr>
        <w:trPr/>
        <w:tc>
          <w:tcPr>
            <w:tcBorders>
              <w:top w:val="single" w:color="000000" w:sz="4" w:space="0"/>
              <w:left w:val="single" w:color="000000" w:sz="4" w:space="0"/>
              <w:bottom w:val="single" w:color="000000" w:sz="4" w:space="0"/>
              <w:right w:val="single" w:color="000000" w:sz="4" w:space="0"/>
            </w:tcBorders>
            <w:tcW w:w="1455" w:type="dxa"/>
            <w:vAlign w:val="center"/>
          </w:tcPr>
          <w:p>
            <w:pPr>
              <w:pStyle w:val="12385"/>
              <w:pBdr/>
              <w:spacing/>
              <w:ind/>
              <w:rPr/>
            </w:pPr>
            <w:r>
              <w:t xml:space="preserve">5</w:t>
            </w:r>
            <w:r/>
          </w:p>
        </w:tc>
        <w:tc>
          <w:tcPr>
            <w:tcBorders>
              <w:top w:val="single" w:color="000000" w:sz="4" w:space="0"/>
              <w:left w:val="single" w:color="000000" w:sz="4" w:space="0"/>
              <w:bottom w:val="single" w:color="000000" w:sz="4" w:space="0"/>
              <w:right w:val="single" w:color="000000" w:sz="4" w:space="0"/>
            </w:tcBorders>
            <w:tcW w:w="1456" w:type="dxa"/>
            <w:vAlign w:val="center"/>
          </w:tcPr>
          <w:p>
            <w:pPr>
              <w:pStyle w:val="12385"/>
              <w:pBdr/>
              <w:spacing/>
              <w:ind/>
              <w:rPr/>
            </w:pPr>
            <w:r>
              <w:t xml:space="preserve">Арсеньевский р-н, н.п. Ясенки, ул. Центральная 24</w:t>
            </w:r>
            <w:r/>
          </w:p>
        </w:tc>
        <w:tc>
          <w:tcPr>
            <w:tcBorders>
              <w:top w:val="single" w:color="000000" w:sz="4" w:space="0"/>
              <w:left w:val="single" w:color="000000" w:sz="4" w:space="0"/>
              <w:bottom w:val="single" w:color="000000" w:sz="4" w:space="0"/>
              <w:right w:val="single" w:color="000000" w:sz="4" w:space="0"/>
            </w:tcBorders>
            <w:tcW w:w="1683" w:type="dxa"/>
            <w:vAlign w:val="center"/>
          </w:tcPr>
          <w:p>
            <w:pPr>
              <w:pStyle w:val="12385"/>
              <w:pBdr/>
              <w:spacing/>
              <w:ind/>
              <w:rPr/>
            </w:pPr>
            <w:r>
              <w:t xml:space="preserve">ООО «АГК»</w:t>
            </w:r>
            <w:r/>
          </w:p>
        </w:tc>
        <w:tc>
          <w:tcPr>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t xml:space="preserve">школа</w:t>
            </w:r>
            <w:r/>
          </w:p>
        </w:tc>
        <w:tc>
          <w:tcPr>
            <w:tcBorders>
              <w:top w:val="single" w:color="000000" w:sz="4" w:space="0"/>
              <w:left w:val="single" w:color="000000" w:sz="4" w:space="0"/>
              <w:bottom w:val="single" w:color="000000" w:sz="4" w:space="0"/>
              <w:right w:val="single" w:color="000000" w:sz="4" w:space="0"/>
            </w:tcBorders>
            <w:tcW w:w="1483" w:type="dxa"/>
            <w:vAlign w:val="center"/>
          </w:tcPr>
          <w:p>
            <w:pPr>
              <w:pStyle w:val="12385"/>
              <w:pBdr/>
              <w:spacing/>
              <w:ind/>
              <w:rPr>
                <w:color w:val="000000"/>
              </w:rPr>
            </w:pPr>
            <w:r>
              <w:rPr>
                <w:color w:val="000000"/>
              </w:rPr>
              <w:t xml:space="preserve">Оперативное управление</w:t>
            </w:r>
            <w:r>
              <w:rPr>
                <w:color w:val="000000"/>
              </w:rPr>
            </w:r>
          </w:p>
        </w:tc>
        <w:tc>
          <w:tcPr>
            <w:tcBorders>
              <w:top w:val="single" w:color="000000" w:sz="4" w:space="0"/>
              <w:left w:val="single" w:color="000000" w:sz="4" w:space="0"/>
              <w:bottom w:val="single" w:color="000000" w:sz="4" w:space="0"/>
              <w:right w:val="single" w:color="000000" w:sz="4" w:space="0"/>
            </w:tcBorders>
            <w:tcW w:w="865" w:type="dxa"/>
            <w:vAlign w:val="center"/>
          </w:tcPr>
          <w:p>
            <w:pPr>
              <w:pStyle w:val="12385"/>
              <w:pBdr/>
              <w:spacing/>
              <w:ind/>
              <w:rPr/>
            </w:pPr>
            <w:r>
              <w:t xml:space="preserve">0,1</w:t>
            </w:r>
            <w:r/>
          </w:p>
        </w:tc>
        <w:tc>
          <w:tcPr>
            <w:tcBorders>
              <w:top w:val="single" w:color="000000" w:sz="4" w:space="0"/>
              <w:left w:val="single" w:color="000000" w:sz="4" w:space="0"/>
              <w:bottom w:val="single" w:color="000000" w:sz="4" w:space="0"/>
              <w:right w:val="single" w:color="000000" w:sz="4" w:space="0"/>
            </w:tcBorders>
            <w:tcW w:w="1156"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193"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96" w:type="dxa"/>
            <w:vAlign w:val="center"/>
            <w:vMerge w:val="restart"/>
          </w:tcPr>
          <w:p>
            <w:pPr>
              <w:pStyle w:val="12385"/>
              <w:pBdr/>
              <w:spacing/>
              <w:ind/>
              <w:rPr/>
            </w:pPr>
            <w:r>
              <w:t xml:space="preserve">Постановление администрации МО Арсеньевский район от 26.04.2023 № 160 «Об определении единого гарантирующего поставщика централизованного теплоснабжения в муниципальном образовании Арсеньевский район»</w:t>
            </w:r>
            <w:r/>
          </w:p>
        </w:tc>
      </w:tr>
      <w:tr>
        <w:trPr/>
        <w:tc>
          <w:tcPr>
            <w:tcBorders>
              <w:top w:val="single" w:color="000000" w:sz="4" w:space="0"/>
              <w:left w:val="single" w:color="000000" w:sz="4" w:space="0"/>
              <w:bottom w:val="single" w:color="000000" w:sz="4" w:space="0"/>
              <w:right w:val="single" w:color="000000" w:sz="4" w:space="0"/>
            </w:tcBorders>
            <w:tcW w:w="1455" w:type="dxa"/>
            <w:vAlign w:val="center"/>
          </w:tcPr>
          <w:p>
            <w:pPr>
              <w:pStyle w:val="12385"/>
              <w:pBdr/>
              <w:spacing/>
              <w:ind/>
              <w:rPr/>
            </w:pPr>
            <w:r>
              <w:t xml:space="preserve">6</w:t>
            </w:r>
            <w:r/>
          </w:p>
        </w:tc>
        <w:tc>
          <w:tcPr>
            <w:tcBorders>
              <w:top w:val="single" w:color="000000" w:sz="4" w:space="0"/>
              <w:left w:val="single" w:color="000000" w:sz="4" w:space="0"/>
              <w:bottom w:val="single" w:color="000000" w:sz="4" w:space="0"/>
              <w:right w:val="single" w:color="000000" w:sz="4" w:space="0"/>
            </w:tcBorders>
            <w:tcW w:w="1456" w:type="dxa"/>
            <w:vAlign w:val="center"/>
          </w:tcPr>
          <w:p>
            <w:pPr>
              <w:pStyle w:val="12385"/>
              <w:pBdr/>
              <w:spacing/>
              <w:ind/>
              <w:rPr/>
            </w:pPr>
            <w:r>
              <w:t xml:space="preserve">Арсеньевский р-н, н.п. Первомайский, Школьная 3а</w:t>
            </w:r>
            <w:r/>
          </w:p>
        </w:tc>
        <w:tc>
          <w:tcPr>
            <w:tcBorders>
              <w:top w:val="single" w:color="000000" w:sz="4" w:space="0"/>
              <w:left w:val="single" w:color="000000" w:sz="4" w:space="0"/>
              <w:bottom w:val="single" w:color="000000" w:sz="4" w:space="0"/>
              <w:right w:val="single" w:color="000000" w:sz="4" w:space="0"/>
            </w:tcBorders>
            <w:tcW w:w="1683" w:type="dxa"/>
            <w:vAlign w:val="center"/>
          </w:tcPr>
          <w:p>
            <w:pPr>
              <w:pStyle w:val="12385"/>
              <w:pBdr/>
              <w:spacing/>
              <w:ind/>
              <w:rPr/>
            </w:pPr>
            <w:r>
              <w:t xml:space="preserve">ООО «АГК»</w:t>
            </w:r>
            <w:r/>
          </w:p>
        </w:tc>
        <w:tc>
          <w:tcPr>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t xml:space="preserve">школа</w:t>
            </w:r>
            <w:r/>
          </w:p>
        </w:tc>
        <w:tc>
          <w:tcPr>
            <w:tcBorders>
              <w:top w:val="single" w:color="000000" w:sz="4" w:space="0"/>
              <w:left w:val="single" w:color="000000" w:sz="4" w:space="0"/>
              <w:bottom w:val="single" w:color="000000" w:sz="4" w:space="0"/>
              <w:right w:val="single" w:color="000000" w:sz="4" w:space="0"/>
            </w:tcBorders>
            <w:tcW w:w="1483" w:type="dxa"/>
            <w:vAlign w:val="center"/>
          </w:tcPr>
          <w:p>
            <w:pPr>
              <w:pStyle w:val="12385"/>
              <w:pBdr/>
              <w:spacing/>
              <w:ind/>
              <w:rPr>
                <w:color w:val="000000"/>
              </w:rPr>
            </w:pPr>
            <w:r>
              <w:rPr>
                <w:color w:val="000000"/>
              </w:rPr>
              <w:t xml:space="preserve">Оперативное управление</w:t>
            </w:r>
            <w:r>
              <w:rPr>
                <w:color w:val="000000"/>
              </w:rPr>
            </w:r>
          </w:p>
        </w:tc>
        <w:tc>
          <w:tcPr>
            <w:tcBorders>
              <w:top w:val="single" w:color="000000" w:sz="4" w:space="0"/>
              <w:left w:val="single" w:color="000000" w:sz="4" w:space="0"/>
              <w:bottom w:val="single" w:color="000000" w:sz="4" w:space="0"/>
              <w:right w:val="single" w:color="000000" w:sz="4" w:space="0"/>
            </w:tcBorders>
            <w:tcW w:w="865" w:type="dxa"/>
            <w:vAlign w:val="center"/>
          </w:tcPr>
          <w:p>
            <w:pPr>
              <w:pStyle w:val="12385"/>
              <w:pBdr/>
              <w:spacing/>
              <w:ind/>
              <w:rPr/>
            </w:pPr>
            <w:r>
              <w:t xml:space="preserve">0,03</w:t>
            </w:r>
            <w:r/>
          </w:p>
        </w:tc>
        <w:tc>
          <w:tcPr>
            <w:tcBorders>
              <w:top w:val="single" w:color="000000" w:sz="4" w:space="0"/>
              <w:left w:val="single" w:color="000000" w:sz="4" w:space="0"/>
              <w:bottom w:val="single" w:color="000000" w:sz="4" w:space="0"/>
              <w:right w:val="single" w:color="000000" w:sz="4" w:space="0"/>
            </w:tcBorders>
            <w:tcW w:w="1156"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193"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96" w:type="dxa"/>
            <w:vAlign w:val="center"/>
            <w:vMerge w:val="continue"/>
          </w:tcPr>
          <w:p>
            <w:pPr>
              <w:pStyle w:val="12385"/>
              <w:pBdr/>
              <w:spacing/>
              <w:ind/>
              <w:rPr/>
            </w:pPr>
            <w:r/>
            <w:r/>
          </w:p>
        </w:tc>
      </w:tr>
      <w:tr>
        <w:trPr/>
        <w:tc>
          <w:tcPr>
            <w:tcBorders>
              <w:top w:val="single" w:color="000000" w:sz="4" w:space="0"/>
              <w:left w:val="single" w:color="000000" w:sz="4" w:space="0"/>
              <w:bottom w:val="single" w:color="000000" w:sz="4" w:space="0"/>
              <w:right w:val="single" w:color="000000" w:sz="4" w:space="0"/>
            </w:tcBorders>
            <w:tcW w:w="1455" w:type="dxa"/>
            <w:vAlign w:val="center"/>
          </w:tcPr>
          <w:p>
            <w:pPr>
              <w:pStyle w:val="12385"/>
              <w:pBdr/>
              <w:spacing/>
              <w:ind/>
              <w:rPr/>
            </w:pPr>
            <w:r>
              <w:t xml:space="preserve">7</w:t>
            </w:r>
            <w:r/>
          </w:p>
        </w:tc>
        <w:tc>
          <w:tcPr>
            <w:tcBorders>
              <w:top w:val="single" w:color="000000" w:sz="4" w:space="0"/>
              <w:left w:val="single" w:color="000000" w:sz="4" w:space="0"/>
              <w:bottom w:val="single" w:color="000000" w:sz="4" w:space="0"/>
              <w:right w:val="single" w:color="000000" w:sz="4" w:space="0"/>
            </w:tcBorders>
            <w:tcW w:w="1456" w:type="dxa"/>
            <w:vAlign w:val="center"/>
          </w:tcPr>
          <w:p>
            <w:pPr>
              <w:pStyle w:val="12385"/>
              <w:pBdr/>
              <w:spacing/>
              <w:ind/>
              <w:rPr/>
            </w:pPr>
            <w:r>
              <w:t xml:space="preserve">Арсеньевский р-н, н.п. Белый Колодезь, ул. Школьная 24</w:t>
            </w:r>
            <w:r/>
          </w:p>
        </w:tc>
        <w:tc>
          <w:tcPr>
            <w:tcBorders>
              <w:top w:val="single" w:color="000000" w:sz="4" w:space="0"/>
              <w:left w:val="single" w:color="000000" w:sz="4" w:space="0"/>
              <w:bottom w:val="single" w:color="000000" w:sz="4" w:space="0"/>
              <w:right w:val="single" w:color="000000" w:sz="4" w:space="0"/>
            </w:tcBorders>
            <w:tcW w:w="1683" w:type="dxa"/>
            <w:vAlign w:val="center"/>
          </w:tcPr>
          <w:p>
            <w:pPr>
              <w:pStyle w:val="12385"/>
              <w:pBdr/>
              <w:spacing/>
              <w:ind/>
              <w:rPr/>
            </w:pPr>
            <w:r>
              <w:t xml:space="preserve">ООО «АГК»</w:t>
            </w:r>
            <w:r/>
          </w:p>
        </w:tc>
        <w:tc>
          <w:tcPr>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49" w:type="dxa"/>
            <w:vAlign w:val="center"/>
          </w:tcPr>
          <w:p>
            <w:pPr>
              <w:pStyle w:val="12385"/>
              <w:pBdr/>
              <w:spacing/>
              <w:ind/>
              <w:rPr/>
            </w:pPr>
            <w:r>
              <w:t xml:space="preserve">школа</w:t>
            </w:r>
            <w:r/>
          </w:p>
        </w:tc>
        <w:tc>
          <w:tcPr>
            <w:tcBorders>
              <w:top w:val="single" w:color="000000" w:sz="4" w:space="0"/>
              <w:left w:val="single" w:color="000000" w:sz="4" w:space="0"/>
              <w:bottom w:val="single" w:color="000000" w:sz="4" w:space="0"/>
              <w:right w:val="single" w:color="000000" w:sz="4" w:space="0"/>
            </w:tcBorders>
            <w:tcW w:w="1483" w:type="dxa"/>
            <w:vAlign w:val="center"/>
          </w:tcPr>
          <w:p>
            <w:pPr>
              <w:pStyle w:val="12385"/>
              <w:pBdr/>
              <w:spacing/>
              <w:ind/>
              <w:rPr>
                <w:color w:val="000000"/>
              </w:rPr>
            </w:pPr>
            <w:r>
              <w:rPr>
                <w:color w:val="000000"/>
              </w:rPr>
              <w:t xml:space="preserve">Оперативное управление</w:t>
            </w:r>
            <w:r>
              <w:rPr>
                <w:color w:val="000000"/>
              </w:rPr>
            </w:r>
          </w:p>
        </w:tc>
        <w:tc>
          <w:tcPr>
            <w:tcBorders>
              <w:top w:val="single" w:color="000000" w:sz="4" w:space="0"/>
              <w:left w:val="single" w:color="000000" w:sz="4" w:space="0"/>
              <w:bottom w:val="single" w:color="000000" w:sz="4" w:space="0"/>
              <w:right w:val="single" w:color="000000" w:sz="4" w:space="0"/>
            </w:tcBorders>
            <w:tcW w:w="865" w:type="dxa"/>
            <w:vAlign w:val="center"/>
          </w:tcPr>
          <w:p>
            <w:pPr>
              <w:pStyle w:val="12385"/>
              <w:pBdr/>
              <w:spacing/>
              <w:ind/>
              <w:rPr/>
            </w:pPr>
            <w:r>
              <w:t xml:space="preserve">0,1</w:t>
            </w:r>
            <w:r/>
          </w:p>
        </w:tc>
        <w:tc>
          <w:tcPr>
            <w:tcBorders>
              <w:top w:val="single" w:color="000000" w:sz="4" w:space="0"/>
              <w:left w:val="single" w:color="000000" w:sz="4" w:space="0"/>
              <w:bottom w:val="single" w:color="000000" w:sz="4" w:space="0"/>
              <w:right w:val="single" w:color="000000" w:sz="4" w:space="0"/>
            </w:tcBorders>
            <w:tcW w:w="1156"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193"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1696" w:type="dxa"/>
            <w:vAlign w:val="center"/>
            <w:vMerge w:val="continue"/>
          </w:tcPr>
          <w:p>
            <w:pPr>
              <w:pStyle w:val="12385"/>
              <w:pBdr/>
              <w:spacing/>
              <w:ind/>
              <w:rPr/>
            </w:pPr>
            <w:r/>
            <w:r/>
          </w:p>
        </w:tc>
      </w:tr>
    </w:tbl>
    <w:p>
      <w:pPr>
        <w:pStyle w:val="12960"/>
        <w:pBdr/>
        <w:spacing/>
        <w:ind/>
        <w:rPr/>
      </w:pPr>
      <w:r/>
      <w:r/>
    </w:p>
    <w:p>
      <w:pPr>
        <w:pStyle w:val="12960"/>
        <w:pBdr/>
        <w:spacing/>
        <w:ind/>
        <w:rPr/>
        <w:sectPr>
          <w:headerReference w:type="default" r:id="rId254"/>
          <w:headerReference w:type="first" r:id="rId255"/>
          <w:footerReference w:type="default" r:id="rId523"/>
          <w:footerReference w:type="first" r:id="rId524"/>
          <w:footnotePr/>
          <w:endnotePr/>
          <w:type w:val="nextPage"/>
          <w:pgSz w:h="11906" w:orient="landscape" w:w="16838"/>
          <w:pgMar w:top="1134" w:right="850" w:bottom="1134" w:left="1701" w:header="567" w:footer="454" w:gutter="0"/>
          <w:cols w:num="1" w:sep="0" w:space="1701" w:equalWidth="1"/>
        </w:sectPr>
      </w:pPr>
      <w:r/>
      <w:r/>
    </w:p>
    <w:p>
      <w:pPr>
        <w:pStyle w:val="10534"/>
        <w:numPr>
          <w:ilvl w:val="0"/>
          <w:numId w:val="202"/>
        </w:numPr>
        <w:pBdr/>
        <w:spacing/>
        <w:ind/>
        <w:rPr>
          <w:rFonts w:ascii="Times New Roman" w:hAnsi="Times New Roman" w:eastAsia="Times New Roman" w:cs="Times New Roman"/>
          <w:b/>
          <w:smallCaps/>
          <w:spacing w:val="0"/>
          <w:sz w:val="28"/>
          <w:szCs w:val="36"/>
          <w:lang w:eastAsia="en-US" w:bidi="en-US"/>
        </w:rPr>
      </w:pPr>
      <w:r/>
      <w:bookmarkStart w:id="1262" w:name="_Toc84971101"/>
      <w:r/>
      <w:bookmarkStart w:id="1263" w:name="_Toc9154955"/>
      <w:r/>
      <w:bookmarkStart w:id="1264" w:name="_Toc198483684"/>
      <w:r/>
      <w:bookmarkStart w:id="1265" w:name="_Toc166767330"/>
      <w:r>
        <w:rPr>
          <w:rFonts w:eastAsia="Times New Roman" w:cs="Times New Roman"/>
          <w:b/>
          <w:smallCaps/>
          <w:spacing w:val="0"/>
          <w:sz w:val="28"/>
          <w:szCs w:val="36"/>
          <w:lang w:eastAsia="en-US" w:bidi="en-US"/>
        </w:rPr>
        <w:t xml:space="preserve">Основания, в том числе критерии, в соответствии с которыми теплоснабжающей организации присвоен статус единой теплоснабжающей организации</w:t>
      </w:r>
      <w:bookmarkEnd w:id="1262"/>
      <w:r/>
      <w:bookmarkEnd w:id="1263"/>
      <w:r/>
      <w:bookmarkEnd w:id="1264"/>
      <w:r/>
      <w:bookmarkEnd w:id="1265"/>
      <w:r/>
      <w:r>
        <w:rPr>
          <w:rFonts w:ascii="Times New Roman" w:hAnsi="Times New Roman" w:eastAsia="Times New Roman" w:cs="Times New Roman"/>
          <w:b/>
          <w:smallCaps/>
          <w:spacing w:val="0"/>
          <w:sz w:val="28"/>
          <w:szCs w:val="36"/>
          <w:lang w:eastAsia="en-US" w:bidi="en-US"/>
        </w:rPr>
      </w:r>
    </w:p>
    <w:p>
      <w:pPr>
        <w:pStyle w:val="12960"/>
        <w:pBdr/>
        <w:spacing/>
        <w:ind/>
        <w:rPr/>
      </w:pPr>
      <w:r/>
      <w:r>
        <w:t xml:space="preserve">Критерии определени</w:t>
      </w:r>
      <w:r>
        <w:t xml:space="preserve">я единой теплоснабжающей организации утверждены постановлением Правительства Российской Федерации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r/>
    </w:p>
    <w:p>
      <w:pPr>
        <w:pStyle w:val="12960"/>
        <w:pBdr/>
        <w:spacing/>
        <w:ind/>
        <w:rPr/>
      </w:pPr>
      <w:r>
        <w:t xml:space="preserve">Согласно п. 4 ПП РФ от 08.08.2012 г. № 808 в проек</w:t>
      </w:r>
      <w:r>
        <w:t xml:space="preserve">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r/>
    </w:p>
    <w:p>
      <w:pPr>
        <w:pStyle w:val="12960"/>
        <w:pBdr/>
        <w:spacing/>
        <w:ind/>
        <w:rPr/>
      </w:pPr>
      <w:r>
        <w:t xml:space="preserve">В случае если на территории городского округа существуют несколько систем теплоснабжения, уполномоченные органы вправе:</w:t>
      </w:r>
      <w:r/>
    </w:p>
    <w:p>
      <w:pPr>
        <w:pStyle w:val="13832"/>
        <w:numPr>
          <w:ilvl w:val="0"/>
          <w:numId w:val="61"/>
        </w:numPr>
        <w:pBdr/>
        <w:spacing/>
        <w:ind w:hanging="284" w:left="1135"/>
        <w:rPr/>
      </w:pPr>
      <w:r>
        <w:t xml:space="preserve">определить единую теплоснабжающую организацию (организации) в каждой из систем теплоснабжения, расположенных в границах городского округа;</w:t>
      </w:r>
      <w:r/>
    </w:p>
    <w:p>
      <w:pPr>
        <w:pStyle w:val="13832"/>
        <w:numPr>
          <w:ilvl w:val="0"/>
          <w:numId w:val="61"/>
        </w:numPr>
        <w:pBdr/>
        <w:spacing/>
        <w:ind w:hanging="284" w:left="1135"/>
        <w:rPr/>
      </w:pPr>
      <w:r>
        <w:t xml:space="preserve">определить на несколько систем теплоснабжения единую теплоснабжающую организацию.</w:t>
      </w:r>
      <w:r/>
    </w:p>
    <w:p>
      <w:pPr>
        <w:pStyle w:val="10535"/>
        <w:keepNext w:val="true"/>
        <w:widowControl w:val="true"/>
        <w:numPr>
          <w:ilvl w:val="1"/>
          <w:numId w:val="13"/>
        </w:numPr>
        <w:pBdr/>
        <w:bidi w:val="false"/>
        <w:spacing w:after="240" w:before="360" w:line="360" w:lineRule="auto"/>
        <w:ind w:right="0" w:hanging="737" w:left="680"/>
        <w:jc w:val="center"/>
        <w:rPr>
          <w:rFonts w:cs="Times New Roman"/>
        </w:rPr>
      </w:pPr>
      <w:r>
        <w:rPr>
          <w:rFonts w:cs="Times New Roman"/>
        </w:rPr>
        <w:t xml:space="preserve">Порядок определения ЕТО</w:t>
      </w:r>
      <w:r>
        <w:rPr>
          <w:rFonts w:cs="Times New Roman"/>
        </w:rPr>
      </w:r>
    </w:p>
    <w:p>
      <w:pPr>
        <w:pStyle w:val="12960"/>
        <w:pBdr/>
        <w:spacing/>
        <w:ind/>
        <w:rPr/>
      </w:pPr>
      <w:r>
        <w:t xml:space="preserve">Для присвоения организации статуса единой теплоснабжающей организации на территории поселения, городского округа лица, владеющ</w:t>
      </w:r>
      <w:r>
        <w:t xml:space="preserve">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w:t>
      </w:r>
      <w:r>
        <w:t xml:space="preserve">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r/>
    </w:p>
    <w:p>
      <w:pPr>
        <w:pStyle w:val="12960"/>
        <w:pBdr/>
        <w:spacing/>
        <w:ind/>
        <w:rPr/>
      </w:pPr>
      <w:r>
        <w:t xml:space="preserve">Уполномоченные органы обязаны </w:t>
      </w:r>
      <w:r>
        <w:t xml:space="preserve">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r/>
    </w:p>
    <w:p>
      <w:pPr>
        <w:pStyle w:val="12960"/>
        <w:pBdr/>
        <w:spacing/>
        <w:ind/>
        <w:rPr/>
      </w:pPr>
      <w: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w:t>
      </w:r>
      <w:r>
        <w:t xml:space="preserve">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r/>
    </w:p>
    <w:p>
      <w:pPr>
        <w:pStyle w:val="12960"/>
        <w:pBdr/>
        <w:spacing/>
        <w:ind/>
        <w:rPr/>
      </w:pPr>
      <w: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w:t>
      </w:r>
      <w:r>
        <w:t xml:space="preserve">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w:t>
      </w:r>
      <w:r>
        <w:t xml:space="preserve">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rPr>
          <w:rFonts w:cs="Times New Roman"/>
        </w:rPr>
        <w:t xml:space="preserve">Критерии определения ЕТО</w:t>
      </w:r>
      <w:r>
        <w:rPr>
          <w:rFonts w:cs="Times New Roman"/>
        </w:rPr>
      </w:r>
    </w:p>
    <w:p>
      <w:pPr>
        <w:pStyle w:val="12960"/>
        <w:pBdr/>
        <w:spacing/>
        <w:ind/>
        <w:rPr/>
      </w:pPr>
      <w:r>
        <w:t xml:space="preserve">Критериями определения единой теплоснабжающей организации, согласно п. 7 ПП РФ № 808 от 08.08.2012 г., являются:</w:t>
      </w:r>
      <w:r/>
    </w:p>
    <w:p>
      <w:pPr>
        <w:pStyle w:val="13832"/>
        <w:numPr>
          <w:ilvl w:val="0"/>
          <w:numId w:val="61"/>
        </w:numPr>
        <w:pBdr/>
        <w:spacing/>
        <w:ind w:hanging="284" w:left="1135"/>
        <w:rPr/>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r/>
    </w:p>
    <w:p>
      <w:pPr>
        <w:pStyle w:val="13832"/>
        <w:numPr>
          <w:ilvl w:val="0"/>
          <w:numId w:val="61"/>
        </w:numPr>
        <w:pBdr/>
        <w:spacing/>
        <w:ind w:hanging="284" w:left="1135"/>
        <w:rPr/>
      </w:pPr>
      <w:r>
        <w:t xml:space="preserve">размер собственного капитала;</w:t>
      </w:r>
      <w:r/>
    </w:p>
    <w:p>
      <w:pPr>
        <w:pStyle w:val="13832"/>
        <w:numPr>
          <w:ilvl w:val="0"/>
          <w:numId w:val="61"/>
        </w:numPr>
        <w:pBdr/>
        <w:spacing/>
        <w:ind w:hanging="284" w:left="1135"/>
        <w:rPr/>
      </w:pPr>
      <w:r>
        <w:t xml:space="preserve">способность в лучшей мере обеспечить надежность теплоснабжения в соответствующей системе теплоснабжения.</w:t>
      </w:r>
      <w:r/>
    </w:p>
    <w:p>
      <w:pPr>
        <w:pStyle w:val="12960"/>
        <w:pBdr/>
        <w:spacing/>
        <w:ind/>
        <w:rPr/>
      </w:pPr>
      <w:r>
        <w:t xml:space="preserve">Для определения указанных критериев уполномоченный орган при актуализации схемы теплоснабжения вправе запрашивать у теплоснабжающих и теплосетевых организаций соответствующие сведения.</w:t>
      </w:r>
      <w:r/>
    </w:p>
    <w:p>
      <w:pPr>
        <w:pStyle w:val="12960"/>
        <w:pBdr/>
        <w:spacing/>
        <w:ind/>
        <w:rPr/>
      </w:pPr>
      <w:r>
        <w:t xml:space="preserve">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w:t>
      </w:r>
      <w:r>
        <w:t xml:space="preserve">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r/>
    </w:p>
    <w:p>
      <w:pPr>
        <w:pStyle w:val="12960"/>
        <w:pBdr/>
        <w:spacing/>
        <w:ind/>
        <w:rPr/>
      </w:pPr>
      <w:r>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r/>
    </w:p>
    <w:p>
      <w:pPr>
        <w:pStyle w:val="12960"/>
        <w:pBdr/>
        <w:spacing/>
        <w:ind/>
        <w:rPr/>
      </w:pPr>
      <w:r>
        <w:t xml:space="preserve">В случае если заявки на присвоение статуса единой теплоснабжающей организаци</w:t>
      </w:r>
      <w:r>
        <w:t xml:space="preserve">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w:t>
      </w:r>
      <w:r>
        <w:t xml:space="preserve">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w:t>
      </w:r>
      <w:r>
        <w:t xml:space="preserve">ы собственных капиталов этих организаций различаются не более чем на пять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r/>
    </w:p>
    <w:p>
      <w:pPr>
        <w:pStyle w:val="12960"/>
        <w:pBdr/>
        <w:spacing/>
        <w:ind/>
        <w:rPr/>
      </w:pPr>
      <w:r>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r/>
    </w:p>
    <w:p>
      <w:pPr>
        <w:pStyle w:val="12960"/>
        <w:pBdr/>
        <w:spacing/>
        <w:ind/>
        <w:rPr/>
      </w:pPr>
      <w:r>
        <w:t xml:space="preserve">Способность в лучшей мере обеспечить надежность теплоснабжения в соответствующей системе теплоснабжения определяется наличием у</w:t>
      </w:r>
      <w:r>
        <w:t xml:space="preserve">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r/>
    </w:p>
    <w:p>
      <w:pPr>
        <w:pStyle w:val="12960"/>
        <w:pBdr/>
        <w:spacing/>
        <w:ind/>
        <w:rPr/>
      </w:pPr>
      <w:r>
        <w:t xml:space="preserve">В случае если организациями не подано ни одной заявки на присвоение статуса единой теплоснабжающ</w:t>
      </w:r>
      <w:r>
        <w:t xml:space="preserve">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rPr>
          <w:rFonts w:cs="Times New Roman"/>
        </w:rPr>
        <w:t xml:space="preserve">Обязанности ЕТО</w:t>
      </w:r>
      <w:r>
        <w:rPr>
          <w:rFonts w:cs="Times New Roman"/>
        </w:rPr>
      </w:r>
    </w:p>
    <w:p>
      <w:pPr>
        <w:pStyle w:val="12960"/>
        <w:pBdr/>
        <w:spacing/>
        <w:ind/>
        <w:rPr/>
      </w:pPr>
      <w:r>
        <w:t xml:space="preserve">Единая теплоснабжающая организация при осуществлении своей деятельности, в соответствии с п. 12 ПП РФ от 08.08.2012 № 808, обязана:</w:t>
      </w:r>
      <w:r/>
    </w:p>
    <w:p>
      <w:pPr>
        <w:pStyle w:val="13832"/>
        <w:numPr>
          <w:ilvl w:val="0"/>
          <w:numId w:val="61"/>
        </w:numPr>
        <w:pBdr/>
        <w:spacing/>
        <w:ind w:hanging="284" w:left="1135"/>
        <w:rPr/>
      </w:pPr>
      <w:r>
        <w:t xml:space="preserve">заключать и исполнять договоры теплоснабжения с любыми обратившимися к ней потребителями тепловой энергии,</w:t>
      </w:r>
      <w:r>
        <w:t xml:space="preserve">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r/>
    </w:p>
    <w:p>
      <w:pPr>
        <w:pStyle w:val="13832"/>
        <w:numPr>
          <w:ilvl w:val="0"/>
          <w:numId w:val="61"/>
        </w:numPr>
        <w:pBdr/>
        <w:spacing/>
        <w:ind w:hanging="284" w:left="1135"/>
        <w:rPr>
          <w:sz w:val="26"/>
        </w:rPr>
      </w:pPr>
      <w:r>
        <w:rPr>
          <w:sz w:val="26"/>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r>
        <w:rPr>
          <w:sz w:val="26"/>
        </w:rPr>
      </w:r>
    </w:p>
    <w:p>
      <w:pPr>
        <w:pStyle w:val="13832"/>
        <w:numPr>
          <w:ilvl w:val="0"/>
          <w:numId w:val="61"/>
        </w:numPr>
        <w:pBdr/>
        <w:spacing/>
        <w:ind w:hanging="284" w:left="1135"/>
        <w:rPr>
          <w:sz w:val="26"/>
        </w:rPr>
      </w:pPr>
      <w:r>
        <w:rPr>
          <w:sz w:val="26"/>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r>
        <w:rPr>
          <w:sz w:val="26"/>
        </w:rPr>
      </w:r>
    </w:p>
    <w:p>
      <w:pPr>
        <w:pStyle w:val="12960"/>
        <w:pBdr/>
        <w:spacing/>
        <w:ind/>
        <w:rPr/>
      </w:pPr>
      <w:r>
        <w:t xml:space="preserve">Организация может утратить статус единой теплоснабжающей организации в следующих случаях:</w:t>
      </w:r>
      <w:r/>
    </w:p>
    <w:p>
      <w:pPr>
        <w:pStyle w:val="13832"/>
        <w:numPr>
          <w:ilvl w:val="0"/>
          <w:numId w:val="61"/>
        </w:numPr>
        <w:pBdr/>
        <w:spacing/>
        <w:ind w:hanging="284" w:left="1135"/>
        <w:rPr/>
      </w:pPr>
      <w:r>
        <w:t xml:space="preserve">− </w:t>
      </w:r>
      <w:r>
        <w:t xml:space="preserve">систематическое (три и более раза в течение 12 месяцев) неисполнение или ненадлежащее исполнение обязат</w:t>
      </w:r>
      <w:r>
        <w:t xml:space="preserve">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r/>
    </w:p>
    <w:p>
      <w:pPr>
        <w:pStyle w:val="13832"/>
        <w:numPr>
          <w:ilvl w:val="0"/>
          <w:numId w:val="61"/>
        </w:numPr>
        <w:pBdr/>
        <w:spacing/>
        <w:ind w:hanging="284" w:left="1135"/>
        <w:rPr/>
      </w:pPr>
      <w:r>
        <w:t xml:space="preserve">−</w:t>
      </w:r>
      <w:r>
        <w:t xml:space="preserve">принятие в установленном порядке решения о реорганизации (за исключением реорганизации в форме присоед</w:t>
      </w:r>
      <w:r>
        <w:t xml:space="preserve">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pPr>
      <w:r>
        <w:t xml:space="preserve">принятие арбитражным судом решения о признании организации, имеющей статус единой теплоснабжающей организации, банкротом;</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624" w:left="0"/>
        <w:jc w:val="both"/>
        <w:rPr/>
      </w:pPr>
      <w:r>
        <w:t xml:space="preserve">прекращение права собственности или вла</w:t>
      </w:r>
      <w:r>
        <w:t xml:space="preserve">дения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по основаниям, предусмотренным законодательством Российской Федерации;</w:t>
      </w: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567" w:left="0"/>
        <w:jc w:val="both"/>
        <w:rPr/>
      </w:pPr>
      <w:r>
        <w:t xml:space="preserve">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624" w:left="0"/>
        <w:jc w:val="both"/>
        <w:rPr/>
      </w:pPr>
      <w:r>
        <w:t xml:space="preserve">подача организацией заявления о прекращении осуществления функций единой теплоснабжающей организации.</w:t>
      </w:r>
      <w:r/>
    </w:p>
    <w:p>
      <w:pPr>
        <w:pStyle w:val="10535"/>
        <w:keepNext w:val="true"/>
        <w:widowControl w:val="true"/>
        <w:numPr>
          <w:ilvl w:val="1"/>
          <w:numId w:val="13"/>
        </w:numPr>
        <w:pBdr/>
        <w:bidi w:val="false"/>
        <w:spacing w:after="240" w:before="360" w:line="360" w:lineRule="auto"/>
        <w:ind w:right="0" w:hanging="737" w:left="737"/>
        <w:jc w:val="center"/>
        <w:rPr>
          <w:rFonts w:cs="Times New Roman"/>
        </w:rPr>
      </w:pPr>
      <w:r>
        <w:rPr>
          <w:rFonts w:cs="Times New Roman"/>
        </w:rPr>
        <w:t xml:space="preserve">Внесение изменений в зоны деятельности ЕТО</w:t>
      </w:r>
      <w:r>
        <w:rPr>
          <w:rFonts w:cs="Times New Roman"/>
        </w:rPr>
      </w:r>
    </w:p>
    <w:p>
      <w:pPr>
        <w:pStyle w:val="12960"/>
        <w:pBdr/>
        <w:spacing/>
        <w:ind/>
        <w:rPr/>
      </w:pPr>
      <w:r>
        <w:t xml:space="preserve">Границы зоны деятельности единой теплоснабжающей организации, в соответствии с п.19 ПП РФ от 08.08.2012 № 808, могут быть изменены в следующих случаях:</w:t>
      </w: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pPr>
      <w:r>
        <w:t xml:space="preserve">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r/>
    </w:p>
    <w:p>
      <w:pPr>
        <w:pStyle w:val="13832"/>
        <w:numPr>
          <w:ilvl w:val="0"/>
          <w:numId w:val="61"/>
        </w:numPr>
        <w:pBdr/>
        <w:spacing/>
        <w:ind w:hanging="284" w:left="1135"/>
        <w:rPr/>
      </w:pPr>
      <w:r>
        <w:t xml:space="preserve">технологическое объединение или разделение систем теплоснабжения.</w:t>
      </w:r>
      <w:r/>
    </w:p>
    <w:p>
      <w:pPr>
        <w:pStyle w:val="12960"/>
        <w:pBdr/>
        <w:spacing/>
        <w:ind/>
        <w:rPr/>
      </w:pPr>
      <w:r>
        <w:t xml:space="preserve">По данным базового периода на территории муниципального образования функционирует 3 котельных. В систему теплоснабжения помимо источника тепловой энергии входят тепловые сети и сооружения на них, тепловые вводы потребителей, объекты теплопотребления.</w:t>
      </w:r>
      <w:r/>
    </w:p>
    <w:p>
      <w:pPr>
        <w:pStyle w:val="12960"/>
        <w:pBdr/>
        <w:spacing/>
        <w:ind/>
        <w:rPr/>
      </w:pPr>
      <w:r>
        <w:t xml:space="preserve">Единой теплоснабжающей организацией в муниципальном образовании Астаповское наделена организация ООО «АГК»</w:t>
      </w:r>
      <w:r/>
    </w:p>
    <w:p>
      <w:pPr>
        <w:pStyle w:val="12960"/>
        <w:pBdr/>
        <w:spacing/>
        <w:ind/>
        <w:rPr/>
      </w:pPr>
      <w:r/>
      <w:bookmarkStart w:id="1267" w:name="_Hlk208774829"/>
      <w:r>
        <w:t xml:space="preserve">ООО «АГК» является единственной теплоснабжающей организацией в муниципальном образовании Астаповское и соответствует критериям единой теплоснабжающей организации.</w:t>
      </w:r>
      <w:bookmarkEnd w:id="1267"/>
      <w:r/>
      <w:r/>
    </w:p>
    <w:p>
      <w:pPr>
        <w:pStyle w:val="10533"/>
        <w:pBdr/>
        <w:spacing/>
        <w:ind/>
        <w:rPr/>
      </w:pPr>
      <w:r/>
      <w:r/>
    </w:p>
    <w:p>
      <w:pPr>
        <w:pStyle w:val="10533"/>
        <w:pBdr/>
        <w:spacing/>
        <w:ind/>
        <w:rPr/>
      </w:pPr>
      <w:r/>
      <w:r/>
    </w:p>
    <w:p>
      <w:pPr>
        <w:pStyle w:val="10533"/>
        <w:pBdr/>
        <w:spacing/>
        <w:ind/>
        <w:rPr/>
      </w:pPr>
      <w:r/>
      <w:r/>
    </w:p>
    <w:p>
      <w:pPr>
        <w:pStyle w:val="10533"/>
        <w:pBdr/>
        <w:spacing/>
        <w:ind/>
        <w:rPr/>
      </w:pPr>
      <w:r/>
      <w:r>
        <w:br w:type="page" w:clear="all"/>
      </w:r>
      <w:r/>
    </w:p>
    <w:p>
      <w:pPr>
        <w:pStyle w:val="10534"/>
        <w:numPr>
          <w:ilvl w:val="0"/>
          <w:numId w:val="203"/>
        </w:numPr>
        <w:pBdr/>
        <w:spacing/>
        <w:ind/>
        <w:rPr>
          <w:rFonts w:ascii="Times New Roman" w:hAnsi="Times New Roman" w:eastAsia="Times New Roman" w:cs="Times New Roman"/>
          <w:b/>
          <w:smallCaps/>
          <w:spacing w:val="0"/>
          <w:sz w:val="28"/>
          <w:szCs w:val="36"/>
          <w:lang w:eastAsia="en-US" w:bidi="en-US"/>
        </w:rPr>
      </w:pPr>
      <w:r/>
      <w:bookmarkStart w:id="1268" w:name="_Toc198483685"/>
      <w:r/>
      <w:bookmarkStart w:id="1269" w:name="_Toc166767331"/>
      <w:r/>
      <w:bookmarkStart w:id="1270" w:name="_Toc84971102"/>
      <w:r/>
      <w:bookmarkStart w:id="1271" w:name="_Toc9154956"/>
      <w:r>
        <w:rPr>
          <w:rFonts w:eastAsia="Times New Roman" w:cs="Times New Roman"/>
          <w:b/>
          <w:smallCaps/>
          <w:spacing w:val="0"/>
          <w:sz w:val="28"/>
          <w:szCs w:val="36"/>
          <w:lang w:eastAsia="en-US" w:bidi="en-US"/>
        </w:rPr>
        <w:t xml:space="preserve">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268"/>
      <w:r/>
      <w:bookmarkEnd w:id="1269"/>
      <w:r/>
      <w:bookmarkEnd w:id="1270"/>
      <w:r/>
      <w:bookmarkEnd w:id="1271"/>
      <w:r/>
      <w:r>
        <w:rPr>
          <w:rFonts w:ascii="Times New Roman" w:hAnsi="Times New Roman" w:eastAsia="Times New Roman" w:cs="Times New Roman"/>
          <w:b/>
          <w:smallCaps/>
          <w:spacing w:val="0"/>
          <w:sz w:val="28"/>
          <w:szCs w:val="36"/>
          <w:lang w:eastAsia="en-US" w:bidi="en-US"/>
        </w:rPr>
      </w:r>
    </w:p>
    <w:p>
      <w:pPr>
        <w:pStyle w:val="12960"/>
        <w:pBdr/>
        <w:spacing/>
        <w:ind/>
        <w:rPr/>
      </w:pPr>
      <w:r/>
      <w:bookmarkStart w:id="1272" w:name="_Hlk208775009"/>
      <w:r>
        <w:t xml:space="preserve">На момент актуализации Схемы теплоснабжения муниципального образования Астаповское новых заявок от теплоснабжающих организаций на присвоение статуса единой теплоснабжающей организации не поступало.</w:t>
      </w:r>
      <w:bookmarkEnd w:id="1272"/>
      <w:r>
        <w:t xml:space="preserve"> Единой теплоснабжающей организацией в муниципальном образовании Астаповское наделена организация ООО «АГК». </w:t>
      </w:r>
      <w:r>
        <w:br w:type="page" w:clear="all"/>
      </w:r>
      <w:r/>
    </w:p>
    <w:p>
      <w:pPr>
        <w:pStyle w:val="10534"/>
        <w:numPr>
          <w:ilvl w:val="0"/>
          <w:numId w:val="204"/>
        </w:numPr>
        <w:pBdr/>
        <w:spacing/>
        <w:ind/>
        <w:rPr>
          <w:rFonts w:ascii="Times New Roman" w:hAnsi="Times New Roman" w:eastAsia="Times New Roman" w:cs="Times New Roman"/>
          <w:b/>
          <w:smallCaps/>
          <w:spacing w:val="0"/>
          <w:sz w:val="28"/>
          <w:szCs w:val="36"/>
          <w:lang w:eastAsia="en-US" w:bidi="en-US"/>
        </w:rPr>
      </w:pPr>
      <w:r/>
      <w:bookmarkStart w:id="1273" w:name="_Toc9154957"/>
      <w:r/>
      <w:bookmarkStart w:id="1274" w:name="_Toc84971103"/>
      <w:r/>
      <w:bookmarkStart w:id="1275" w:name="_Toc198483686"/>
      <w:r/>
      <w:bookmarkStart w:id="1276" w:name="_Toc166767332"/>
      <w:r>
        <w:rPr>
          <w:rFonts w:eastAsia="Times New Roman" w:cs="Times New Roman"/>
          <w:b/>
          <w:smallCaps/>
          <w:spacing w:val="0"/>
          <w:sz w:val="28"/>
          <w:szCs w:val="36"/>
          <w:lang w:eastAsia="en-US" w:bidi="en-US"/>
        </w:rPr>
        <w:t xml:space="preserve">Описание границ зон деятельности единой теплоснабжающей организации (организаций)</w:t>
      </w:r>
      <w:bookmarkEnd w:id="1273"/>
      <w:r/>
      <w:bookmarkEnd w:id="1274"/>
      <w:r/>
      <w:bookmarkEnd w:id="1275"/>
      <w:r/>
      <w:bookmarkEnd w:id="1276"/>
      <w:r/>
      <w:r>
        <w:rPr>
          <w:rFonts w:ascii="Times New Roman" w:hAnsi="Times New Roman" w:eastAsia="Times New Roman" w:cs="Times New Roman"/>
          <w:b/>
          <w:smallCaps/>
          <w:spacing w:val="0"/>
          <w:sz w:val="28"/>
          <w:szCs w:val="36"/>
          <w:lang w:eastAsia="en-US" w:bidi="en-US"/>
        </w:rPr>
      </w:r>
    </w:p>
    <w:p>
      <w:pPr>
        <w:pStyle w:val="12960"/>
        <w:pBdr/>
        <w:spacing/>
        <w:ind/>
        <w:rPr/>
      </w:pPr>
      <w:r/>
      <w:bookmarkStart w:id="1277" w:name="_Hlk208775134"/>
      <w:r/>
      <w:bookmarkEnd w:id="1277"/>
      <w:r>
        <w:t xml:space="preserve">Единой теплоснабжающей организацией в муниципальном образовании Астаповское наделена организация ООО «АГК».</w:t>
      </w:r>
      <w:r/>
    </w:p>
    <w:p>
      <w:pPr>
        <w:pStyle w:val="12960"/>
        <w:pBdr/>
        <w:spacing/>
        <w:ind/>
        <w:rPr/>
      </w:pPr>
      <w:r>
        <w:t xml:space="preserve">Системы теплоснабжения ООО «АГК» о</w:t>
      </w:r>
      <w:r>
        <w:t xml:space="preserve">хватывает территорию муниципального образования Астаповское. Теплоснабжение обеспечивается от котельных установок эксплуатирующихся ООО «АГК», при этом осуществляется транспортировка тепловой энергии потребителям (через тепловые сети и сооружения на них). </w:t>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pPr>
      <w:r/>
      <w:r/>
    </w:p>
    <w:p>
      <w:pPr>
        <w:pStyle w:val="12960"/>
        <w:pBdr/>
        <w:spacing/>
        <w:ind/>
        <w:rPr/>
        <w:sectPr>
          <w:headerReference w:type="default" r:id="rId256"/>
          <w:headerReference w:type="first" r:id="rId257"/>
          <w:footerReference w:type="default" r:id="rId525"/>
          <w:footerReference w:type="even" r:id="rId526"/>
          <w:footerReference w:type="first" r:id="rId527"/>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pPr>
      <w:r/>
      <w:bookmarkStart w:id="1278" w:name="_Hlk208775134"/>
      <w:r/>
      <w:bookmarkStart w:id="1279" w:name="_Toc198483687"/>
      <w:r/>
      <w:bookmarkStart w:id="1280" w:name="_Toc166767333"/>
      <w:r/>
      <w:bookmarkStart w:id="1281" w:name="_Toc84971104"/>
      <w:r/>
      <w:bookmarkStart w:id="1282" w:name="_Toc9154958"/>
      <w:r/>
      <w:bookmarkEnd w:id="1278"/>
      <w:r>
        <w:rPr>
          <w:spacing w:val="0"/>
        </w:rPr>
        <w:t xml:space="preserve">ГЛАВА 16. РЕЕСТР МЕРОПРИЯТИЙ СХЕМЫ ТЕПЛОСНАБЖЕНИЯ</w:t>
      </w:r>
      <w:bookmarkEnd w:id="1279"/>
      <w:r/>
      <w:bookmarkEnd w:id="1280"/>
      <w:r/>
      <w:bookmarkEnd w:id="1281"/>
      <w:r/>
      <w:bookmarkEnd w:id="1282"/>
      <w:r/>
      <w:r>
        <w:rPr>
          <w:spacing w:val="0"/>
        </w:rPr>
      </w:r>
    </w:p>
    <w:p>
      <w:pPr>
        <w:pStyle w:val="10533"/>
        <w:pBdr/>
        <w:spacing/>
        <w:ind/>
        <w:rPr/>
        <w:sectPr>
          <w:headerReference w:type="default" r:id="rId258"/>
          <w:headerReference w:type="first" r:id="rId259"/>
          <w:footerReference w:type="default" r:id="rId528"/>
          <w:footerReference w:type="first" r:id="rId529"/>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205"/>
        </w:numPr>
        <w:pBdr/>
        <w:spacing/>
        <w:ind/>
        <w:rPr>
          <w:rFonts w:ascii="Times New Roman" w:hAnsi="Times New Roman" w:eastAsia="Times New Roman" w:cs="Times New Roman"/>
          <w:b/>
          <w:smallCaps/>
          <w:spacing w:val="0"/>
          <w:sz w:val="28"/>
          <w:szCs w:val="36"/>
          <w:lang w:eastAsia="en-US" w:bidi="en-US"/>
        </w:rPr>
      </w:pPr>
      <w:r/>
      <w:bookmarkStart w:id="1283" w:name="_Toc198483688"/>
      <w:r/>
      <w:bookmarkStart w:id="1284" w:name="_Toc166767334"/>
      <w:r/>
      <w:bookmarkStart w:id="1285" w:name="_Toc84971105"/>
      <w:r/>
      <w:bookmarkStart w:id="1286" w:name="_Toc9154959"/>
      <w:r>
        <w:rPr>
          <w:rFonts w:eastAsia="Times New Roman" w:cs="Times New Roman"/>
          <w:b/>
          <w:smallCaps/>
          <w:spacing w:val="0"/>
          <w:sz w:val="28"/>
          <w:szCs w:val="36"/>
          <w:lang w:eastAsia="en-US" w:bidi="en-US"/>
        </w:rPr>
        <w:t xml:space="preserve">Перечень мероприятий по строительству, реконструкции, техническому перевооружению и (или) модернизации источников тепловой энергии</w:t>
      </w:r>
      <w:bookmarkEnd w:id="1283"/>
      <w:r/>
      <w:bookmarkEnd w:id="1284"/>
      <w:r/>
      <w:bookmarkEnd w:id="1285"/>
      <w:r/>
      <w:bookmarkEnd w:id="1286"/>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Перечень мероприятий по строительству, реконструкции источников представлен в таблице.</w:t>
      </w:r>
      <w:r/>
    </w:p>
    <w:p>
      <w:pPr>
        <w:pStyle w:val="12960"/>
        <w:pBdr/>
        <w:spacing/>
        <w:ind/>
        <w:rPr>
          <w:b/>
          <w:bCs w:val="0"/>
        </w:rPr>
      </w:pPr>
      <w:r/>
      <w:bookmarkStart w:id="1287" w:name="_bookmark549"/>
      <w:r/>
      <w:bookmarkEnd w:id="1287"/>
      <w:r>
        <w:rPr>
          <w:b/>
          <w:bCs w:val="0"/>
        </w:rPr>
        <w:t xml:space="preserve">Перечень мероприятий по строительству, реконструкции источников:</w:t>
      </w:r>
      <w:r>
        <w:rPr>
          <w:b/>
          <w:bCs w:val="0"/>
        </w:rPr>
      </w:r>
    </w:p>
    <w:p>
      <w:pPr>
        <w:pStyle w:val="13832"/>
        <w:numPr>
          <w:ilvl w:val="0"/>
          <w:numId w:val="61"/>
        </w:numPr>
        <w:pBdr/>
        <w:spacing/>
        <w:ind w:hanging="284" w:left="1135"/>
        <w:rPr/>
      </w:pPr>
      <w:r>
        <w:t xml:space="preserve">Техническое обследование сооружений и сетей теплоснабжения;</w:t>
      </w:r>
      <w:r/>
    </w:p>
    <w:p>
      <w:pPr>
        <w:pStyle w:val="13832"/>
        <w:numPr>
          <w:ilvl w:val="0"/>
          <w:numId w:val="61"/>
        </w:numPr>
        <w:pBdr/>
        <w:spacing/>
        <w:ind w:hanging="284" w:left="1135"/>
        <w:rPr/>
      </w:pPr>
      <w:r>
        <w:t xml:space="preserve">Установка водоподготовительных установок;</w:t>
      </w:r>
      <w:r/>
    </w:p>
    <w:p>
      <w:pPr>
        <w:pStyle w:val="13832"/>
        <w:numPr>
          <w:ilvl w:val="0"/>
          <w:numId w:val="61"/>
        </w:numPr>
        <w:pBdr/>
        <w:spacing/>
        <w:ind w:hanging="284" w:left="1135"/>
        <w:rPr/>
        <w:sectPr>
          <w:headerReference w:type="default" r:id="rId260"/>
          <w:headerReference w:type="first" r:id="rId261"/>
          <w:footerReference w:type="default" r:id="rId530"/>
          <w:footerReference w:type="even" r:id="rId531"/>
          <w:footerReference w:type="first" r:id="rId532"/>
          <w:footnotePr/>
          <w:endnotePr/>
          <w:type w:val="nextPage"/>
          <w:pgSz w:h="16838" w:orient="portrait" w:w="11906"/>
          <w:pgMar w:top="1134" w:right="850" w:bottom="1134" w:left="1701" w:header="567" w:footer="454" w:gutter="0"/>
          <w:cols w:num="1" w:sep="0" w:space="1701" w:equalWidth="1"/>
        </w:sectPr>
      </w:pPr>
      <w:r>
        <w:t xml:space="preserve">Установка дизель-генераторных установок;</w:t>
      </w:r>
      <w:r/>
    </w:p>
    <w:p>
      <w:pPr>
        <w:pStyle w:val="10534"/>
        <w:numPr>
          <w:ilvl w:val="0"/>
          <w:numId w:val="206"/>
        </w:numPr>
        <w:pBdr/>
        <w:spacing/>
        <w:ind w:hanging="357" w:left="1066"/>
        <w:rPr>
          <w:spacing w:val="0"/>
        </w:rPr>
      </w:pPr>
      <w:r/>
      <w:bookmarkStart w:id="1288" w:name="_Toc198483689"/>
      <w:r/>
      <w:bookmarkStart w:id="1289" w:name="_Toc166767335"/>
      <w:r/>
      <w:bookmarkStart w:id="1290" w:name="_Toc84971106"/>
      <w:r/>
      <w:bookmarkStart w:id="1291" w:name="_Toc9154960"/>
      <w:r>
        <w:rPr>
          <w:spacing w:val="0"/>
        </w:rPr>
        <w:t xml:space="preserve">Перечень мероприятий по строительству, реконструкции, техническому перевооружению и (или) модернизации тепловых сетей и сооружений на них</w:t>
      </w:r>
      <w:bookmarkEnd w:id="1288"/>
      <w:r/>
      <w:bookmarkEnd w:id="1289"/>
      <w:r/>
      <w:bookmarkEnd w:id="1290"/>
      <w:r/>
      <w:bookmarkEnd w:id="1291"/>
      <w:r/>
      <w:r>
        <w:rPr>
          <w:spacing w:val="0"/>
        </w:rPr>
      </w:r>
    </w:p>
    <w:p>
      <w:pPr>
        <w:pStyle w:val="12960"/>
        <w:pBdr/>
        <w:spacing/>
        <w:ind/>
        <w:rPr/>
      </w:pPr>
      <w:r>
        <w:t xml:space="preserve">Перечень мероприятий по строительству, реконструкции тепловых сетей и сооружений на них:</w:t>
      </w: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sectPr>
          <w:headerReference w:type="default" r:id="rId262"/>
          <w:headerReference w:type="first" r:id="rId263"/>
          <w:footerReference w:type="default" r:id="rId533"/>
          <w:footerReference w:type="first" r:id="rId534"/>
          <w:footnotePr/>
          <w:endnotePr/>
          <w:type w:val="nextPage"/>
          <w:pgSz w:h="16838" w:orient="portrait" w:w="11906"/>
          <w:pgMar w:top="1134" w:right="850" w:bottom="1134" w:left="1701" w:header="567" w:footer="454" w:gutter="0"/>
          <w:cols w:num="1" w:sep="0" w:space="1701" w:equalWidth="1"/>
        </w:sectPr>
      </w:pPr>
      <w:r/>
      <w:r/>
      <w:r/>
      <w:r/>
      <w:r>
        <w:t xml:space="preserve">Реконструкция участков тепловых сетей, подлежащих замене в связи с исчерпанием эксплуатационного ресурса</w:t>
      </w:r>
      <w:r/>
    </w:p>
    <w:p>
      <w:pPr>
        <w:pStyle w:val="10534"/>
        <w:numPr>
          <w:ilvl w:val="0"/>
          <w:numId w:val="207"/>
        </w:numPr>
        <w:pBdr/>
        <w:spacing/>
        <w:ind/>
        <w:rPr>
          <w:rFonts w:ascii="Times New Roman" w:hAnsi="Times New Roman" w:eastAsia="Times New Roman" w:cs="Times New Roman"/>
          <w:b/>
          <w:smallCaps/>
          <w:spacing w:val="0"/>
          <w:sz w:val="28"/>
          <w:szCs w:val="36"/>
          <w:lang w:eastAsia="en-US" w:bidi="en-US"/>
        </w:rPr>
      </w:pPr>
      <w:r/>
      <w:bookmarkStart w:id="1296" w:name="_Toc198483690"/>
      <w:r/>
      <w:bookmarkStart w:id="1297" w:name="_Toc166767336"/>
      <w:r/>
      <w:bookmarkStart w:id="1298" w:name="_Toc84971107"/>
      <w:r/>
      <w:bookmarkStart w:id="1299" w:name="_Toc9154961"/>
      <w:r>
        <w:rPr>
          <w:rFonts w:eastAsia="Times New Roman" w:cs="Times New Roman"/>
          <w:b/>
          <w:smallCaps/>
          <w:spacing w:val="0"/>
          <w:sz w:val="28"/>
          <w:szCs w:val="36"/>
          <w:lang w:eastAsia="en-US" w:bidi="en-US"/>
        </w:rPr>
        <w:t xml:space="preserve">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296"/>
      <w:r/>
      <w:bookmarkEnd w:id="1297"/>
      <w:r/>
      <w:bookmarkEnd w:id="1298"/>
      <w:r/>
      <w:bookmarkEnd w:id="1299"/>
      <w:r/>
      <w:r>
        <w:rPr>
          <w:rFonts w:ascii="Times New Roman" w:hAnsi="Times New Roman" w:eastAsia="Times New Roman" w:cs="Times New Roman"/>
          <w:b/>
          <w:smallCaps/>
          <w:spacing w:val="0"/>
          <w:sz w:val="28"/>
          <w:szCs w:val="36"/>
          <w:lang w:eastAsia="en-US" w:bidi="en-US"/>
        </w:rPr>
      </w:r>
    </w:p>
    <w:p>
      <w:pPr>
        <w:pStyle w:val="12960"/>
        <w:pBdr/>
        <w:spacing/>
        <w:ind/>
        <w:rPr/>
      </w:pPr>
      <w:r>
        <w:t xml:space="preserve">Мероприятия по переводу котельных с открытой системы теплоснабжения на закрытую систему горячего водоснабжения в зоне действия источника теплоснабжения, по состоянию на 2026 год, отсутствуют.</w:t>
      </w:r>
      <w:r/>
    </w:p>
    <w:p>
      <w:pPr>
        <w:pStyle w:val="12960"/>
        <w:pBdr/>
        <w:spacing/>
        <w:ind/>
        <w:rPr/>
      </w:pPr>
      <w:r/>
      <w:r/>
    </w:p>
    <w:p>
      <w:pPr>
        <w:pStyle w:val="12960"/>
        <w:pBdr/>
        <w:spacing/>
        <w:ind/>
        <w:rPr/>
        <w:sectPr>
          <w:headerReference w:type="default" r:id="rId264"/>
          <w:headerReference w:type="first" r:id="rId265"/>
          <w:footerReference w:type="default" r:id="rId535"/>
          <w:footerReference w:type="even" r:id="rId536"/>
          <w:footerReference w:type="first" r:id="rId537"/>
          <w:footnotePr/>
          <w:endnotePr/>
          <w:type w:val="nextPage"/>
          <w:pgSz w:h="16838" w:orient="portrait" w:w="11906"/>
          <w:pgMar w:top="1134" w:right="850" w:bottom="1134" w:left="1701" w:header="567" w:footer="454" w:gutter="0"/>
          <w:cols w:num="1" w:sep="0" w:space="1701" w:equalWidth="1"/>
        </w:sectPr>
      </w:pPr>
      <w:r/>
      <w:r/>
    </w:p>
    <w:p>
      <w:pPr>
        <w:pStyle w:val="10534"/>
        <w:numPr>
          <w:ilvl w:val="0"/>
          <w:numId w:val="0"/>
        </w:numPr>
        <w:pBdr/>
        <w:spacing/>
        <w:ind w:firstLine="0" w:left="0"/>
        <w:rPr>
          <w:spacing w:val="0"/>
        </w:rPr>
      </w:pPr>
      <w:r/>
      <w:bookmarkStart w:id="1300" w:name="_Toc9154962"/>
      <w:r/>
      <w:bookmarkStart w:id="1301" w:name="_Toc84971108"/>
      <w:r/>
      <w:bookmarkStart w:id="1302" w:name="_Toc198483691"/>
      <w:r/>
      <w:bookmarkStart w:id="1303" w:name="_Toc166767337"/>
      <w:r>
        <w:rPr>
          <w:spacing w:val="0"/>
        </w:rPr>
        <w:t xml:space="preserve">ГЛАВА 17. ЗАМЕЧАНИЯ И ПРЕДЛОЖЕНИЯ К ПРОЕКТУ СХЕМЫ ТЕПЛОСНАБЖЕНИЯ</w:t>
      </w:r>
      <w:bookmarkEnd w:id="1300"/>
      <w:r/>
      <w:bookmarkEnd w:id="1301"/>
      <w:r/>
      <w:bookmarkEnd w:id="1302"/>
      <w:r/>
      <w:bookmarkEnd w:id="1303"/>
      <w:r/>
      <w:r>
        <w:rPr>
          <w:spacing w:val="0"/>
        </w:rPr>
      </w:r>
    </w:p>
    <w:p>
      <w:pPr>
        <w:pStyle w:val="10533"/>
        <w:pBdr/>
        <w:spacing/>
        <w:ind/>
        <w:rPr/>
      </w:pPr>
      <w:r/>
      <w:r/>
    </w:p>
    <w:p>
      <w:pPr>
        <w:pStyle w:val="10534"/>
        <w:numPr>
          <w:ilvl w:val="0"/>
          <w:numId w:val="208"/>
        </w:numPr>
        <w:pBdr/>
        <w:spacing/>
        <w:ind/>
        <w:rPr>
          <w:spacing w:val="0"/>
        </w:rPr>
      </w:pPr>
      <w:r/>
      <w:bookmarkStart w:id="1304" w:name="_Toc198483692"/>
      <w:r/>
      <w:bookmarkStart w:id="1305" w:name="_Toc166767338"/>
      <w:r/>
      <w:bookmarkStart w:id="1306" w:name="_Toc84971109"/>
      <w:r>
        <w:rPr>
          <w:spacing w:val="0"/>
        </w:rPr>
        <w:t xml:space="preserve">Перечень всех замечаний и предложений, поступивших при разработке, утверждении и актуализации схемы теплоснабжения</w:t>
      </w:r>
      <w:bookmarkEnd w:id="1304"/>
      <w:r/>
      <w:bookmarkEnd w:id="1305"/>
      <w:r/>
      <w:bookmarkEnd w:id="1306"/>
      <w:r/>
      <w:r>
        <w:rPr>
          <w:spacing w:val="0"/>
        </w:rPr>
      </w:r>
    </w:p>
    <w:p>
      <w:pPr>
        <w:pStyle w:val="12960"/>
        <w:pBdr/>
        <w:spacing/>
        <w:ind/>
        <w:rPr/>
      </w:pPr>
      <w:r>
        <w:t xml:space="preserve">Замечания и предложения к проекту схемы теплоснабжения отсутствуют.</w:t>
      </w:r>
      <w:r/>
    </w:p>
    <w:p>
      <w:pPr>
        <w:pStyle w:val="10533"/>
        <w:pBdr/>
        <w:spacing/>
        <w:ind/>
        <w:rPr/>
      </w:pPr>
      <w:r/>
      <w:r/>
    </w:p>
    <w:p>
      <w:pPr>
        <w:pStyle w:val="10534"/>
        <w:numPr>
          <w:ilvl w:val="0"/>
          <w:numId w:val="209"/>
        </w:numPr>
        <w:pBdr/>
        <w:spacing/>
        <w:ind/>
        <w:rPr>
          <w:spacing w:val="0"/>
        </w:rPr>
      </w:pPr>
      <w:r/>
      <w:bookmarkStart w:id="1307" w:name="_Toc198483693"/>
      <w:r/>
      <w:bookmarkStart w:id="1308" w:name="_Toc166767339"/>
      <w:r/>
      <w:bookmarkStart w:id="1309" w:name="_Toc84971110"/>
      <w:r>
        <w:rPr>
          <w:spacing w:val="0"/>
        </w:rPr>
        <w:t xml:space="preserve">Ответы разработчиков проекта схемы теплоснабжения на замечания и предложения</w:t>
      </w:r>
      <w:bookmarkEnd w:id="1307"/>
      <w:r/>
      <w:bookmarkEnd w:id="1308"/>
      <w:r/>
      <w:bookmarkEnd w:id="1309"/>
      <w:r/>
      <w:r>
        <w:rPr>
          <w:spacing w:val="0"/>
        </w:rPr>
      </w:r>
    </w:p>
    <w:p>
      <w:pPr>
        <w:pStyle w:val="12960"/>
        <w:pBdr/>
        <w:spacing/>
        <w:ind/>
        <w:rPr/>
      </w:pPr>
      <w:r>
        <w:t xml:space="preserve">Замечания и предложения к проекту схемы теплоснабжения отсутствуют.</w:t>
      </w:r>
      <w:r/>
    </w:p>
    <w:p>
      <w:pPr>
        <w:pStyle w:val="10533"/>
        <w:pBdr/>
        <w:spacing/>
        <w:ind/>
        <w:rPr/>
      </w:pPr>
      <w:r/>
      <w:r/>
    </w:p>
    <w:p>
      <w:pPr>
        <w:pStyle w:val="10534"/>
        <w:numPr>
          <w:ilvl w:val="0"/>
          <w:numId w:val="210"/>
        </w:numPr>
        <w:pBdr/>
        <w:spacing/>
        <w:ind/>
        <w:rPr>
          <w:spacing w:val="0"/>
        </w:rPr>
      </w:pPr>
      <w:r/>
      <w:bookmarkStart w:id="1310" w:name="_Toc198483694"/>
      <w:r/>
      <w:bookmarkStart w:id="1311" w:name="_Toc166767340"/>
      <w:r/>
      <w:bookmarkStart w:id="1312" w:name="_Toc84971111"/>
      <w:r>
        <w:rPr>
          <w:spacing w:val="0"/>
        </w:rPr>
        <w:t xml:space="preserve">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310"/>
      <w:r/>
      <w:bookmarkEnd w:id="1311"/>
      <w:r/>
      <w:bookmarkEnd w:id="1312"/>
      <w:r/>
      <w:r>
        <w:rPr>
          <w:spacing w:val="0"/>
        </w:rPr>
      </w:r>
    </w:p>
    <w:p>
      <w:pPr>
        <w:pStyle w:val="12960"/>
        <w:pBdr/>
        <w:spacing/>
        <w:ind/>
        <w:rPr/>
      </w:pPr>
      <w:r>
        <w:t xml:space="preserve">Замечания и предложения к проекту схемы теплоснабжения отсутствуют.</w:t>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3"/>
        <w:pBdr/>
        <w:spacing w:line="360" w:lineRule="auto"/>
        <w:ind/>
        <w:rPr/>
      </w:pPr>
      <w:r/>
      <w:r/>
    </w:p>
    <w:p>
      <w:pPr>
        <w:pStyle w:val="10534"/>
        <w:numPr>
          <w:ilvl w:val="0"/>
          <w:numId w:val="0"/>
        </w:numPr>
        <w:pBdr/>
        <w:spacing/>
        <w:ind w:firstLine="0" w:left="1066"/>
        <w:rPr>
          <w:spacing w:val="0"/>
        </w:rPr>
      </w:pPr>
      <w:r/>
      <w:bookmarkStart w:id="1313" w:name="_Toc166767341"/>
      <w:r/>
      <w:bookmarkStart w:id="1314" w:name="_Toc198483695"/>
      <w:r>
        <w:rPr>
          <w:spacing w:val="0"/>
        </w:rPr>
        <w:t xml:space="preserve">ГЛАВА 18. ОЦЕНКА ЭКОЛОГИЧЕСКОЙ БЕЗОПАСНОСТИ ТЕПЛОСНАБЖЕНИЯ</w:t>
      </w:r>
      <w:bookmarkEnd w:id="1313"/>
      <w:r/>
      <w:bookmarkEnd w:id="1314"/>
      <w:r/>
      <w:r>
        <w:rPr>
          <w:spacing w:val="0"/>
        </w:rPr>
      </w:r>
    </w:p>
    <w:p>
      <w:pPr>
        <w:pStyle w:val="10534"/>
        <w:numPr>
          <w:ilvl w:val="0"/>
          <w:numId w:val="0"/>
        </w:numPr>
        <w:pBdr/>
        <w:spacing/>
        <w:ind w:firstLine="0" w:left="710"/>
        <w:rPr>
          <w:spacing w:val="0"/>
        </w:rPr>
      </w:pPr>
      <w:r/>
      <w:bookmarkStart w:id="1315" w:name="_Toc166767342"/>
      <w:r/>
      <w:bookmarkStart w:id="1316" w:name="_Toc198483696"/>
      <w:r>
        <w:rPr>
          <w:spacing w:val="0"/>
        </w:rPr>
        <w:t xml:space="preserve">1. Обеспечение экологической безопасности теплоснабжения муниципального образования Астаповское</w:t>
      </w:r>
      <w:bookmarkEnd w:id="1316"/>
      <w:r>
        <w:rPr>
          <w:spacing w:val="0"/>
        </w:rPr>
        <w:t xml:space="preserve"> </w:t>
      </w:r>
      <w:bookmarkStart w:id="1317" w:name="_Toc198483697"/>
      <w:r/>
      <w:bookmarkStart w:id="1318" w:name="_Toc166767343"/>
      <w:r/>
      <w:bookmarkEnd w:id="1315"/>
      <w:r>
        <w:rPr>
          <w:spacing w:val="0"/>
        </w:rPr>
        <w:t xml:space="preserve">1.1 Общие положения</w:t>
      </w:r>
      <w:bookmarkEnd w:id="1317"/>
      <w:r/>
      <w:bookmarkEnd w:id="1318"/>
      <w:r/>
      <w:r>
        <w:rPr>
          <w:spacing w:val="0"/>
        </w:rPr>
      </w:r>
    </w:p>
    <w:p>
      <w:pPr>
        <w:pStyle w:val="12960"/>
        <w:pBdr/>
        <w:spacing/>
        <w:ind/>
        <w:rPr>
          <w:lang w:bidi="en-US"/>
        </w:rPr>
      </w:pPr>
      <w:r>
        <w:rPr>
          <w:lang w:bidi="en-US"/>
        </w:rPr>
        <w:t xml:space="preserve">Обеспечение экологической безопасности теплоснабжения является одним из общих принципов организации отношений и основы государственной политики в сфере теплоснабжения, установленных ст.3 Федерального Закона от 27.10.2010 №190-ФЗ «О теплоснабжении».</w:t>
      </w:r>
      <w:r>
        <w:rPr>
          <w:lang w:bidi="en-US"/>
        </w:rPr>
      </w:r>
    </w:p>
    <w:p>
      <w:pPr>
        <w:pStyle w:val="12960"/>
        <w:pBdr/>
        <w:spacing/>
        <w:ind/>
        <w:rPr>
          <w:lang w:bidi="en-US"/>
        </w:rPr>
      </w:pPr>
      <w:r>
        <w:rPr>
          <w:lang w:bidi="en-US"/>
        </w:rPr>
        <w:t xml:space="preserve">Бережное отношение к окружающей среде – </w:t>
      </w:r>
      <w:r>
        <w:rPr>
          <w:lang w:bidi="en-US"/>
        </w:rPr>
        <w:t xml:space="preserve">один из стратегических приоритетов теплоснабжающих компаний. Организации осознают свою ответственность перед обществом в данном вопросе, объективно оценивают и стремятся минимизировать экологические риски, наращивают инвестиции в природоохранные программы.</w:t>
      </w:r>
      <w:r>
        <w:rPr>
          <w:lang w:bidi="en-US"/>
        </w:rPr>
      </w:r>
    </w:p>
    <w:p>
      <w:pPr>
        <w:pStyle w:val="12960"/>
        <w:pBdr/>
        <w:spacing/>
        <w:ind/>
        <w:rPr>
          <w:lang w:bidi="en-US"/>
        </w:rPr>
      </w:pPr>
      <w:r>
        <w:rPr>
          <w:lang w:bidi="en-US"/>
        </w:rPr>
        <w:t xml:space="preserve">Стратегическими целями обеспечения экологической безопасности и рационального природопользования являются:</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снижение техногенной нагрузки и поддержание благоприятного состояния природной среды и среды обитания человека;</w:t>
      </w:r>
      <w:r>
        <w:rPr>
          <w:lang w:bidi="en-US"/>
        </w:rPr>
      </w:r>
    </w:p>
    <w:p>
      <w:pPr>
        <w:pStyle w:val="13832"/>
        <w:numPr>
          <w:ilvl w:val="0"/>
          <w:numId w:val="61"/>
        </w:numPr>
        <w:pBdr/>
        <w:spacing/>
        <w:ind w:hanging="284" w:left="1135"/>
        <w:rPr>
          <w:lang w:bidi="en-US"/>
        </w:rPr>
      </w:pPr>
      <w:r>
        <w:rPr>
          <w:lang w:bidi="en-US"/>
        </w:rPr>
        <w:t xml:space="preserve">недопущение экологического ущерба от хозяйственной деятельности;</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сохранение биологического разнообразия в условиях нарастающей антропогенной нагрузки;</w:t>
      </w:r>
      <w:r>
        <w:rPr>
          <w:lang w:bidi="en-US"/>
        </w:rPr>
      </w:r>
    </w:p>
    <w:p>
      <w:pPr>
        <w:pStyle w:val="13832"/>
        <w:numPr>
          <w:ilvl w:val="0"/>
          <w:numId w:val="61"/>
        </w:numPr>
        <w:pBdr/>
        <w:spacing/>
        <w:ind w:hanging="284" w:left="1135"/>
        <w:rPr>
          <w:lang w:bidi="en-US"/>
        </w:rPr>
      </w:pPr>
      <w:r>
        <w:rPr>
          <w:lang w:bidi="en-US"/>
        </w:rPr>
        <w:t xml:space="preserve">рациональное использование, восстановление и охрана природных ресурсов.</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В соответствии с этими целями теплоснабжающие организации выделяют следующие приоритетные направления деятельности:</w:t>
      </w:r>
      <w:r>
        <w:rPr>
          <w:lang w:bidi="en-US"/>
        </w:rPr>
      </w:r>
    </w:p>
    <w:p>
      <w:pPr>
        <w:pStyle w:val="13832"/>
        <w:numPr>
          <w:ilvl w:val="0"/>
          <w:numId w:val="61"/>
        </w:numPr>
        <w:pBdr/>
        <w:spacing/>
        <w:ind w:hanging="284" w:left="1135"/>
        <w:rPr>
          <w:lang w:bidi="en-US"/>
        </w:rPr>
      </w:pPr>
      <w:r>
        <w:rPr>
          <w:lang w:bidi="en-US"/>
        </w:rPr>
        <w:t xml:space="preserve">управление рисками в области обеспечения экологической безопасности;</w:t>
      </w:r>
      <w:r>
        <w:rPr>
          <w:lang w:bidi="en-US"/>
        </w:rPr>
      </w:r>
    </w:p>
    <w:p>
      <w:pPr>
        <w:pStyle w:val="13832"/>
        <w:numPr>
          <w:ilvl w:val="0"/>
          <w:numId w:val="61"/>
        </w:numPr>
        <w:pBdr/>
        <w:spacing/>
        <w:ind w:hanging="284" w:left="1135"/>
        <w:rPr>
          <w:lang w:bidi="en-US"/>
        </w:rPr>
      </w:pPr>
      <w:r>
        <w:rPr>
          <w:lang w:bidi="en-US"/>
        </w:rPr>
        <w:t xml:space="preserve">экологический мониторинг и производственный экологический контроль;</w:t>
      </w:r>
      <w:r>
        <w:rPr>
          <w:lang w:bidi="en-US"/>
        </w:rPr>
      </w:r>
    </w:p>
    <w:p>
      <w:pPr>
        <w:pStyle w:val="13832"/>
        <w:keepNext w:val="false"/>
        <w:widowControl w:val="true"/>
        <w:numPr>
          <w:ilvl w:val="0"/>
          <w:numId w:val="61"/>
        </w:numPr>
        <w:pBdr/>
        <w:tabs>
          <w:tab w:val="left" w:leader="none" w:pos="908"/>
          <w:tab w:val="clear" w:leader="none" w:pos="1134"/>
        </w:tabs>
        <w:bidi w:val="false"/>
        <w:spacing w:after="0" w:before="0" w:line="360" w:lineRule="auto"/>
        <w:ind w:right="0" w:firstLine="567" w:left="0"/>
        <w:jc w:val="both"/>
        <w:rPr>
          <w:lang w:bidi="en-US"/>
        </w:rPr>
      </w:pPr>
      <w:r>
        <w:rPr>
          <w:lang w:bidi="en-US"/>
        </w:rPr>
        <w:t xml:space="preserve">управление системой предупреждения, локализации аварийных ситуаций и ликвидации их последствий;</w:t>
      </w:r>
      <w:r>
        <w:rPr>
          <w:lang w:bidi="en-US"/>
        </w:rPr>
      </w:r>
    </w:p>
    <w:p>
      <w:pPr>
        <w:pStyle w:val="13832"/>
        <w:numPr>
          <w:ilvl w:val="0"/>
          <w:numId w:val="61"/>
        </w:numPr>
        <w:pBdr/>
        <w:spacing/>
        <w:ind w:hanging="284" w:left="1135"/>
        <w:rPr>
          <w:lang w:bidi="en-US"/>
        </w:rPr>
      </w:pPr>
      <w:r>
        <w:rPr>
          <w:lang w:bidi="en-US"/>
        </w:rPr>
        <w:t xml:space="preserve">развитие программ по утилизации/обезвреживанию отходов производства;</w:t>
      </w:r>
      <w:r>
        <w:rPr>
          <w:lang w:bidi="en-US"/>
        </w:rPr>
      </w:r>
    </w:p>
    <w:p>
      <w:pPr>
        <w:pStyle w:val="13832"/>
        <w:numPr>
          <w:ilvl w:val="0"/>
          <w:numId w:val="61"/>
        </w:numPr>
        <w:pBdr/>
        <w:spacing/>
        <w:ind w:hanging="284" w:left="1135"/>
        <w:rPr>
          <w:lang w:bidi="en-US"/>
        </w:rPr>
      </w:pPr>
      <w:r>
        <w:rPr>
          <w:lang w:bidi="en-US"/>
        </w:rPr>
        <w:t xml:space="preserve">обучение и развитие персонала в области экологической безопасности.</w:t>
      </w:r>
      <w:r>
        <w:rPr>
          <w:lang w:bidi="en-US"/>
        </w:rPr>
      </w:r>
    </w:p>
    <w:p>
      <w:pPr>
        <w:pStyle w:val="12960"/>
        <w:pBdr/>
        <w:spacing/>
        <w:ind/>
        <w:rPr>
          <w:lang w:bidi="en-US"/>
        </w:rPr>
      </w:pPr>
      <w:r>
        <w:rPr>
          <w:lang w:bidi="en-US"/>
        </w:rPr>
        <w:t xml:space="preserve">Задача, решаемая в результате разработки настоящей главы - оценить, каким образом мероприятия, предусмотренные Схемой теплоснабжения, повлияют на состояние загрязнения атмосферного воздуха.</w:t>
      </w:r>
      <w:r>
        <w:rPr>
          <w:lang w:bidi="en-US"/>
        </w:rPr>
      </w:r>
    </w:p>
    <w:p>
      <w:pPr>
        <w:pStyle w:val="12960"/>
        <w:pBdr/>
        <w:spacing/>
        <w:ind/>
        <w:rPr>
          <w:lang w:bidi="en-US"/>
        </w:rPr>
      </w:pPr>
      <w:r>
        <w:rPr>
          <w:lang w:bidi="en-US"/>
        </w:rPr>
        <w:t xml:space="preserve">Для решения указанной задачи:</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10" w:left="0"/>
        <w:jc w:val="both"/>
        <w:rPr>
          <w:lang w:bidi="en-US"/>
        </w:rPr>
      </w:pPr>
      <w:r>
        <w:rPr>
          <w:lang w:bidi="en-US"/>
        </w:rPr>
        <w:t xml:space="preserve">проведен анализ нормативной природоохранной документации по источникам теплоснабжения;</w:t>
      </w:r>
      <w:r>
        <w:rPr>
          <w:lang w:bidi="en-US"/>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lang w:bidi="en-US"/>
        </w:rPr>
      </w:pPr>
      <w:r>
        <w:rPr>
          <w:lang w:bidi="en-US"/>
        </w:rPr>
        <w:t xml:space="preserve">определены объекты, осуществляющие наибольшую выработку тепловой энергии, и соответственно, значительно больше осуществляющие выбросы загрязняющих веществ в атмосферу, что в свою очередь, приводит к большему негативному воздействию на атмосферный воздух;</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определены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 по предпочтительному варианту;</w:t>
      </w:r>
      <w:r>
        <w:rPr>
          <w:lang w:bidi="en-US"/>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lang w:bidi="en-US"/>
        </w:rPr>
      </w:pPr>
      <w:r>
        <w:rPr>
          <w:lang w:bidi="en-US"/>
        </w:rPr>
        <w:t xml:space="preserve"> </w:t>
      </w:r>
      <w:r>
        <w:rPr>
          <w:lang w:bidi="en-US"/>
        </w:rPr>
        <w:t xml:space="preserve">проведена оценка существующего состояние (по данным о параметрах источников выбросов из проектов нормативов ПДВ загрязняющих веществ в атмосферный воздух);</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определено прогнозируемое перспективное со</w:t>
      </w:r>
      <w:r>
        <w:rPr>
          <w:lang w:bidi="en-US"/>
        </w:rPr>
        <w:t xml:space="preserve">стояние (с учетом прироста нагрузок, топливопотребления и других мероприятий по схеме развития теплоснабжения). При определении оценки воздействия системы теплоснабжения на экологию использованы действующие нормативно правовые акты и нормативно-технические</w:t>
      </w:r>
      <w:r>
        <w:rPr>
          <w:lang w:bidi="en-US"/>
        </w:rPr>
      </w:r>
    </w:p>
    <w:p>
      <w:pPr>
        <w:pStyle w:val="12960"/>
        <w:pBdr/>
        <w:spacing/>
        <w:ind/>
        <w:rPr>
          <w:lang w:bidi="en-US"/>
        </w:rPr>
      </w:pPr>
      <w:r>
        <w:rPr>
          <w:lang w:bidi="en-US"/>
        </w:rPr>
        <w:t xml:space="preserve">Документы, в сфере экологии и природопользования:</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Федеральный закон от 04.05.1999 г. № 96-ФЗ «Об охране атмосферного воздуха»;</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При Минприроды России от 06.06.2017 г. №273 «Об утверждении методов расчетов рассеивания выбросов вредных (загрязняющих) веществ в атмосферном воздухе»;</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Распоряжение Правительства РФ от 08.07.2015 г.№1316-р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r>
        <w:rPr>
          <w:lang w:bidi="en-US"/>
        </w:rPr>
      </w:r>
    </w:p>
    <w:p>
      <w:pPr>
        <w:pStyle w:val="13832"/>
        <w:keepNext w:val="false"/>
        <w:widowControl w:val="true"/>
        <w:numPr>
          <w:ilvl w:val="0"/>
          <w:numId w:val="61"/>
        </w:numPr>
        <w:pBdr/>
        <w:bidi w:val="false"/>
        <w:spacing w:after="0" w:before="0" w:line="360" w:lineRule="auto"/>
        <w:ind w:right="0" w:firstLine="567" w:left="0"/>
        <w:jc w:val="both"/>
        <w:rPr>
          <w:lang w:bidi="en-US"/>
        </w:rPr>
      </w:pPr>
      <w:r>
        <w:rPr>
          <w:lang w:bidi="en-US"/>
        </w:rPr>
        <w:t xml:space="preserve">Приказ Минприроды России от 07.08.2018 года № 352 «Об утверждении Порядка проведения инвентаризации стационарных источни</w:t>
      </w:r>
      <w:r>
        <w:rPr>
          <w:lang w:bidi="en-US"/>
        </w:rPr>
        <w:t xml:space="preserve">ков и выбросов вредных (загрязняющих) веществ в атмосферный воздух, корректировки ее данных, документирования и хранения данных, полученных в результате проведения и хранения данных, полученных в результате проведения таких инвентаризации и корректировки»;</w:t>
      </w:r>
      <w:r>
        <w:rPr>
          <w:lang w:bidi="en-US"/>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lang w:bidi="en-US"/>
        </w:rPr>
      </w:pPr>
      <w:r>
        <w:rPr>
          <w:lang w:bidi="en-US"/>
        </w:rPr>
        <w:t xml:space="preserve">Приказ Минприроды России от 11.08.2020 № 581 «Об утверждении методики разработки (расчета) и установления нормативов допустимых выбросов загрязняющих веществ в атмосферный воздух»;</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10" w:left="0"/>
        <w:jc w:val="both"/>
        <w:rPr>
          <w:lang w:bidi="en-US"/>
        </w:rPr>
      </w:pPr>
      <w:r>
        <w:rPr>
          <w:lang w:bidi="en-US"/>
        </w:rPr>
        <w:t xml:space="preserve">«Методика определения выбросов загрязняющих веществ в атмосферу при сжигании топлива в котлах производительностью менее 30 тонн пара в час или менее 20 Гкал в час» (утв. Госкомэкологией России 09.07.1999).</w:t>
      </w:r>
      <w:r>
        <w:rPr>
          <w:lang w:bidi="en-US"/>
        </w:rPr>
      </w:r>
    </w:p>
    <w:p>
      <w:pPr>
        <w:pStyle w:val="12960"/>
        <w:pBdr/>
        <w:spacing/>
        <w:ind/>
        <w:rPr>
          <w:lang w:bidi="en-US"/>
        </w:rPr>
        <w:sectPr>
          <w:headerReference w:type="default" r:id="rId266"/>
          <w:headerReference w:type="first" r:id="rId267"/>
          <w:footerReference w:type="default" r:id="rId538"/>
          <w:footerReference w:type="first" r:id="rId539"/>
          <w:footnotePr/>
          <w:endnotePr/>
          <w:type w:val="nextPage"/>
          <w:pgSz w:h="16838" w:orient="portrait" w:w="11906"/>
          <w:pgMar w:top="1134" w:right="850" w:bottom="1134" w:left="1701" w:header="567" w:footer="454" w:gutter="0"/>
          <w:cols w:num="1" w:sep="0" w:space="1701" w:equalWidth="1"/>
        </w:sectPr>
      </w:pPr>
      <w:r>
        <w:rPr>
          <w:lang w:bidi="en-US"/>
        </w:rPr>
        <w:t xml:space="preserve">При выполнении разработки настоящих обосновывающих материалов использованы исходные данные из проектов нормативов ПДВ загрязняющих веществ в атмосферный воздух, представленных теплоснабжающими организациями по запросам разработчика схемы теплоснабжения.</w:t>
      </w:r>
      <w:r>
        <w:rPr>
          <w:lang w:bidi="en-US"/>
        </w:rPr>
      </w:r>
    </w:p>
    <w:p>
      <w:pPr>
        <w:pStyle w:val="10534"/>
        <w:widowControl w:val="true"/>
        <w:numPr>
          <w:ilvl w:val="0"/>
          <w:numId w:val="0"/>
        </w:numPr>
        <w:pBdr/>
        <w:bidi w:val="false"/>
        <w:spacing w:after="240" w:before="120" w:line="276" w:lineRule="auto"/>
        <w:ind w:right="0" w:hanging="680" w:left="680"/>
        <w:contextualSpacing w:val="true"/>
        <w:jc w:val="center"/>
        <w:rPr>
          <w:spacing w:val="0"/>
        </w:rPr>
      </w:pPr>
      <w:r/>
      <w:bookmarkStart w:id="1319" w:name="_Toc198483698"/>
      <w:r/>
      <w:bookmarkStart w:id="1320" w:name="_Toc166767344"/>
      <w:r>
        <w:rPr>
          <w:spacing w:val="0"/>
        </w:rPr>
        <w:t xml:space="preserve">1.2 О</w:t>
      </w:r>
      <w:r>
        <w:rPr>
          <w:rFonts w:eastAsia="Times New Roman" w:cs="Times New Roman"/>
          <w:b/>
          <w:smallCaps/>
          <w:spacing w:val="0"/>
          <w:sz w:val="28"/>
          <w:szCs w:val="36"/>
          <w:lang w:eastAsia="en-US" w:bidi="en-US"/>
        </w:rPr>
        <w:t xml:space="preserve">писание текущего и п</w:t>
      </w:r>
      <w:r>
        <w:rPr>
          <w:rFonts w:eastAsia="Times New Roman" w:cs="Times New Roman"/>
          <w:b/>
          <w:smallCaps/>
          <w:spacing w:val="0"/>
          <w:sz w:val="28"/>
          <w:szCs w:val="36"/>
          <w:lang w:eastAsia="en-US" w:bidi="en-US"/>
        </w:rPr>
        <w:t xml:space="preserve">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bookmarkEnd w:id="1319"/>
      <w:r/>
      <w:bookmarkEnd w:id="1320"/>
      <w:r/>
      <w:r>
        <w:rPr>
          <w:spacing w:val="0"/>
        </w:rPr>
      </w:r>
    </w:p>
    <w:p>
      <w:pPr>
        <w:pStyle w:val="12960"/>
        <w:pBdr/>
        <w:spacing/>
        <w:ind/>
        <w:rPr>
          <w:lang w:bidi="en-US"/>
        </w:rPr>
      </w:pPr>
      <w:r>
        <w:rPr>
          <w:lang w:bidi="en-US"/>
        </w:rPr>
        <w:t xml:space="preserve">Сведения об объемах выбросов вредных веществ по существующему состоянию приняты в соотв</w:t>
      </w:r>
      <w:r>
        <w:rPr>
          <w:lang w:bidi="en-US"/>
        </w:rPr>
        <w:t xml:space="preserve">етствии с данными о фактических выбросах, приведенных в проектах нормативов ПДВ загрязняющих веществ в атмосферный воздух для источников тепловой энергии (мощности) с учетом изменений потребления топлива (исходя из фактических сведений по расходу топлива).</w:t>
      </w:r>
      <w:r>
        <w:rPr>
          <w:lang w:bidi="en-US"/>
        </w:rPr>
      </w:r>
    </w:p>
    <w:p>
      <w:pPr>
        <w:pStyle w:val="12960"/>
        <w:pBdr/>
        <w:spacing/>
        <w:ind/>
        <w:rPr>
          <w:lang w:bidi="en-US"/>
        </w:rPr>
      </w:pPr>
      <w:r>
        <w:rPr>
          <w:lang w:bidi="en-US"/>
        </w:rPr>
        <w:t xml:space="preserve">Производственный контроль </w:t>
      </w:r>
      <w:r>
        <w:rPr>
          <w:lang w:bidi="en-US"/>
        </w:rPr>
        <w:t xml:space="preserve">в области охраны окружающей среды (производственный экологический контроль) на предприятии осуществляется в целях соблюдения требований в области охраны окружающей среды согласно ст. 67 Федерального закона от 10.01.2002 № 7-ФЗ «Об охране окружающей среды».</w:t>
      </w:r>
      <w:r>
        <w:rPr>
          <w:lang w:bidi="en-US"/>
        </w:rPr>
      </w:r>
    </w:p>
    <w:p>
      <w:pPr>
        <w:pStyle w:val="12960"/>
        <w:pBdr/>
        <w:spacing/>
        <w:ind/>
        <w:rPr>
          <w:lang w:bidi="en-US"/>
        </w:rPr>
      </w:pPr>
      <w:r>
        <w:rPr>
          <w:lang w:bidi="en-US"/>
        </w:rPr>
        <w:t xml:space="preserve">Производственный контроль за уровнями загрязнения атмосферного воздуха на границе </w:t>
      </w:r>
      <w:r>
        <w:rPr>
          <w:lang w:bidi="en-US"/>
        </w:rPr>
        <w:t xml:space="preserve">санитарно-защитной зоны (далее - производственный контроль) проводится согласно требований ст. 20, ст. 32 Федерального закона от 30.03.99. № 52-ФЗ «О санитарно-эпидемиологическом благополучии населения», Санитарных правил СП 1.1.1058-01 «Организация и пров</w:t>
      </w:r>
      <w:r>
        <w:rPr>
          <w:lang w:bidi="en-US"/>
        </w:rPr>
        <w:t xml:space="preserve">едение производственного контроля за соблюдением санитарных правил и выполнением санитарно-противоэпидемических (профилактических) мероприятий» и Санитарных правил и норм СанПиН 2.1.3684-21 "Санитарно-эпидемиологические требования к содержанию территорий г</w:t>
      </w:r>
      <w:r>
        <w:rPr>
          <w:lang w:val="en-US" w:bidi="en-US"/>
        </w:rPr>
        <w:t xml:space="preserve">o</w:t>
      </w:r>
      <w:r>
        <w:rPr>
          <w:lang w:bidi="en-US"/>
        </w:rPr>
        <w:t xml:space="preserve">родских и с</w:t>
      </w:r>
      <w:r>
        <w:rPr>
          <w:lang w:val="en-US" w:bidi="en-US"/>
        </w:rPr>
        <w:t xml:space="preserve">e</w:t>
      </w:r>
      <w:r>
        <w:rPr>
          <w:lang w:bidi="en-US"/>
        </w:rPr>
        <w:t xml:space="preserve">льских посел</w:t>
      </w:r>
      <w:r>
        <w:rPr>
          <w:lang w:bidi="en-US"/>
        </w:rPr>
        <w:t xml:space="preserve">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мероприятия.</w:t>
      </w:r>
      <w:r>
        <w:rPr>
          <w:lang w:bidi="en-US"/>
        </w:rPr>
      </w:r>
    </w:p>
    <w:p>
      <w:pPr>
        <w:pStyle w:val="12960"/>
        <w:pBdr/>
        <w:spacing/>
        <w:ind/>
        <w:rPr>
          <w:lang w:bidi="en-US"/>
        </w:rPr>
      </w:pPr>
      <w:r>
        <w:rPr>
          <w:lang w:bidi="en-US"/>
        </w:rPr>
        <w:t xml:space="preserve">Расчет объема валовых выбросов источников тепловой энергии осуществляется в соответствии с:</w:t>
      </w:r>
      <w:r>
        <w:rPr>
          <w:lang w:bidi="en-US"/>
        </w:rPr>
      </w:r>
    </w:p>
    <w:p>
      <w:pPr>
        <w:pStyle w:val="13832"/>
        <w:keepNext w:val="false"/>
        <w:widowControl w:val="true"/>
        <w:numPr>
          <w:ilvl w:val="0"/>
          <w:numId w:val="61"/>
        </w:numPr>
        <w:pBdr/>
        <w:tabs>
          <w:tab w:val="left" w:leader="none" w:pos="970"/>
          <w:tab w:val="clear" w:leader="none" w:pos="1134"/>
        </w:tabs>
        <w:bidi w:val="false"/>
        <w:spacing w:after="0" w:before="0" w:line="360" w:lineRule="auto"/>
        <w:ind w:right="0" w:firstLine="567" w:left="0"/>
        <w:jc w:val="both"/>
        <w:rPr>
          <w:lang w:bidi="en-US"/>
        </w:rPr>
      </w:pPr>
      <w:r>
        <w:rPr>
          <w:lang w:bidi="en-US"/>
        </w:rPr>
        <w:t xml:space="preserve">Методикой определения выбросов загрязняющих веществ в атмосферу при сжигании топлива в котлах производительностью менее 30 тонн пара в час или менее 20 Гкал в час, Москва, 1999;</w:t>
      </w:r>
      <w:r>
        <w:rPr>
          <w:lang w:bidi="en-US"/>
        </w:rPr>
      </w:r>
    </w:p>
    <w:p>
      <w:pPr>
        <w:pStyle w:val="13832"/>
        <w:keepNext w:val="false"/>
        <w:widowControl w:val="true"/>
        <w:numPr>
          <w:ilvl w:val="0"/>
          <w:numId w:val="61"/>
        </w:numPr>
        <w:pBdr/>
        <w:tabs>
          <w:tab w:val="left" w:leader="none" w:pos="845"/>
          <w:tab w:val="clear" w:leader="none" w:pos="1134"/>
        </w:tabs>
        <w:bidi w:val="false"/>
        <w:spacing w:after="0" w:before="0" w:line="360" w:lineRule="auto"/>
        <w:ind w:right="0" w:firstLine="567" w:left="0"/>
        <w:jc w:val="both"/>
        <w:rPr>
          <w:lang w:bidi="en-US"/>
        </w:rPr>
      </w:pPr>
      <w:r>
        <w:rPr>
          <w:lang w:bidi="en-US"/>
        </w:rPr>
        <w:t xml:space="preserve">Приказом Минприроды России от 11.08.2020 № 581 "Об утверждении методики разработки (расчета) и установления нормативов допустимых выбросов загрязняющих веществ в атмосферный воздух".</w:t>
      </w:r>
      <w:r>
        <w:rPr>
          <w:lang w:bidi="en-US"/>
        </w:rPr>
      </w:r>
    </w:p>
    <w:p>
      <w:pPr>
        <w:pStyle w:val="12960"/>
        <w:pBdr/>
        <w:spacing/>
        <w:ind/>
        <w:rPr>
          <w:lang w:bidi="en-US"/>
        </w:rPr>
      </w:pPr>
      <w:r>
        <w:rPr>
          <w:lang w:bidi="en-US"/>
        </w:rPr>
        <w:t xml:space="preserve">Значения суммарных годовых (валовых) выбросов оп</w:t>
      </w:r>
      <w:r>
        <w:rPr>
          <w:lang w:bidi="en-US"/>
        </w:rPr>
        <w:t xml:space="preserve">ределенного ЗВ из ИЗАВ (т/год) рассчитываются исходя из определенной на основании инструментальных методов средней мощности выброса ЗВ из конкретного ИЗАВ при данном режиме и суммарной продолжительности (в часах) работы ИЗАВ в данном режиме в течение года.</w:t>
      </w:r>
      <w:r>
        <w:rPr>
          <w:lang w:bidi="en-US"/>
        </w:rPr>
      </w:r>
    </w:p>
    <w:p>
      <w:pPr>
        <w:pStyle w:val="12960"/>
        <w:pBdr/>
        <w:spacing/>
        <w:ind/>
        <w:rPr>
          <w:lang w:bidi="en-US"/>
        </w:rPr>
      </w:pPr>
      <w:r>
        <w:rPr>
          <w:lang w:bidi="en-US"/>
        </w:rPr>
        <w:t xml:space="preserve">При использовании расчетных способов значения суммарных годовых (валовых) выбросов определяются исходя из расчетных средних за год значений выбросов (выделений) конкретного ЗВ (в г/час или г/кг), опр</w:t>
      </w:r>
      <w:r>
        <w:rPr>
          <w:lang w:bidi="en-US"/>
        </w:rPr>
        <w:t xml:space="preserve">еделенных по расходу сырья, материалов, топлива, энергии или по выпущенной продукции, и наибольшей продолжительности (в часах) работы источника выделения или ИЗАВ в течение года или расхода сырья, материалов, топлива, энергии и выпущенной продукции за год.</w:t>
      </w:r>
      <w:r>
        <w:rPr>
          <w:lang w:bidi="en-US"/>
        </w:rPr>
      </w:r>
    </w:p>
    <w:p>
      <w:pPr>
        <w:pStyle w:val="12960"/>
        <w:pBdr/>
        <w:spacing/>
        <w:ind/>
        <w:rPr>
          <w:lang w:bidi="en-US"/>
        </w:rPr>
      </w:pPr>
      <w:r>
        <w:rPr>
          <w:lang w:bidi="en-US"/>
        </w:rPr>
        <w:t xml:space="preserve">Суммарный годовой (валовый) выброс ЗВ (т/год) определяется с учетом нестационарности выбросов ЗВ во времени, в том числе остановок на профилактический ремонт технологического оборудования и ГОУ.</w:t>
      </w:r>
      <w:r>
        <w:rPr>
          <w:lang w:bidi="en-US"/>
        </w:rPr>
      </w:r>
    </w:p>
    <w:p>
      <w:pPr>
        <w:pStyle w:val="12960"/>
        <w:pBdr/>
        <w:spacing/>
        <w:ind/>
        <w:rPr>
          <w:lang w:bidi="en-US"/>
        </w:rPr>
      </w:pPr>
      <w:r>
        <w:rPr>
          <w:lang w:bidi="en-US"/>
        </w:rPr>
        <w:t xml:space="preserve">При производственном процессе циклического характера и работе с конкретной, </w:t>
      </w:r>
      <w:r>
        <w:rPr>
          <w:lang w:bidi="en-US"/>
        </w:rPr>
        <w:t xml:space="preserve">характерной для данного производства нагрузкой, годовой выброс конкретного ЗВ рассчитывается исходя из числа повторений рассматриваемого производственного цикла за год и среднегодовой величины выброса рассматриваемого ЗВ для одного производственного цикла.</w:t>
      </w:r>
      <w:r>
        <w:rPr>
          <w:lang w:bidi="en-US"/>
        </w:rPr>
      </w:r>
    </w:p>
    <w:p>
      <w:pPr>
        <w:pStyle w:val="12960"/>
        <w:pBdr/>
        <w:spacing/>
        <w:ind/>
        <w:rPr>
          <w:lang w:bidi="en-US"/>
        </w:rPr>
      </w:pPr>
      <w:r>
        <w:rPr>
          <w:lang w:bidi="en-US"/>
        </w:rPr>
        <w:t xml:space="preserve">Годовой выброс ЗВ (т/год) от всего объекта ОНВ рассчитывается как сумма годовых выбросов этого ЗВ из всех ИЗАВ данного объекта ОНВ.</w:t>
      </w:r>
      <w:r>
        <w:rPr>
          <w:lang w:bidi="en-US"/>
        </w:rPr>
      </w:r>
    </w:p>
    <w:p>
      <w:pPr>
        <w:pStyle w:val="12960"/>
        <w:pBdr/>
        <w:spacing/>
        <w:ind/>
        <w:rPr>
          <w:b/>
        </w:rPr>
      </w:pPr>
      <w:r>
        <w:rPr>
          <w:b/>
        </w:rPr>
      </w:r>
      <w:r>
        <w:rPr>
          <w:b/>
        </w:rPr>
      </w:r>
    </w:p>
    <w:p>
      <w:pPr>
        <w:pStyle w:val="12960"/>
        <w:pBdr/>
        <w:spacing/>
        <w:ind/>
        <w:rPr>
          <w:b/>
        </w:rPr>
      </w:pPr>
      <w:r>
        <w:rPr>
          <w:b/>
        </w:rPr>
        <w:t xml:space="preserve">Таблица 18.1.2.1. - Технические характеристики котельных в 2025 году</w:t>
      </w:r>
      <w:r>
        <w:rPr>
          <w:b/>
        </w:rPr>
      </w:r>
    </w:p>
    <w:tbl>
      <w:tblPr>
        <w:tblInd w:w="0" w:type="dxa"/>
        <w:tblW w:w="5000" w:type="pct"/>
        <w:tblCellMar>
          <w:left w:w="28" w:type="dxa"/>
          <w:top w:w="0" w:type="dxa"/>
          <w:right w:w="28" w:type="dxa"/>
          <w:bottom w:w="0" w:type="dxa"/>
        </w:tblCellMar>
        <w:tblBorders/>
        <w:tblLayout w:type="fixed"/>
        <w:tblLook w:val="0000" w:firstRow="0" w:lastRow="0" w:firstColumn="0" w:lastColumn="0" w:noHBand="0" w:noVBand="0"/>
      </w:tblPr>
      <w:tblGrid>
        <w:gridCol w:w="1872"/>
        <w:gridCol w:w="1752"/>
        <w:gridCol w:w="1034"/>
        <w:gridCol w:w="1525"/>
        <w:gridCol w:w="1562"/>
        <w:gridCol w:w="1609"/>
      </w:tblGrid>
      <w:tr>
        <w:trPr>
          <w:trHeight w:val="907"/>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w:t>
            </w:r>
            <w:r>
              <w:t xml:space="preserve">, адрес котельной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Источники выделения загрязняющих веществ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Кол-во котлов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Наименование источника выброса вредных веществ</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Высота источника выброса, м</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Диаметр устья трубы, м</w:t>
            </w:r>
            <w:r/>
          </w:p>
        </w:tc>
      </w:tr>
      <w:tr>
        <w:trPr>
          <w:trHeight w:val="907"/>
        </w:trPr>
        <w:tc>
          <w:tcPr>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Котельная №5</w:t>
            </w:r>
            <w:r/>
          </w:p>
          <w:p>
            <w:pPr>
              <w:pStyle w:val="12385"/>
              <w:pBdr/>
              <w:spacing/>
              <w:ind/>
              <w:rPr/>
            </w:pPr>
            <w:r>
              <w:t xml:space="preserve">Арсеньевский р-н, н.п. Ясенки, ул. Центральная 24</w:t>
            </w:r>
            <w:r/>
          </w:p>
        </w:tc>
        <w:tc>
          <w:tcPr>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Котлы</w:t>
            </w:r>
            <w:r/>
          </w:p>
        </w:tc>
        <w:tc>
          <w:tcPr>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Дымовые трубы</w:t>
            </w:r>
            <w:r/>
          </w:p>
        </w:tc>
        <w:tc>
          <w:tcPr>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7</w:t>
            </w:r>
            <w:r/>
          </w:p>
        </w:tc>
        <w:tc>
          <w:tcPr>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0,22</w:t>
            </w:r>
            <w:r/>
          </w:p>
        </w:tc>
      </w:tr>
      <w:tr>
        <w:trPr>
          <w:trHeight w:val="907"/>
        </w:trPr>
        <w:tc>
          <w:tcPr>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Котельная №6</w:t>
            </w:r>
            <w:r/>
          </w:p>
          <w:p>
            <w:pPr>
              <w:pStyle w:val="12385"/>
              <w:pBdr/>
              <w:spacing/>
              <w:ind/>
              <w:rPr/>
            </w:pPr>
            <w:r>
              <w:t xml:space="preserve">Арсеньевский р-н, н.п. Первомайский, Школьная 3а</w:t>
            </w:r>
            <w:r/>
          </w:p>
        </w:tc>
        <w:tc>
          <w:tcPr>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Котлы</w:t>
            </w:r>
            <w:r/>
          </w:p>
        </w:tc>
        <w:tc>
          <w:tcPr>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4</w:t>
            </w:r>
            <w:r/>
          </w:p>
        </w:tc>
        <w:tc>
          <w:tcPr>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Дымовые трубы</w:t>
            </w:r>
            <w:r/>
          </w:p>
        </w:tc>
        <w:tc>
          <w:tcPr>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6</w:t>
            </w:r>
            <w:r/>
          </w:p>
        </w:tc>
        <w:tc>
          <w:tcPr>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0,89</w:t>
            </w:r>
            <w:r/>
          </w:p>
        </w:tc>
      </w:tr>
      <w:tr>
        <w:trPr>
          <w:trHeight w:val="907"/>
        </w:trPr>
        <w:tc>
          <w:tcPr>
            <w:tcBorders>
              <w:top w:val="single" w:color="000000" w:sz="4" w:space="0"/>
              <w:left w:val="single" w:color="000000" w:sz="4" w:space="0"/>
              <w:bottom w:val="single" w:color="000000" w:sz="4" w:space="0"/>
              <w:right w:val="single" w:color="000000" w:sz="4" w:space="0"/>
            </w:tcBorders>
            <w:tcW w:w="1872" w:type="dxa"/>
            <w:vAlign w:val="center"/>
          </w:tcPr>
          <w:p>
            <w:pPr>
              <w:pStyle w:val="12385"/>
              <w:pBdr/>
              <w:spacing/>
              <w:ind/>
              <w:rPr/>
            </w:pPr>
            <w:r>
              <w:t xml:space="preserve">Котельная №7</w:t>
            </w:r>
            <w:r/>
          </w:p>
          <w:p>
            <w:pPr>
              <w:pStyle w:val="12385"/>
              <w:pBdr/>
              <w:spacing/>
              <w:ind/>
              <w:rPr/>
            </w:pPr>
            <w:r>
              <w:t xml:space="preserve">Арсеньевский р-н, н.п. Белый Колодезь, ул. Школьная 24</w:t>
            </w:r>
            <w:r/>
          </w:p>
        </w:tc>
        <w:tc>
          <w:tcPr>
            <w:tcBorders>
              <w:top w:val="single" w:color="000000" w:sz="4" w:space="0"/>
              <w:left w:val="single" w:color="000000" w:sz="4" w:space="0"/>
              <w:bottom w:val="single" w:color="000000" w:sz="4" w:space="0"/>
              <w:right w:val="single" w:color="000000" w:sz="4" w:space="0"/>
            </w:tcBorders>
            <w:tcW w:w="1752" w:type="dxa"/>
            <w:vAlign w:val="center"/>
          </w:tcPr>
          <w:p>
            <w:pPr>
              <w:pStyle w:val="12385"/>
              <w:pBdr/>
              <w:spacing/>
              <w:ind/>
              <w:rPr/>
            </w:pPr>
            <w:r>
              <w:t xml:space="preserve">Котлы</w:t>
            </w:r>
            <w:r/>
          </w:p>
        </w:tc>
        <w:tc>
          <w:tcPr>
            <w:tcBorders>
              <w:top w:val="single" w:color="000000" w:sz="4" w:space="0"/>
              <w:left w:val="single" w:color="000000" w:sz="4" w:space="0"/>
              <w:bottom w:val="single" w:color="000000" w:sz="4" w:space="0"/>
              <w:right w:val="single" w:color="000000" w:sz="4" w:space="0"/>
            </w:tcBorders>
            <w:tcW w:w="1034" w:type="dxa"/>
            <w:vAlign w:val="center"/>
          </w:tcPr>
          <w:p>
            <w:pPr>
              <w:pStyle w:val="12385"/>
              <w:pBdr/>
              <w:spacing/>
              <w:ind/>
              <w:rPr/>
            </w:pPr>
            <w:r>
              <w:t xml:space="preserve">2</w:t>
            </w:r>
            <w:r/>
          </w:p>
        </w:tc>
        <w:tc>
          <w:tcPr>
            <w:tcBorders>
              <w:top w:val="single" w:color="000000" w:sz="4" w:space="0"/>
              <w:left w:val="single" w:color="000000" w:sz="4" w:space="0"/>
              <w:bottom w:val="single" w:color="000000" w:sz="4" w:space="0"/>
              <w:right w:val="single" w:color="000000" w:sz="4" w:space="0"/>
            </w:tcBorders>
            <w:tcW w:w="1525" w:type="dxa"/>
            <w:vAlign w:val="center"/>
          </w:tcPr>
          <w:p>
            <w:pPr>
              <w:pStyle w:val="12385"/>
              <w:pBdr/>
              <w:spacing/>
              <w:ind/>
              <w:rPr/>
            </w:pPr>
            <w:r>
              <w:t xml:space="preserve">Дымовые трубы</w:t>
            </w:r>
            <w:r/>
          </w:p>
        </w:tc>
        <w:tc>
          <w:tcPr>
            <w:tcBorders>
              <w:top w:val="single" w:color="000000" w:sz="4" w:space="0"/>
              <w:left w:val="single" w:color="000000" w:sz="4" w:space="0"/>
              <w:bottom w:val="single" w:color="000000" w:sz="4" w:space="0"/>
              <w:right w:val="single" w:color="000000" w:sz="4" w:space="0"/>
            </w:tcBorders>
            <w:tcW w:w="1562" w:type="dxa"/>
            <w:vAlign w:val="center"/>
          </w:tcPr>
          <w:p>
            <w:pPr>
              <w:pStyle w:val="12385"/>
              <w:pBdr/>
              <w:spacing/>
              <w:ind/>
              <w:rPr/>
            </w:pPr>
            <w:r>
              <w:t xml:space="preserve">5</w:t>
            </w:r>
            <w:r/>
          </w:p>
        </w:tc>
        <w:tc>
          <w:tcPr>
            <w:tcBorders>
              <w:top w:val="single" w:color="000000" w:sz="4" w:space="0"/>
              <w:left w:val="single" w:color="000000" w:sz="4" w:space="0"/>
              <w:bottom w:val="single" w:color="000000" w:sz="4" w:space="0"/>
              <w:right w:val="single" w:color="000000" w:sz="4" w:space="0"/>
            </w:tcBorders>
            <w:tcW w:w="1609" w:type="dxa"/>
            <w:vAlign w:val="center"/>
          </w:tcPr>
          <w:p>
            <w:pPr>
              <w:pStyle w:val="12385"/>
              <w:pBdr/>
              <w:spacing/>
              <w:ind/>
              <w:rPr/>
            </w:pPr>
            <w:r>
              <w:t xml:space="preserve">0,22</w:t>
            </w:r>
            <w:r/>
          </w:p>
        </w:tc>
      </w:tr>
    </w:tbl>
    <w:p>
      <w:pPr>
        <w:pBdr/>
        <w:spacing/>
        <w:ind/>
        <w:rPr/>
        <w:sectPr>
          <w:headerReference w:type="default" r:id="rId268"/>
          <w:headerReference w:type="first" r:id="rId269"/>
          <w:footerReference w:type="default" r:id="rId540"/>
          <w:footerReference w:type="even" r:id="rId541"/>
          <w:footerReference w:type="first" r:id="rId542"/>
          <w:footnotePr/>
          <w:endnotePr/>
          <w:type w:val="nextPage"/>
          <w:pgSz w:h="16838" w:orient="portrait" w:w="11906"/>
          <w:pgMar w:top="1134" w:right="850" w:bottom="1134" w:left="1701" w:header="567" w:footer="454" w:gutter="0"/>
          <w:cols w:num="1" w:sep="0" w:space="1701" w:equalWidth="1"/>
        </w:sectPr>
      </w:pPr>
      <w:r/>
      <w:r/>
    </w:p>
    <w:p>
      <w:pPr>
        <w:pStyle w:val="12960"/>
        <w:pBdr/>
        <w:spacing/>
        <w:ind/>
        <w:rPr>
          <w:b/>
        </w:rPr>
      </w:pPr>
      <w:r>
        <w:rPr>
          <w:b/>
        </w:rPr>
        <w:t xml:space="preserve">Таблица 18.1.2.2. - Валовые и максимальны разовые выбросы загрязняющих веществ в атмосферный воздух в 2025 году</w:t>
      </w:r>
      <w:r>
        <w:rPr>
          <w:b/>
        </w:rPr>
      </w:r>
    </w:p>
    <w:tbl>
      <w:tblPr>
        <w:tblInd w:w="0" w:type="dxa"/>
        <w:tblW w:w="5000" w:type="pct"/>
        <w:tblCellMar>
          <w:left w:w="11" w:type="dxa"/>
          <w:top w:w="0" w:type="dxa"/>
          <w:right w:w="11" w:type="dxa"/>
          <w:bottom w:w="0" w:type="dxa"/>
        </w:tblCellMar>
        <w:tblBorders/>
        <w:tblLayout w:type="fixed"/>
        <w:tblLook w:val="0000" w:firstRow="0" w:lastRow="0" w:firstColumn="0" w:lastColumn="0" w:noHBand="0" w:noVBand="0"/>
      </w:tblPr>
      <w:tblGrid>
        <w:gridCol w:w="3234"/>
        <w:gridCol w:w="3009"/>
        <w:gridCol w:w="2677"/>
        <w:gridCol w:w="2509"/>
        <w:gridCol w:w="2858"/>
      </w:tblGrid>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234" w:type="dxa"/>
            <w:vAlign w:val="center"/>
            <w:vMerge w:val="restart"/>
          </w:tcPr>
          <w:p>
            <w:pPr>
              <w:pStyle w:val="12385"/>
              <w:pBdr/>
              <w:spacing/>
              <w:ind/>
              <w:rPr>
                <w:sz w:val="18"/>
                <w:szCs w:val="18"/>
              </w:rPr>
            </w:pPr>
            <w:r>
              <w:rPr>
                <w:sz w:val="18"/>
                <w:szCs w:val="18"/>
              </w:rPr>
              <w:t xml:space="preserve">Адрес или наименование котельной</w:t>
            </w:r>
            <w:r>
              <w:rPr>
                <w:sz w:val="18"/>
                <w:szCs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009" w:type="dxa"/>
            <w:vAlign w:val="center"/>
            <w:vMerge w:val="restart"/>
          </w:tcPr>
          <w:p>
            <w:pPr>
              <w:pStyle w:val="12385"/>
              <w:pBdr/>
              <w:spacing/>
              <w:ind/>
              <w:rPr>
                <w:sz w:val="18"/>
                <w:szCs w:val="18"/>
              </w:rPr>
            </w:pPr>
            <w:r>
              <w:rPr>
                <w:sz w:val="18"/>
                <w:szCs w:val="18"/>
              </w:rPr>
              <w:t xml:space="preserve">Наименование вредного (загрязняющего) вещества</w:t>
            </w:r>
            <w:r>
              <w:rPr>
                <w:sz w:val="18"/>
                <w:szCs w:val="18"/>
              </w:rPr>
            </w:r>
          </w:p>
        </w:tc>
        <w:tc>
          <w:tcPr>
            <w:gridSpan w:val="3"/>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8044" w:type="dxa"/>
            <w:vAlign w:val="center"/>
          </w:tcPr>
          <w:p>
            <w:pPr>
              <w:pStyle w:val="12385"/>
              <w:pBdr/>
              <w:spacing/>
              <w:ind/>
              <w:rPr>
                <w:sz w:val="18"/>
                <w:szCs w:val="18"/>
              </w:rPr>
            </w:pPr>
            <w:r>
              <w:rPr>
                <w:sz w:val="18"/>
                <w:szCs w:val="18"/>
              </w:rPr>
              <w:t xml:space="preserve">Выбросы загрязняющих веществ за 2025 год</w:t>
            </w:r>
            <w:r>
              <w:rPr>
                <w:sz w:val="18"/>
                <w:szCs w:val="18"/>
              </w:rPr>
            </w:r>
          </w:p>
        </w:tc>
      </w:tr>
      <w:tr>
        <w:trPr>
          <w:trHeight w:val="20"/>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3009" w:type="dxa"/>
            <w:vAlign w:val="center"/>
            <w:vMerge w:val="continue"/>
          </w:tcPr>
          <w:p>
            <w:pPr>
              <w:pStyle w:val="12385"/>
              <w:pBdr/>
              <w:spacing/>
              <w:ind/>
              <w:rPr>
                <w:sz w:val="18"/>
                <w:szCs w:val="18"/>
              </w:rPr>
            </w:pPr>
            <w:r>
              <w:rPr>
                <w:sz w:val="18"/>
                <w:szCs w:val="18"/>
              </w:rPr>
            </w:r>
            <w:r>
              <w:rPr>
                <w:sz w:val="18"/>
                <w:szCs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t xml:space="preserve">г/с</w:t>
            </w:r>
            <w:r>
              <w:rPr>
                <w:sz w:val="18"/>
                <w:szCs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t xml:space="preserve">мг/м</w:t>
            </w:r>
            <w:r>
              <w:rPr>
                <w:sz w:val="18"/>
                <w:szCs w:val="18"/>
                <w:vertAlign w:val="superscript"/>
              </w:rPr>
              <w:t xml:space="preserve">3</w:t>
            </w:r>
            <w:r>
              <w:rPr>
                <w:sz w:val="18"/>
                <w:szCs w:val="18"/>
              </w:rP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t xml:space="preserve">т/год</w:t>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restart"/>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sz w:val="18"/>
                <w:szCs w:val="18"/>
              </w:rPr>
            </w:pPr>
            <w:r>
              <w:rPr>
                <w:color w:val="000000"/>
                <w:sz w:val="18"/>
                <w:szCs w:val="18"/>
              </w:rPr>
              <w:t xml:space="preserve">Азота диоксид (Двуокись азота; пероксид азота)</w:t>
            </w:r>
            <w:r>
              <w:rPr>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sz w:val="18"/>
                <w:szCs w:val="18"/>
              </w:rPr>
            </w:pPr>
            <w:r>
              <w:rPr>
                <w:color w:val="000000"/>
                <w:sz w:val="18"/>
                <w:szCs w:val="18"/>
              </w:rPr>
              <w:t xml:space="preserve">Азот (II) оксид (Азот монооксид)</w:t>
            </w:r>
            <w:r>
              <w:rPr>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sz w:val="18"/>
                <w:szCs w:val="18"/>
              </w:rPr>
            </w:pPr>
            <w:r>
              <w:rPr>
                <w:color w:val="000000"/>
                <w:sz w:val="18"/>
                <w:szCs w:val="18"/>
              </w:rPr>
              <w:t xml:space="preserve">Углерод (Пигмент черный)</w:t>
            </w:r>
            <w:r>
              <w:rPr>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sz w:val="18"/>
                <w:szCs w:val="18"/>
              </w:rPr>
            </w:pPr>
            <w:r>
              <w:rPr>
                <w:color w:val="000000"/>
                <w:sz w:val="18"/>
                <w:szCs w:val="18"/>
              </w:rPr>
              <w:t xml:space="preserve">Сера диоксид</w:t>
            </w:r>
            <w:r>
              <w:rPr>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sz w:val="18"/>
                <w:szCs w:val="18"/>
              </w:rPr>
            </w:pPr>
            <w:r>
              <w:rPr>
                <w:color w:val="000000"/>
                <w:sz w:val="18"/>
                <w:szCs w:val="18"/>
              </w:rPr>
              <w:t xml:space="preserve">Углерода оксид (Углерод окись; углерод моноокись; угарный газ)</w:t>
            </w:r>
            <w:r>
              <w:rPr>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sz w:val="18"/>
                <w:szCs w:val="18"/>
              </w:rPr>
            </w:pPr>
            <w:r>
              <w:rPr>
                <w:color w:val="000000"/>
                <w:sz w:val="18"/>
                <w:szCs w:val="18"/>
              </w:rPr>
              <w:t xml:space="preserve">Бенз/а/пирен</w:t>
            </w:r>
            <w:r>
              <w:rPr>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color w:val="000000"/>
                <w:sz w:val="18"/>
                <w:szCs w:val="18"/>
              </w:rPr>
            </w:pPr>
            <w:r>
              <w:rPr>
                <w:color w:val="000000"/>
                <w:sz w:val="18"/>
                <w:szCs w:val="18"/>
              </w:rPr>
              <w:t xml:space="preserve">Пыль неорганическая: 70-20% SiO2</w:t>
            </w:r>
            <w:r>
              <w:rPr>
                <w:color w:val="000000"/>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sz w:val="18"/>
                <w:szCs w:val="18"/>
              </w:rPr>
            </w:pPr>
            <w:r>
              <w:rPr>
                <w:sz w:val="18"/>
                <w:szCs w:val="18"/>
              </w:rPr>
            </w:r>
            <w:r>
              <w:rPr>
                <w:sz w:val="18"/>
                <w:szCs w:val="18"/>
              </w:rPr>
            </w:r>
          </w:p>
        </w:tc>
      </w:tr>
      <w:tr>
        <w:trPr>
          <w:trHeight w:val="20"/>
        </w:trPr>
        <w:tc>
          <w:tcPr>
            <w:tcBorders>
              <w:top w:val="single" w:color="000000" w:sz="4" w:space="0"/>
              <w:left w:val="single" w:color="000000" w:sz="4" w:space="0"/>
              <w:bottom w:val="single" w:color="000000" w:sz="4" w:space="0"/>
              <w:right w:val="single" w:color="000000" w:sz="4" w:space="0"/>
            </w:tcBorders>
            <w:tcW w:w="3234" w:type="dxa"/>
            <w:vAlign w:val="center"/>
            <w:vMerge w:val="continue"/>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3009" w:type="dxa"/>
            <w:vAlign w:val="center"/>
          </w:tcPr>
          <w:p>
            <w:pPr>
              <w:pStyle w:val="12385"/>
              <w:pBdr/>
              <w:spacing/>
              <w:ind/>
              <w:rPr>
                <w:color w:val="000000"/>
                <w:sz w:val="18"/>
                <w:szCs w:val="18"/>
              </w:rPr>
            </w:pPr>
            <w:r>
              <w:rPr>
                <w:color w:val="000000"/>
                <w:sz w:val="18"/>
                <w:szCs w:val="18"/>
              </w:rPr>
              <w:t xml:space="preserve">Пыль неорганическая: до 20% SiO2</w:t>
            </w:r>
            <w:r>
              <w:rPr>
                <w:color w:val="000000"/>
                <w:sz w:val="18"/>
                <w:szCs w:val="18"/>
              </w:rPr>
            </w:r>
          </w:p>
        </w:tc>
        <w:tc>
          <w:tcPr>
            <w:tcBorders>
              <w:top w:val="single" w:color="000000" w:sz="4" w:space="0"/>
              <w:left w:val="single" w:color="000000" w:sz="4" w:space="0"/>
              <w:bottom w:val="single" w:color="000000" w:sz="4" w:space="0"/>
              <w:right w:val="single" w:color="000000" w:sz="4" w:space="0"/>
            </w:tcBorders>
            <w:tcW w:w="2677" w:type="dxa"/>
            <w:vAlign w:val="center"/>
          </w:tcPr>
          <w:p>
            <w:pPr>
              <w:pStyle w:val="12385"/>
              <w:pBdr/>
              <w:spacing/>
              <w:ind/>
              <w:rPr>
                <w:color w:val="000000"/>
                <w:sz w:val="18"/>
                <w:szCs w:val="18"/>
              </w:rPr>
            </w:pPr>
            <w:r>
              <w:rPr>
                <w:color w:val="000000"/>
                <w:sz w:val="18"/>
                <w:szCs w:val="18"/>
              </w:rPr>
            </w:r>
            <w:r>
              <w:rPr>
                <w:color w:val="000000"/>
                <w:sz w:val="18"/>
                <w:szCs w:val="18"/>
              </w:rPr>
            </w:r>
          </w:p>
        </w:tc>
        <w:tc>
          <w:tcPr>
            <w:tcBorders>
              <w:top w:val="single" w:color="000000" w:sz="4" w:space="0"/>
              <w:left w:val="single" w:color="000000" w:sz="4" w:space="0"/>
              <w:bottom w:val="single" w:color="000000" w:sz="4" w:space="0"/>
              <w:right w:val="single" w:color="000000" w:sz="4" w:space="0"/>
            </w:tcBorders>
            <w:tcW w:w="2509" w:type="dxa"/>
            <w:vAlign w:val="center"/>
          </w:tcPr>
          <w:p>
            <w:pPr>
              <w:pStyle w:val="12385"/>
              <w:pBdr/>
              <w:spacing/>
              <w:ind/>
              <w:rPr>
                <w:sz w:val="18"/>
                <w:szCs w:val="18"/>
              </w:rPr>
            </w:pPr>
            <w:r>
              <w:rPr>
                <w:sz w:val="18"/>
                <w:szCs w:val="18"/>
              </w:rPr>
            </w:r>
            <w:r>
              <w:rPr>
                <w:sz w:val="18"/>
                <w:szCs w:val="18"/>
              </w:rPr>
            </w:r>
          </w:p>
        </w:tc>
        <w:tc>
          <w:tcPr>
            <w:tcBorders>
              <w:top w:val="single" w:color="000000" w:sz="4" w:space="0"/>
              <w:left w:val="single" w:color="000000" w:sz="4" w:space="0"/>
              <w:bottom w:val="single" w:color="000000" w:sz="4" w:space="0"/>
              <w:right w:val="single" w:color="000000" w:sz="4" w:space="0"/>
            </w:tcBorders>
            <w:tcW w:w="2858" w:type="dxa"/>
            <w:vAlign w:val="center"/>
          </w:tcPr>
          <w:p>
            <w:pPr>
              <w:pStyle w:val="12385"/>
              <w:pBdr/>
              <w:spacing/>
              <w:ind/>
              <w:rPr>
                <w:color w:val="000000"/>
                <w:sz w:val="18"/>
                <w:szCs w:val="18"/>
              </w:rPr>
            </w:pPr>
            <w:r>
              <w:rPr>
                <w:color w:val="000000"/>
                <w:sz w:val="18"/>
                <w:szCs w:val="18"/>
              </w:rPr>
            </w:r>
            <w:r>
              <w:rPr>
                <w:color w:val="000000"/>
                <w:sz w:val="18"/>
                <w:szCs w:val="18"/>
              </w:rPr>
            </w:r>
          </w:p>
        </w:tc>
      </w:tr>
    </w:tbl>
    <w:p>
      <w:pPr>
        <w:pStyle w:val="12960"/>
        <w:pBdr/>
        <w:spacing/>
        <w:ind/>
        <w:rPr/>
      </w:pPr>
      <w:r/>
      <w:r/>
    </w:p>
    <w:p>
      <w:pPr>
        <w:pStyle w:val="12960"/>
        <w:pBdr/>
        <w:spacing/>
        <w:ind/>
        <w:rPr>
          <w:b/>
        </w:rPr>
      </w:pPr>
      <w:r>
        <w:rPr>
          <w:b/>
        </w:rPr>
        <w:t xml:space="preserve">Таблица 18.1.2.3. - Описание объема (массы) образования и размещения отходов сжигания топлива</w:t>
      </w:r>
      <w:r>
        <w:rPr>
          <w:b/>
        </w:rPr>
      </w:r>
    </w:p>
    <w:tbl>
      <w:tblPr>
        <w:jc w:val="center"/>
        <w:tblInd w:w="0" w:type="dxa"/>
        <w:tblW w:w="5000" w:type="pct"/>
        <w:tblCellMar>
          <w:left w:w="108" w:type="dxa"/>
          <w:top w:w="0" w:type="dxa"/>
          <w:right w:w="108" w:type="dxa"/>
          <w:bottom w:w="0" w:type="dxa"/>
        </w:tblCellMar>
        <w:tblBorders/>
        <w:tblLayout w:type="fixed"/>
        <w:tblLook w:val="0000" w:firstRow="0" w:lastRow="0" w:firstColumn="0" w:lastColumn="0" w:noHBand="0" w:noVBand="0"/>
      </w:tblPr>
      <w:tblGrid>
        <w:gridCol w:w="2667"/>
        <w:gridCol w:w="5345"/>
        <w:gridCol w:w="6275"/>
      </w:tblGrid>
      <w:tr>
        <w:trPr>
          <w:tblHeader/>
        </w:trPr>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2667" w:type="dxa"/>
            <w:vAlign w:val="center"/>
          </w:tcPr>
          <w:p>
            <w:pPr>
              <w:pStyle w:val="12385"/>
              <w:pBdr/>
              <w:spacing/>
              <w:ind/>
              <w:rPr/>
            </w:pPr>
            <w:r>
              <w:t xml:space="preserve">Наименование котельной</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5345" w:type="dxa"/>
            <w:vAlign w:val="center"/>
          </w:tcPr>
          <w:p>
            <w:pPr>
              <w:pStyle w:val="12385"/>
              <w:pBdr/>
              <w:spacing/>
              <w:ind/>
              <w:rPr/>
            </w:pPr>
            <w:r>
              <w:t xml:space="preserve">Объем (масса) образования отходов сжигания топлива – природный газ, т</w:t>
            </w:r>
            <w:r/>
          </w:p>
        </w:tc>
        <w:tc>
          <w:tcPr>
            <w:shd w:val="clear" w:color="auto" w:fill="d9d9d9" w:themeFill="background1" w:themeFillShade="D9"/>
            <w:tcBorders>
              <w:top w:val="single" w:color="000000" w:sz="4" w:space="0"/>
              <w:left w:val="single" w:color="000000" w:sz="4" w:space="0"/>
              <w:bottom w:val="single" w:color="000000" w:sz="4" w:space="0"/>
              <w:right w:val="single" w:color="000000" w:sz="4" w:space="0"/>
            </w:tcBorders>
            <w:tcW w:w="6275" w:type="dxa"/>
            <w:vAlign w:val="center"/>
          </w:tcPr>
          <w:p>
            <w:pPr>
              <w:pStyle w:val="12385"/>
              <w:pBdr/>
              <w:spacing/>
              <w:ind/>
              <w:rPr/>
            </w:pPr>
            <w:r>
              <w:t xml:space="preserve">Размещение отходов сжигания топлива - природный газ</w:t>
            </w:r>
            <w:r/>
          </w:p>
        </w:tc>
      </w:tr>
      <w:tr>
        <w:trPr/>
        <w:tc>
          <w:tcPr>
            <w:tcBorders>
              <w:top w:val="single" w:color="000000" w:sz="4" w:space="0"/>
              <w:left w:val="single" w:color="000000" w:sz="4" w:space="0"/>
              <w:bottom w:val="single" w:color="000000" w:sz="4" w:space="0"/>
              <w:right w:val="single" w:color="000000" w:sz="4" w:space="0"/>
            </w:tcBorders>
            <w:tcW w:w="2667" w:type="dxa"/>
            <w:vAlign w:val="center"/>
          </w:tcPr>
          <w:p>
            <w:pPr>
              <w:pStyle w:val="12385"/>
              <w:pBdr/>
              <w:spacing/>
              <w:ind/>
              <w:rPr/>
            </w:pPr>
            <w:r>
              <w:rPr>
                <w:rFonts w:cs="Times New Roman CYR"/>
                <w:color w:val="000000"/>
                <w:sz w:val="18"/>
                <w:szCs w:val="18"/>
              </w:rPr>
              <w:t xml:space="preserve">/</w:t>
            </w:r>
            <w:r/>
          </w:p>
        </w:tc>
        <w:tc>
          <w:tcPr>
            <w:tcBorders>
              <w:top w:val="single" w:color="000000" w:sz="4" w:space="0"/>
              <w:left w:val="single" w:color="000000" w:sz="4" w:space="0"/>
              <w:bottom w:val="single" w:color="000000" w:sz="4" w:space="0"/>
              <w:right w:val="single" w:color="000000" w:sz="4" w:space="0"/>
            </w:tcBorders>
            <w:tcW w:w="5345" w:type="dxa"/>
            <w:vAlign w:val="center"/>
          </w:tcPr>
          <w:p>
            <w:pPr>
              <w:pStyle w:val="12385"/>
              <w:pBdr/>
              <w:spacing/>
              <w:ind/>
              <w:rPr/>
            </w:pPr>
            <w:r/>
            <w:r/>
          </w:p>
        </w:tc>
        <w:tc>
          <w:tcPr>
            <w:tcBorders>
              <w:top w:val="single" w:color="000000" w:sz="4" w:space="0"/>
              <w:left w:val="single" w:color="000000" w:sz="4" w:space="0"/>
              <w:bottom w:val="single" w:color="000000" w:sz="4" w:space="0"/>
              <w:right w:val="single" w:color="000000" w:sz="4" w:space="0"/>
            </w:tcBorders>
            <w:tcW w:w="6275" w:type="dxa"/>
            <w:vAlign w:val="center"/>
          </w:tcPr>
          <w:p>
            <w:pPr>
              <w:pStyle w:val="12385"/>
              <w:pBdr/>
              <w:spacing/>
              <w:ind/>
              <w:rPr/>
            </w:pPr>
            <w:r/>
            <w:r/>
          </w:p>
        </w:tc>
      </w:tr>
    </w:tbl>
    <w:p>
      <w:pPr>
        <w:pStyle w:val="12960"/>
        <w:pBdr/>
        <w:spacing/>
        <w:ind/>
        <w:rPr/>
      </w:pPr>
      <w:r/>
      <w:r/>
    </w:p>
    <w:p>
      <w:pPr>
        <w:pStyle w:val="12960"/>
        <w:pBdr/>
        <w:spacing/>
        <w:ind/>
        <w:rPr>
          <w:b/>
        </w:rPr>
      </w:pPr>
      <w:r>
        <w:rPr>
          <w:b/>
        </w:rPr>
        <w:t xml:space="preserve">Таблица 18.1.2.4. - Результаты расчетов максимальных разовых концентраций вредных (загрязняющих) веществ в приземном слое атмосферного воздуха от объектов</w:t>
      </w:r>
      <w:r>
        <w:rPr>
          <w:b/>
        </w:rPr>
      </w:r>
    </w:p>
    <w:tbl>
      <w:tblPr>
        <w:tblInd w:w="0" w:type="dxa"/>
        <w:tblW w:w="5000" w:type="pct"/>
        <w:tblCellMar>
          <w:left w:w="108" w:type="dxa"/>
          <w:top w:w="0" w:type="dxa"/>
          <w:right w:w="108" w:type="dxa"/>
          <w:bottom w:w="0" w:type="dxa"/>
        </w:tblCellMar>
        <w:tblBorders/>
        <w:tblLayout w:type="fixed"/>
        <w:tblLook w:val="04A0" w:firstRow="1" w:lastRow="0" w:firstColumn="1" w:lastColumn="0" w:noHBand="0" w:noVBand="1"/>
      </w:tblPr>
      <w:tblGrid>
        <w:gridCol w:w="3033"/>
        <w:gridCol w:w="1900"/>
        <w:gridCol w:w="1875"/>
        <w:gridCol w:w="1852"/>
        <w:gridCol w:w="1900"/>
        <w:gridCol w:w="1875"/>
        <w:gridCol w:w="1851"/>
      </w:tblGrid>
      <w:tr>
        <w:trPr>
          <w:trHeight w:val="20"/>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3033" w:type="dxa"/>
            <w:vAlign w:val="center"/>
            <w:vMerge w:val="restart"/>
          </w:tcPr>
          <w:p>
            <w:pPr>
              <w:pStyle w:val="12385"/>
              <w:pBdr/>
              <w:spacing/>
              <w:ind/>
              <w:rPr>
                <w:rFonts w:cs="Times New Roman"/>
                <w:szCs w:val="20"/>
              </w:rPr>
            </w:pPr>
            <w:r>
              <w:rPr>
                <w:rFonts w:cs="Times New Roman"/>
              </w:rPr>
              <w:t xml:space="preserve">Наименование вещества</w:t>
            </w:r>
            <w:r>
              <w:rPr>
                <w:rFonts w:cs="Times New Roman"/>
                <w:szCs w:val="20"/>
              </w:rPr>
            </w:r>
          </w:p>
        </w:tc>
        <w:tc>
          <w:tcPr>
            <w:gridSpan w:val="3"/>
            <w:shd w:val="clear" w:color="auto" w:fill="d9d9d9" w:themeFill="background1" w:themeFillShade="D9"/>
            <w:tcBorders>
              <w:top w:val="single" w:color="000000" w:sz="8" w:space="0"/>
              <w:bottom w:val="single" w:color="000000" w:sz="8" w:space="0"/>
              <w:right w:val="single" w:color="000000" w:sz="8" w:space="0"/>
            </w:tcBorders>
            <w:tcW w:w="5627" w:type="dxa"/>
            <w:vAlign w:val="center"/>
          </w:tcPr>
          <w:p>
            <w:pPr>
              <w:pStyle w:val="12385"/>
              <w:pBdr/>
              <w:spacing/>
              <w:ind/>
              <w:rPr>
                <w:rFonts w:cs="Times New Roman"/>
                <w:szCs w:val="20"/>
              </w:rPr>
            </w:pPr>
            <w:r>
              <w:rPr>
                <w:rFonts w:cs="Times New Roman"/>
              </w:rPr>
              <w:t xml:space="preserve">Лето</w:t>
            </w:r>
            <w:r>
              <w:rPr>
                <w:rFonts w:cs="Times New Roman"/>
                <w:szCs w:val="20"/>
              </w:rPr>
            </w:r>
          </w:p>
        </w:tc>
        <w:tc>
          <w:tcPr>
            <w:gridSpan w:val="3"/>
            <w:shd w:val="clear" w:color="auto" w:fill="d9d9d9" w:themeFill="background1" w:themeFillShade="D9"/>
            <w:tcBorders>
              <w:top w:val="single" w:color="000000" w:sz="8" w:space="0"/>
              <w:bottom w:val="single" w:color="000000" w:sz="8" w:space="0"/>
              <w:right w:val="single" w:color="000000" w:sz="8" w:space="0"/>
            </w:tcBorders>
            <w:tcW w:w="5626" w:type="dxa"/>
            <w:vAlign w:val="center"/>
          </w:tcPr>
          <w:p>
            <w:pPr>
              <w:pStyle w:val="12385"/>
              <w:pBdr/>
              <w:spacing/>
              <w:ind/>
              <w:rPr>
                <w:rFonts w:cs="Times New Roman"/>
                <w:szCs w:val="20"/>
              </w:rPr>
            </w:pPr>
            <w:r>
              <w:rPr>
                <w:rFonts w:cs="Times New Roman"/>
              </w:rPr>
              <w:t xml:space="preserve">Зима</w:t>
            </w:r>
            <w:r>
              <w:rPr>
                <w:rFonts w:cs="Times New Roman"/>
                <w:szCs w:val="20"/>
              </w:rPr>
            </w:r>
          </w:p>
        </w:tc>
      </w:tr>
      <w:tr>
        <w:trPr>
          <w:trHeight w:val="20"/>
          <w:tblHeader/>
        </w:trPr>
        <w:tc>
          <w:tcPr>
            <w:shd w:val="clear" w:color="auto" w:fill="d9d9d9" w:themeFill="background1" w:themeFillShade="D9"/>
            <w:tcBorders>
              <w:top w:val="single" w:color="000000" w:sz="8" w:space="0"/>
              <w:left w:val="single" w:color="000000" w:sz="8" w:space="0"/>
              <w:bottom w:val="single" w:color="000000" w:sz="8" w:space="0"/>
              <w:right w:val="single" w:color="000000" w:sz="8" w:space="0"/>
            </w:tcBorders>
            <w:tcW w:w="3033" w:type="dxa"/>
            <w:vAlign w:val="center"/>
            <w:vMerge w:val="continue"/>
          </w:tcPr>
          <w:p>
            <w:pPr>
              <w:pStyle w:val="12385"/>
              <w:pBdr/>
              <w:spacing/>
              <w:ind/>
              <w:rPr>
                <w:rFonts w:cs="Times New Roman"/>
                <w:szCs w:val="20"/>
              </w:rPr>
            </w:pPr>
            <w:r>
              <w:rPr>
                <w:rFonts w:cs="Times New Roman"/>
                <w:szCs w:val="20"/>
              </w:rPr>
            </w:r>
            <w:r>
              <w:rPr>
                <w:rFonts w:cs="Times New Roman"/>
                <w:szCs w:val="20"/>
              </w:rPr>
            </w:r>
          </w:p>
        </w:tc>
        <w:tc>
          <w:tcPr>
            <w:shd w:val="clear" w:color="auto" w:fill="d9d9d9" w:themeFill="background1" w:themeFillShade="D9"/>
            <w:tcBorders>
              <w:bottom w:val="single" w:color="000000" w:sz="8" w:space="0"/>
              <w:right w:val="single" w:color="000000" w:sz="8" w:space="0"/>
            </w:tcBorders>
            <w:tcW w:w="1900" w:type="dxa"/>
            <w:vAlign w:val="center"/>
          </w:tcPr>
          <w:p>
            <w:pPr>
              <w:pStyle w:val="12385"/>
              <w:pBdr/>
              <w:spacing/>
              <w:ind/>
              <w:rPr>
                <w:rFonts w:cs="Times New Roman"/>
                <w:szCs w:val="20"/>
              </w:rPr>
            </w:pPr>
            <w:r>
              <w:rPr>
                <w:rFonts w:cs="Times New Roman"/>
              </w:rPr>
              <w:t xml:space="preserve">Cm/ПДК</w:t>
            </w:r>
            <w:r>
              <w:rPr>
                <w:rFonts w:cs="Times New Roman"/>
                <w:szCs w:val="20"/>
              </w:rPr>
            </w:r>
          </w:p>
        </w:tc>
        <w:tc>
          <w:tcPr>
            <w:shd w:val="clear" w:color="auto" w:fill="d9d9d9" w:themeFill="background1" w:themeFillShade="D9"/>
            <w:tcBorders>
              <w:bottom w:val="single" w:color="000000" w:sz="8" w:space="0"/>
              <w:right w:val="single" w:color="000000" w:sz="8" w:space="0"/>
            </w:tcBorders>
            <w:tcW w:w="1875" w:type="dxa"/>
            <w:vAlign w:val="center"/>
          </w:tcPr>
          <w:p>
            <w:pPr>
              <w:pStyle w:val="12385"/>
              <w:pBdr/>
              <w:spacing/>
              <w:ind/>
              <w:rPr>
                <w:rFonts w:cs="Times New Roman"/>
                <w:i/>
                <w:iCs/>
                <w:szCs w:val="20"/>
              </w:rPr>
            </w:pPr>
            <w:r>
              <w:rPr>
                <w:rFonts w:cs="Times New Roman"/>
                <w:i/>
                <w:iCs/>
              </w:rPr>
              <w:t xml:space="preserve">X</w:t>
            </w:r>
            <w:r>
              <w:rPr>
                <w:rFonts w:cs="Times New Roman"/>
                <w:i/>
                <w:iCs/>
                <w:sz w:val="13"/>
                <w:szCs w:val="13"/>
              </w:rPr>
              <w:t xml:space="preserve">m</w:t>
            </w:r>
            <w:r>
              <w:rPr>
                <w:rFonts w:cs="Times New Roman"/>
                <w:szCs w:val="20"/>
              </w:rPr>
              <w:t xml:space="preserve">, м</w:t>
            </w:r>
            <w:r>
              <w:rPr>
                <w:rFonts w:cs="Times New Roman"/>
                <w:i/>
                <w:iCs/>
                <w:szCs w:val="20"/>
              </w:rPr>
            </w:r>
          </w:p>
        </w:tc>
        <w:tc>
          <w:tcPr>
            <w:shd w:val="clear" w:color="auto" w:fill="d9d9d9" w:themeFill="background1" w:themeFillShade="D9"/>
            <w:tcBorders>
              <w:bottom w:val="single" w:color="000000" w:sz="8" w:space="0"/>
              <w:right w:val="single" w:color="000000" w:sz="8" w:space="0"/>
            </w:tcBorders>
            <w:tcW w:w="1852" w:type="dxa"/>
            <w:vAlign w:val="center"/>
          </w:tcPr>
          <w:p>
            <w:pPr>
              <w:pStyle w:val="12385"/>
              <w:pBdr/>
              <w:spacing/>
              <w:ind/>
              <w:rPr>
                <w:rFonts w:cs="Times New Roman"/>
                <w:i/>
                <w:iCs/>
                <w:szCs w:val="20"/>
              </w:rPr>
            </w:pPr>
            <w:r>
              <w:rPr>
                <w:rFonts w:cs="Times New Roman"/>
                <w:i/>
                <w:iCs/>
              </w:rPr>
              <w:t xml:space="preserve">U</w:t>
            </w:r>
            <w:r>
              <w:rPr>
                <w:rFonts w:cs="Times New Roman"/>
                <w:i/>
                <w:iCs/>
                <w:sz w:val="13"/>
                <w:szCs w:val="13"/>
              </w:rPr>
              <w:t xml:space="preserve">m</w:t>
            </w:r>
            <w:r>
              <w:rPr>
                <w:rFonts w:cs="Times New Roman"/>
                <w:i/>
                <w:iCs/>
                <w:szCs w:val="20"/>
              </w:rPr>
              <w:t xml:space="preserve">, м/с</w:t>
            </w:r>
            <w:r>
              <w:rPr>
                <w:rFonts w:cs="Times New Roman"/>
                <w:i/>
                <w:iCs/>
                <w:szCs w:val="20"/>
              </w:rPr>
            </w:r>
          </w:p>
        </w:tc>
        <w:tc>
          <w:tcPr>
            <w:shd w:val="clear" w:color="auto" w:fill="d9d9d9" w:themeFill="background1" w:themeFillShade="D9"/>
            <w:tcBorders>
              <w:bottom w:val="single" w:color="000000" w:sz="8" w:space="0"/>
              <w:right w:val="single" w:color="000000" w:sz="8" w:space="0"/>
            </w:tcBorders>
            <w:tcW w:w="1900" w:type="dxa"/>
            <w:vAlign w:val="center"/>
          </w:tcPr>
          <w:p>
            <w:pPr>
              <w:pStyle w:val="12385"/>
              <w:pBdr/>
              <w:spacing/>
              <w:ind/>
              <w:rPr>
                <w:rFonts w:cs="Times New Roman"/>
                <w:szCs w:val="20"/>
              </w:rPr>
            </w:pPr>
            <w:r>
              <w:rPr>
                <w:rFonts w:cs="Times New Roman"/>
              </w:rPr>
              <w:t xml:space="preserve">Cm/ПДК</w:t>
            </w:r>
            <w:r>
              <w:rPr>
                <w:rFonts w:cs="Times New Roman"/>
                <w:szCs w:val="20"/>
              </w:rPr>
            </w:r>
          </w:p>
        </w:tc>
        <w:tc>
          <w:tcPr>
            <w:shd w:val="clear" w:color="auto" w:fill="d9d9d9" w:themeFill="background1" w:themeFillShade="D9"/>
            <w:tcBorders>
              <w:bottom w:val="single" w:color="000000" w:sz="8" w:space="0"/>
              <w:right w:val="single" w:color="000000" w:sz="8" w:space="0"/>
            </w:tcBorders>
            <w:tcW w:w="1875" w:type="dxa"/>
            <w:vAlign w:val="center"/>
          </w:tcPr>
          <w:p>
            <w:pPr>
              <w:pStyle w:val="12385"/>
              <w:pBdr/>
              <w:spacing/>
              <w:ind/>
              <w:rPr>
                <w:rFonts w:cs="Times New Roman"/>
                <w:i/>
                <w:iCs/>
                <w:szCs w:val="20"/>
              </w:rPr>
            </w:pPr>
            <w:r>
              <w:rPr>
                <w:rFonts w:cs="Times New Roman"/>
                <w:i/>
                <w:iCs/>
              </w:rPr>
              <w:t xml:space="preserve">X</w:t>
            </w:r>
            <w:r>
              <w:rPr>
                <w:rFonts w:cs="Times New Roman"/>
                <w:i/>
                <w:iCs/>
                <w:sz w:val="13"/>
                <w:szCs w:val="13"/>
              </w:rPr>
              <w:t xml:space="preserve">m</w:t>
            </w:r>
            <w:r>
              <w:rPr>
                <w:rFonts w:cs="Times New Roman"/>
                <w:szCs w:val="20"/>
              </w:rPr>
              <w:t xml:space="preserve">, м</w:t>
            </w:r>
            <w:r>
              <w:rPr>
                <w:rFonts w:cs="Times New Roman"/>
                <w:i/>
                <w:iCs/>
                <w:szCs w:val="20"/>
              </w:rPr>
            </w:r>
          </w:p>
        </w:tc>
        <w:tc>
          <w:tcPr>
            <w:shd w:val="clear" w:color="auto" w:fill="d9d9d9" w:themeFill="background1" w:themeFillShade="D9"/>
            <w:tcBorders>
              <w:bottom w:val="single" w:color="000000" w:sz="8" w:space="0"/>
              <w:right w:val="single" w:color="000000" w:sz="8" w:space="0"/>
            </w:tcBorders>
            <w:tcW w:w="1851" w:type="dxa"/>
            <w:vAlign w:val="center"/>
          </w:tcPr>
          <w:p>
            <w:pPr>
              <w:pStyle w:val="12385"/>
              <w:pBdr/>
              <w:spacing/>
              <w:ind/>
              <w:rPr>
                <w:rFonts w:cs="Times New Roman"/>
                <w:i/>
                <w:iCs/>
                <w:szCs w:val="20"/>
              </w:rPr>
            </w:pPr>
            <w:r>
              <w:rPr>
                <w:rFonts w:cs="Times New Roman"/>
                <w:i/>
                <w:iCs/>
              </w:rPr>
              <w:t xml:space="preserve">U</w:t>
            </w:r>
            <w:r>
              <w:rPr>
                <w:rFonts w:cs="Times New Roman"/>
                <w:i/>
                <w:iCs/>
                <w:sz w:val="13"/>
                <w:szCs w:val="13"/>
              </w:rPr>
              <w:t xml:space="preserve">m</w:t>
            </w:r>
            <w:r>
              <w:rPr>
                <w:rFonts w:cs="Times New Roman"/>
                <w:i/>
                <w:iCs/>
                <w:szCs w:val="20"/>
              </w:rPr>
              <w:t xml:space="preserve">, м/с</w:t>
            </w:r>
            <w:r>
              <w:rPr>
                <w:rFonts w:cs="Times New Roman"/>
                <w:i/>
                <w:iCs/>
                <w:szCs w:val="20"/>
              </w:rPr>
            </w:r>
          </w:p>
        </w:tc>
      </w:tr>
      <w:tr>
        <w:trPr>
          <w:trHeight w:val="20"/>
        </w:trPr>
        <w:tc>
          <w:tcPr>
            <w:tcBorders>
              <w:left w:val="single" w:color="000000" w:sz="8" w:space="0"/>
              <w:bottom w:val="single" w:color="000000" w:sz="8" w:space="0"/>
              <w:right w:val="single" w:color="000000" w:sz="8" w:space="0"/>
            </w:tcBorders>
            <w:tcW w:w="3033" w:type="dxa"/>
          </w:tcPr>
          <w:p>
            <w:pPr>
              <w:pStyle w:val="12385"/>
              <w:pBdr/>
              <w:spacing/>
              <w:ind/>
              <w:rPr>
                <w:rFonts w:cs="Times New Roman"/>
                <w:szCs w:val="20"/>
              </w:rPr>
            </w:pPr>
            <w:r>
              <w:rPr>
                <w:rFonts w:cs="Times New Roman"/>
              </w:rPr>
              <w:t xml:space="preserve">-</w:t>
            </w:r>
            <w:r>
              <w:rPr>
                <w:rFonts w:cs="Times New Roman"/>
                <w:szCs w:val="20"/>
              </w:rPr>
            </w:r>
          </w:p>
        </w:tc>
        <w:tc>
          <w:tcPr>
            <w:tcBorders>
              <w:bottom w:val="single" w:color="000000" w:sz="8" w:space="0"/>
              <w:right w:val="single" w:color="000000" w:sz="8" w:space="0"/>
            </w:tcBorders>
            <w:tcW w:w="1900" w:type="dxa"/>
          </w:tcPr>
          <w:p>
            <w:pPr>
              <w:pStyle w:val="12385"/>
              <w:pBdr/>
              <w:spacing/>
              <w:ind/>
              <w:rPr>
                <w:rFonts w:cs="Times New Roman"/>
                <w:szCs w:val="20"/>
              </w:rPr>
            </w:pPr>
            <w:r>
              <w:rPr>
                <w:rFonts w:cs="Times New Roman"/>
              </w:rPr>
              <w:t xml:space="preserve">-</w:t>
            </w:r>
            <w:r>
              <w:rPr>
                <w:rFonts w:cs="Times New Roman"/>
                <w:szCs w:val="20"/>
              </w:rPr>
            </w:r>
          </w:p>
        </w:tc>
        <w:tc>
          <w:tcPr>
            <w:tcBorders>
              <w:bottom w:val="single" w:color="000000" w:sz="8" w:space="0"/>
              <w:right w:val="single" w:color="000000" w:sz="8" w:space="0"/>
            </w:tcBorders>
            <w:tcW w:w="1875" w:type="dxa"/>
          </w:tcPr>
          <w:p>
            <w:pPr>
              <w:pStyle w:val="12385"/>
              <w:pBdr/>
              <w:spacing/>
              <w:ind/>
              <w:rPr>
                <w:rFonts w:cs="Times New Roman"/>
                <w:szCs w:val="20"/>
              </w:rPr>
            </w:pPr>
            <w:r>
              <w:rPr>
                <w:rFonts w:cs="Times New Roman"/>
              </w:rPr>
              <w:t xml:space="preserve">-</w:t>
            </w:r>
            <w:r>
              <w:rPr>
                <w:rFonts w:cs="Times New Roman"/>
                <w:szCs w:val="20"/>
              </w:rPr>
            </w:r>
          </w:p>
        </w:tc>
        <w:tc>
          <w:tcPr>
            <w:tcBorders>
              <w:bottom w:val="single" w:color="000000" w:sz="8" w:space="0"/>
              <w:right w:val="single" w:color="000000" w:sz="8" w:space="0"/>
            </w:tcBorders>
            <w:tcW w:w="1852" w:type="dxa"/>
          </w:tcPr>
          <w:p>
            <w:pPr>
              <w:pStyle w:val="12385"/>
              <w:pBdr/>
              <w:spacing/>
              <w:ind/>
              <w:rPr>
                <w:rFonts w:cs="Times New Roman"/>
                <w:szCs w:val="20"/>
              </w:rPr>
            </w:pPr>
            <w:r>
              <w:rPr>
                <w:rFonts w:cs="Times New Roman"/>
              </w:rPr>
              <w:t xml:space="preserve">-</w:t>
            </w:r>
            <w:r>
              <w:rPr>
                <w:rFonts w:cs="Times New Roman"/>
                <w:szCs w:val="20"/>
              </w:rPr>
            </w:r>
          </w:p>
        </w:tc>
        <w:tc>
          <w:tcPr>
            <w:tcBorders>
              <w:bottom w:val="single" w:color="000000" w:sz="8" w:space="0"/>
              <w:right w:val="single" w:color="000000" w:sz="8" w:space="0"/>
            </w:tcBorders>
            <w:tcW w:w="1900" w:type="dxa"/>
          </w:tcPr>
          <w:p>
            <w:pPr>
              <w:pStyle w:val="12385"/>
              <w:pBdr/>
              <w:spacing/>
              <w:ind/>
              <w:rPr>
                <w:rFonts w:cs="Times New Roman"/>
                <w:szCs w:val="20"/>
              </w:rPr>
            </w:pPr>
            <w:r>
              <w:rPr>
                <w:rFonts w:cs="Times New Roman"/>
              </w:rPr>
              <w:t xml:space="preserve">-</w:t>
            </w:r>
            <w:r>
              <w:rPr>
                <w:rFonts w:cs="Times New Roman"/>
                <w:szCs w:val="20"/>
              </w:rPr>
            </w:r>
          </w:p>
        </w:tc>
        <w:tc>
          <w:tcPr>
            <w:tcBorders>
              <w:bottom w:val="single" w:color="000000" w:sz="8" w:space="0"/>
              <w:right w:val="single" w:color="000000" w:sz="8" w:space="0"/>
            </w:tcBorders>
            <w:tcW w:w="1875" w:type="dxa"/>
          </w:tcPr>
          <w:p>
            <w:pPr>
              <w:pStyle w:val="12385"/>
              <w:pBdr/>
              <w:spacing/>
              <w:ind/>
              <w:rPr>
                <w:rFonts w:cs="Times New Roman"/>
                <w:szCs w:val="20"/>
              </w:rPr>
            </w:pPr>
            <w:r>
              <w:rPr>
                <w:rFonts w:cs="Times New Roman"/>
              </w:rPr>
              <w:t xml:space="preserve">-</w:t>
            </w:r>
            <w:r>
              <w:rPr>
                <w:rFonts w:cs="Times New Roman"/>
                <w:szCs w:val="20"/>
              </w:rPr>
            </w:r>
          </w:p>
        </w:tc>
        <w:tc>
          <w:tcPr>
            <w:tcBorders>
              <w:bottom w:val="single" w:color="000000" w:sz="8" w:space="0"/>
              <w:right w:val="single" w:color="000000" w:sz="8" w:space="0"/>
            </w:tcBorders>
            <w:tcW w:w="1851" w:type="dxa"/>
          </w:tcPr>
          <w:p>
            <w:pPr>
              <w:pStyle w:val="12385"/>
              <w:pBdr/>
              <w:spacing/>
              <w:ind/>
              <w:rPr>
                <w:rFonts w:cs="Times New Roman"/>
                <w:szCs w:val="20"/>
              </w:rPr>
            </w:pPr>
            <w:r>
              <w:rPr>
                <w:rFonts w:cs="Times New Roman"/>
              </w:rPr>
              <w:t xml:space="preserve">-</w:t>
            </w:r>
            <w:r>
              <w:rPr>
                <w:rFonts w:cs="Times New Roman"/>
                <w:szCs w:val="20"/>
              </w:rPr>
            </w:r>
          </w:p>
        </w:tc>
      </w:tr>
    </w:tbl>
    <w:p>
      <w:pPr>
        <w:pStyle w:val="12960"/>
        <w:pBdr/>
        <w:spacing/>
        <w:ind/>
        <w:rPr>
          <w:b/>
        </w:rPr>
      </w:pPr>
      <w:r>
        <w:rPr>
          <w:b/>
        </w:rPr>
      </w:r>
      <w:r>
        <w:rPr>
          <w:b/>
        </w:rPr>
      </w:r>
    </w:p>
    <w:p>
      <w:pPr>
        <w:pStyle w:val="10533"/>
        <w:widowControl w:val="false"/>
        <w:pBdr/>
        <w:spacing/>
        <w:ind/>
        <w:jc w:val="both"/>
        <w:rPr>
          <w:sz w:val="20"/>
          <w:szCs w:val="20"/>
        </w:rPr>
        <w:sectPr>
          <w:headerReference w:type="default" r:id="rId270"/>
          <w:headerReference w:type="first" r:id="rId271"/>
          <w:footerReference w:type="default" r:id="rId543"/>
          <w:footerReference w:type="first" r:id="rId544"/>
          <w:footnotePr/>
          <w:endnotePr/>
          <w:type w:val="nextPage"/>
          <w:pgSz w:h="11906" w:orient="landscape" w:w="16838"/>
          <w:pgMar w:top="1134" w:right="850" w:bottom="1134" w:left="1701" w:header="567" w:footer="454" w:gutter="0"/>
          <w:cols w:num="1" w:sep="0" w:space="1701" w:equalWidth="1"/>
        </w:sectPr>
      </w:pPr>
      <w:r>
        <w:rPr>
          <w:sz w:val="20"/>
          <w:szCs w:val="20"/>
        </w:rPr>
      </w:r>
      <w:r>
        <w:rPr>
          <w:sz w:val="20"/>
          <w:szCs w:val="20"/>
        </w:rPr>
      </w:r>
    </w:p>
    <w:p>
      <w:pPr>
        <w:pStyle w:val="10534"/>
        <w:widowControl w:val="true"/>
        <w:numPr>
          <w:ilvl w:val="0"/>
          <w:numId w:val="0"/>
        </w:numPr>
        <w:pBdr/>
        <w:bidi w:val="false"/>
        <w:spacing w:after="240" w:before="120" w:line="276" w:lineRule="auto"/>
        <w:ind w:right="0" w:hanging="680" w:left="680"/>
        <w:contextualSpacing w:val="true"/>
        <w:jc w:val="center"/>
        <w:rPr>
          <w:spacing w:val="0"/>
        </w:rPr>
      </w:pPr>
      <w:r/>
      <w:bookmarkStart w:id="1321" w:name="_Toc198483699"/>
      <w:r/>
      <w:bookmarkStart w:id="1322" w:name="_Toc166767345"/>
      <w:r>
        <w:rPr>
          <w:spacing w:val="0"/>
        </w:rPr>
        <w:t xml:space="preserve">1.3 </w:t>
      </w:r>
      <w:r>
        <w:rPr>
          <w:rFonts w:eastAsia="Times New Roman" w:cs="Times New Roman"/>
          <w:b/>
          <w:smallCaps/>
          <w:spacing w:val="0"/>
          <w:sz w:val="28"/>
          <w:szCs w:val="36"/>
          <w:lang w:eastAsia="en-US" w:bidi="en-US"/>
        </w:rPr>
        <w:t xml:space="preserve">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1321"/>
      <w:r/>
      <w:bookmarkEnd w:id="1322"/>
      <w:r/>
      <w:r>
        <w:rPr>
          <w:spacing w:val="0"/>
        </w:rPr>
      </w:r>
    </w:p>
    <w:p>
      <w:pPr>
        <w:pStyle w:val="12960"/>
        <w:pBdr/>
        <w:spacing/>
        <w:ind/>
        <w:rPr/>
      </w:pPr>
      <w:r>
        <w:t xml:space="preserve">Источники комбинированной выработки электрической и тепловой энергии отсутствуют.</w:t>
      </w:r>
      <w:r/>
    </w:p>
    <w:p>
      <w:pPr>
        <w:pStyle w:val="12960"/>
        <w:pBdr/>
        <w:spacing/>
        <w:ind/>
        <w:rPr/>
      </w:pPr>
      <w:r>
        <w:t xml:space="preserve">Снижение объемов выбросов вредных (загрязняющих) вещест</w:t>
      </w:r>
      <w:r>
        <w:t xml:space="preserve">в в атмосферу зависит только от снижения расхода топлива, которое в свою очередь, зависит или от погодных условий (снижение температуры наружного воздуха), уменьшения заявленного объема потребления тепловой энергии или сокращения объектов теплопотребления.</w:t>
      </w:r>
      <w:r/>
    </w:p>
    <w:p>
      <w:pPr>
        <w:pStyle w:val="10534"/>
        <w:widowControl w:val="true"/>
        <w:numPr>
          <w:ilvl w:val="0"/>
          <w:numId w:val="0"/>
        </w:numPr>
        <w:pBdr/>
        <w:bidi w:val="false"/>
        <w:spacing w:after="240" w:before="120" w:line="276" w:lineRule="auto"/>
        <w:ind w:right="0" w:hanging="794" w:left="680"/>
        <w:contextualSpacing w:val="true"/>
        <w:jc w:val="center"/>
        <w:rPr>
          <w:spacing w:val="0"/>
        </w:rPr>
      </w:pPr>
      <w:r>
        <w:rPr>
          <w:spacing w:val="0"/>
        </w:rPr>
        <w:t xml:space="preserve"> </w:t>
      </w:r>
      <w:bookmarkStart w:id="1323" w:name="_Toc198483700"/>
      <w:r/>
      <w:bookmarkStart w:id="1324" w:name="_Toc166767346"/>
      <w:r>
        <w:rPr>
          <w:spacing w:val="0"/>
        </w:rPr>
        <w:t xml:space="preserve">1.4 </w:t>
      </w:r>
      <w:r>
        <w:rPr>
          <w:rFonts w:eastAsia="Times New Roman" w:cs="Times New Roman"/>
          <w:b/>
          <w:smallCaps/>
          <w:spacing w:val="0"/>
          <w:sz w:val="28"/>
          <w:szCs w:val="36"/>
          <w:lang w:eastAsia="en-US" w:bidi="en-US"/>
        </w:rPr>
        <w:t xml:space="preserve">Предложения по снижению объема (массы) выбросов вредных (загрязняющих) веществ в атмосферный воздух</w:t>
      </w:r>
      <w:bookmarkEnd w:id="1323"/>
      <w:r/>
      <w:bookmarkEnd w:id="1324"/>
      <w:r/>
      <w:r>
        <w:rPr>
          <w:spacing w:val="0"/>
        </w:rPr>
      </w:r>
    </w:p>
    <w:p>
      <w:pPr>
        <w:pStyle w:val="12960"/>
        <w:pBdr/>
        <w:spacing/>
        <w:ind/>
        <w:rPr/>
      </w:pPr>
      <w:r>
        <w:t xml:space="preserve">Мероприятий, заложенных</w:t>
      </w:r>
      <w:r>
        <w:t xml:space="preserve"> в рамках строительства новых теплоисточников и программы модернизации (перевооружения) основного оборудования на существующих теплоисточниках, реализуемых в рамках схемы теплоснабжения, достаточно для обеспечения требуемых экологических и санитарных норм.</w:t>
      </w:r>
      <w:r/>
    </w:p>
    <w:p>
      <w:pPr>
        <w:pStyle w:val="10533"/>
        <w:pBdr/>
        <w:spacing w:line="360" w:lineRule="auto"/>
        <w:ind/>
        <w:rPr/>
      </w:pPr>
      <w:r/>
      <w:r>
        <w:br w:type="page" w:clear="all"/>
      </w:r>
      <w:r/>
    </w:p>
    <w:p>
      <w:pPr>
        <w:pStyle w:val="10534"/>
        <w:widowControl w:val="true"/>
        <w:numPr>
          <w:ilvl w:val="0"/>
          <w:numId w:val="0"/>
        </w:numPr>
        <w:pBdr/>
        <w:bidi w:val="false"/>
        <w:spacing w:after="240" w:before="120" w:line="276" w:lineRule="auto"/>
        <w:ind w:right="0" w:hanging="680" w:left="680"/>
        <w:contextualSpacing w:val="true"/>
        <w:jc w:val="center"/>
        <w:rPr>
          <w:spacing w:val="0"/>
        </w:rPr>
      </w:pPr>
      <w:r>
        <w:rPr>
          <w:spacing w:val="0"/>
        </w:rPr>
        <w:t xml:space="preserve"> </w:t>
      </w:r>
      <w:bookmarkStart w:id="1325" w:name="_Toc198483701"/>
      <w:r/>
      <w:bookmarkStart w:id="1326" w:name="_Toc166767347"/>
      <w:r>
        <w:rPr>
          <w:spacing w:val="0"/>
        </w:rPr>
        <w:t xml:space="preserve">1.5 </w:t>
      </w:r>
      <w:r>
        <w:rPr>
          <w:rFonts w:eastAsia="Times New Roman" w:cs="Times New Roman"/>
          <w:b/>
          <w:smallCaps/>
          <w:spacing w:val="0"/>
          <w:sz w:val="28"/>
          <w:szCs w:val="36"/>
          <w:lang w:eastAsia="en-US" w:bidi="en-US"/>
        </w:rPr>
        <w:t xml:space="preserve">Предложения по величине необходимых инвестиций для снижения выбросов вредных (загрязняющих) веществ в атмосферный воздух</w:t>
      </w:r>
      <w:bookmarkEnd w:id="1325"/>
      <w:r/>
      <w:bookmarkEnd w:id="1326"/>
      <w:r/>
      <w:r>
        <w:rPr>
          <w:spacing w:val="0"/>
        </w:rPr>
      </w:r>
    </w:p>
    <w:p>
      <w:pPr>
        <w:pStyle w:val="12960"/>
        <w:pBdr/>
        <w:spacing/>
        <w:ind/>
        <w:rPr/>
      </w:pPr>
      <w:r>
        <w:t xml:space="preserve">Дополнительные инвестиции для снижения выбросов вредных (загрязняющих) веществ в атмосферный воздух при текущей актуализации не предусмотрены.</w:t>
      </w:r>
      <w:r/>
    </w:p>
    <w:p>
      <w:pPr>
        <w:pStyle w:val="10533"/>
        <w:pBdr/>
        <w:spacing/>
        <w:ind/>
        <w:rPr/>
      </w:pPr>
      <w:r/>
      <w:r/>
    </w:p>
    <w:sectPr>
      <w:headerReference w:type="default" r:id="rId272"/>
      <w:headerReference w:type="first" r:id="rId273"/>
      <w:footerReference w:type="default" r:id="rId545"/>
      <w:footerReference w:type="first" r:id="rId546"/>
      <w:footnotePr/>
      <w:endnotePr/>
      <w:type w:val="nextPage"/>
      <w:pgSz w:h="16838" w:orient="portrait" w:w="11906"/>
      <w:pgMar w:top="1134" w:right="850" w:bottom="1134" w:left="1701" w:header="567" w:footer="454" w:gutter="0"/>
      <w:cols w:num="1" w:sep="0" w:space="1701"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10000000000000000"/>
  </w:font>
  <w:font w:name="Cambria Math">
    <w:panose1 w:val="02000603000000000000"/>
  </w:font>
  <w:font w:name="宋体">
    <w:panose1 w:val="02000506000000020000"/>
  </w:font>
  <w:font w:name="Symbol">
    <w:panose1 w:val="05050102000706020507"/>
  </w:font>
  <w:font w:name="NTTimes/Cyrillic">
    <w:panose1 w:val="05040102010807070707"/>
  </w:font>
  <w:font w:name="Andale Sans UI">
    <w:panose1 w:val="05040102010807070707"/>
  </w:font>
  <w:font w:name="Noto Sans">
    <w:panose1 w:val="020B0502040504020204"/>
  </w:font>
  <w:font w:name="Consultant">
    <w:panose1 w:val="05040102010807070707"/>
  </w:font>
  <w:font w:name="Segoe UI">
    <w:panose1 w:val="020B0502040504020204"/>
  </w:font>
  <w:font w:name="Microsoft Sans Serif">
    <w:panose1 w:val="020B0604020202020204"/>
  </w:font>
  <w:font w:name="TimesNewRomanPSMT">
    <w:panose1 w:val="02020603050405020304"/>
  </w:font>
  <w:font w:name="Candara">
    <w:panose1 w:val="020F0502020204030204"/>
  </w:font>
  <w:font w:name="Century Schoolbook">
    <w:panose1 w:val="02040502050405020303"/>
  </w:font>
  <w:font w:name="Liberation Sans">
    <w:panose1 w:val="020B0604020202020204"/>
  </w:font>
  <w:font w:name="Times New Roman CYR">
    <w:panose1 w:val="02020603050405020304"/>
  </w:font>
  <w:font w:name="Verdana">
    <w:panose1 w:val="020B0604030504040204"/>
  </w:font>
  <w:font w:name="Calibri">
    <w:panose1 w:val="020F0502020204030204"/>
  </w:font>
  <w:font w:name="Batang">
    <w:panose1 w:val="02000506000000020000"/>
  </w:font>
  <w:font w:name="Trebuchet MS">
    <w:panose1 w:val="020B0603020202020204"/>
  </w:font>
  <w:font w:name="Courier New">
    <w:panose1 w:val="02070309020205020404"/>
  </w:font>
  <w:font w:name="Mangal">
    <w:panose1 w:val="02040503050406030204"/>
  </w:font>
  <w:font w:name="SimSun">
    <w:panose1 w:val="02000506000000020000"/>
  </w:font>
  <w:font w:name="Arial Black">
    <w:panose1 w:val="020B0A04020102020204"/>
  </w:font>
  <w:font w:name="Georgia">
    <w:panose1 w:val="02040502050405020303"/>
  </w:font>
  <w:font w:name="MS Mincho">
    <w:panose1 w:val="02020603050405090304"/>
  </w:font>
  <w:font w:name="Tahoma">
    <w:panose1 w:val="020B0604030504040204"/>
  </w:font>
  <w:font w:name="Franklin Gothic Heavy">
    <w:panose1 w:val="020B0703020202020204"/>
  </w:font>
  <w:font w:name="Franklin Gothic Demi Cond">
    <w:panose1 w:val="020B0706020203020204"/>
  </w:font>
  <w:font w:name="Arial CYR">
    <w:panose1 w:val="020B0604020202020204"/>
  </w:font>
  <w:font w:name="Cambria">
    <w:panose1 w:val="02040503050406030204"/>
  </w:font>
  <w:font w:name="Microsoft YaHei">
    <w:panose1 w:val="020B0503020203020204"/>
  </w:font>
  <w:font w:name="Arial Narrow">
    <w:panose1 w:val="020B0604020202020204"/>
  </w:font>
  <w:font w:name="Times New Roman">
    <w:panose1 w:val="02020603050405020304"/>
  </w:font>
  <w:font w:name="Arial Unicode MS">
    <w:panose1 w:val="020B0604020202020204"/>
  </w:font>
  <w:font w:name="Arial">
    <w:panose1 w:val="020B060402020202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80091955"/>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3</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204</w:t>
        </w:r>
        <w:r>
          <w:rPr>
            <w:rFonts w:ascii="Times New Roman" w:hAnsi="Times New Roman"/>
            <w:sz w:val="20"/>
            <w:szCs w:val="20"/>
          </w:rPr>
          <w:fldChar w:fldCharType="end"/>
        </w:r>
        <w:r>
          <w:rPr>
            <w:rFonts w:ascii="Times New Roman" w:hAnsi="Times New Roman"/>
            <w:sz w:val="20"/>
            <w:szCs w:val="20"/>
          </w:rPr>
        </w:r>
      </w:p>
    </w:sdtContent>
  </w:sdt>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190</w:t>
        </w:r>
        <w:r>
          <w:rPr>
            <w:rFonts w:ascii="Times New Roman" w:hAnsi="Times New Roman"/>
            <w:sz w:val="20"/>
            <w:szCs w:val="20"/>
          </w:rPr>
          <w:fldChar w:fldCharType="end"/>
        </w:r>
        <w:r>
          <w:rPr>
            <w:rFonts w:ascii="Times New Roman" w:hAnsi="Times New Roman"/>
            <w:sz w:val="20"/>
            <w:szCs w:val="20"/>
          </w:rPr>
        </w:r>
      </w:p>
    </w:sdtContent>
  </w:sdt>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197</w:t>
        </w:r>
        <w:r>
          <w:rPr>
            <w:rFonts w:ascii="Times New Roman" w:hAnsi="Times New Roman"/>
            <w:sz w:val="20"/>
            <w:szCs w:val="20"/>
          </w:rPr>
          <w:fldChar w:fldCharType="end"/>
        </w:r>
        <w:r>
          <w:rPr>
            <w:rFonts w:ascii="Times New Roman" w:hAnsi="Times New Roman"/>
            <w:sz w:val="20"/>
            <w:szCs w:val="20"/>
          </w:rPr>
        </w:r>
      </w:p>
    </w:sdtContent>
  </w:sdt>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204</w:t>
        </w:r>
        <w:r>
          <w:rPr>
            <w:rFonts w:ascii="Times New Roman" w:hAnsi="Times New Roman"/>
            <w:sz w:val="20"/>
            <w:szCs w:val="20"/>
          </w:rPr>
          <w:fldChar w:fldCharType="end"/>
        </w:r>
        <w:r>
          <w:rPr>
            <w:rFonts w:ascii="Times New Roman" w:hAnsi="Times New Roman"/>
            <w:sz w:val="20"/>
            <w:szCs w:val="20"/>
          </w:rPr>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199</w:t>
        </w:r>
        <w:r>
          <w:rPr>
            <w:rFonts w:ascii="Times New Roman" w:hAnsi="Times New Roman"/>
            <w:sz w:val="20"/>
            <w:szCs w:val="20"/>
          </w:rPr>
          <w:fldChar w:fldCharType="end"/>
        </w:r>
        <w:r>
          <w:rPr>
            <w:rFonts w:ascii="Times New Roman" w:hAnsi="Times New Roman"/>
            <w:sz w:val="20"/>
            <w:szCs w:val="20"/>
          </w:rPr>
        </w:r>
      </w:p>
    </w:sdtContent>
  </w:sdt>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200</w:t>
        </w:r>
        <w:r>
          <w:rPr>
            <w:rFonts w:ascii="Times New Roman" w:hAnsi="Times New Roman"/>
            <w:sz w:val="20"/>
            <w:szCs w:val="20"/>
          </w:rPr>
          <w:fldChar w:fldCharType="end"/>
        </w:r>
        <w:r>
          <w:rPr>
            <w:rFonts w:ascii="Times New Roman" w:hAnsi="Times New Roman"/>
            <w:sz w:val="20"/>
            <w:szCs w:val="20"/>
          </w:rPr>
        </w:r>
      </w:p>
    </w:sdtContent>
  </w:sdt>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204</w:t>
        </w:r>
        <w:r>
          <w:rPr>
            <w:rFonts w:ascii="Times New Roman" w:hAnsi="Times New Roman"/>
            <w:sz w:val="20"/>
            <w:szCs w:val="20"/>
          </w:rPr>
          <w:fldChar w:fldCharType="end"/>
        </w:r>
        <w:r>
          <w:rPr>
            <w:rFonts w:ascii="Times New Roman" w:hAnsi="Times New Roman"/>
            <w:sz w:val="20"/>
            <w:szCs w:val="20"/>
          </w:rPr>
        </w:r>
      </w:p>
    </w:sdtContent>
  </w:sdt>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205</w:t>
        </w:r>
        <w:r>
          <w:rPr>
            <w:rFonts w:ascii="Times New Roman" w:hAnsi="Times New Roman"/>
            <w:sz w:val="20"/>
            <w:szCs w:val="20"/>
          </w:rPr>
          <w:fldChar w:fldCharType="end"/>
        </w:r>
        <w:r>
          <w:rPr>
            <w:rFonts w:ascii="Times New Roman" w:hAnsi="Times New Roman"/>
            <w:sz w:val="20"/>
            <w:szCs w:val="20"/>
          </w:rPr>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80091955"/>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32</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207</w:t>
        </w:r>
        <w:r>
          <w:rPr>
            <w:rFonts w:ascii="Times New Roman" w:hAnsi="Times New Roman"/>
            <w:sz w:val="20"/>
            <w:szCs w:val="20"/>
          </w:rPr>
          <w:fldChar w:fldCharType="end"/>
        </w:r>
        <w:r>
          <w:rPr>
            <w:rFonts w:ascii="Times New Roman" w:hAnsi="Times New Roman"/>
            <w:sz w:val="20"/>
            <w:szCs w:val="20"/>
          </w:rPr>
        </w:r>
      </w:p>
    </w:sdtContent>
  </w:sdt>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211</w:t>
        </w:r>
        <w:r>
          <w:rPr>
            <w:rFonts w:ascii="Times New Roman" w:hAnsi="Times New Roman"/>
            <w:sz w:val="20"/>
            <w:szCs w:val="20"/>
          </w:rPr>
          <w:fldChar w:fldCharType="end"/>
        </w:r>
        <w:r>
          <w:rPr>
            <w:rFonts w:ascii="Times New Roman" w:hAnsi="Times New Roman"/>
            <w:sz w:val="20"/>
            <w:szCs w:val="20"/>
          </w:rPr>
        </w:r>
      </w:p>
    </w:sdtContent>
  </w:sdt>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211</w:t>
        </w:r>
        <w:r>
          <w:rPr>
            <w:rFonts w:ascii="Times New Roman" w:hAnsi="Times New Roman"/>
            <w:sz w:val="20"/>
            <w:szCs w:val="20"/>
          </w:rPr>
          <w:fldChar w:fldCharType="end"/>
        </w:r>
        <w:r>
          <w:rPr>
            <w:rFonts w:ascii="Times New Roman" w:hAnsi="Times New Roman"/>
            <w:sz w:val="20"/>
            <w:szCs w:val="20"/>
          </w:rPr>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150549155"/>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31</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212</w:t>
        </w:r>
        <w:r>
          <w:rPr>
            <w:rFonts w:ascii="Times New Roman" w:hAnsi="Times New Roman"/>
            <w:sz w:val="20"/>
            <w:szCs w:val="20"/>
          </w:rPr>
          <w:fldChar w:fldCharType="end"/>
        </w:r>
        <w:r>
          <w:rPr>
            <w:rFonts w:ascii="Times New Roman" w:hAnsi="Times New Roman"/>
            <w:sz w:val="20"/>
            <w:szCs w:val="20"/>
          </w:rPr>
        </w:r>
      </w:p>
    </w:sdtContent>
  </w:sdt>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256</w:t>
        </w:r>
        <w:r>
          <w:rPr>
            <w:rFonts w:ascii="Times New Roman" w:hAnsi="Times New Roman"/>
            <w:sz w:val="20"/>
            <w:szCs w:val="20"/>
          </w:rPr>
          <w:fldChar w:fldCharType="end"/>
        </w:r>
        <w:r>
          <w:rPr>
            <w:rFonts w:ascii="Times New Roman" w:hAnsi="Times New Roman"/>
            <w:sz w:val="20"/>
            <w:szCs w:val="20"/>
          </w:rPr>
        </w:r>
      </w:p>
    </w:sdtContent>
  </w:sdt>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256</w:t>
        </w:r>
        <w:r>
          <w:rPr>
            <w:rFonts w:ascii="Times New Roman" w:hAnsi="Times New Roman"/>
            <w:sz w:val="20"/>
            <w:szCs w:val="20"/>
          </w:rPr>
          <w:fldChar w:fldCharType="end"/>
        </w:r>
        <w:r>
          <w:rPr>
            <w:rFonts w:ascii="Times New Roman" w:hAnsi="Times New Roman"/>
            <w:sz w:val="20"/>
            <w:szCs w:val="20"/>
          </w:rPr>
        </w:r>
      </w:p>
    </w:sdtContent>
  </w:sdt>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44</w:t>
        </w:r>
        <w:r>
          <w:rPr>
            <w:rFonts w:ascii="Times New Roman" w:hAnsi="Times New Roman"/>
            <w:sz w:val="20"/>
            <w:szCs w:val="20"/>
          </w:rPr>
          <w:fldChar w:fldCharType="end"/>
        </w:r>
        <w:r>
          <w:rPr>
            <w:rFonts w:ascii="Times New Roman" w:hAnsi="Times New Roman"/>
            <w:sz w:val="20"/>
            <w:szCs w:val="20"/>
          </w:rPr>
        </w:r>
      </w:p>
    </w:sdtContent>
  </w:sdt>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256</w:t>
        </w:r>
        <w:r>
          <w:rPr>
            <w:rFonts w:ascii="Times New Roman" w:hAnsi="Times New Roman"/>
            <w:sz w:val="20"/>
            <w:szCs w:val="20"/>
          </w:rPr>
          <w:fldChar w:fldCharType="end"/>
        </w:r>
        <w:r>
          <w:rPr>
            <w:rFonts w:ascii="Times New Roman" w:hAnsi="Times New Roman"/>
            <w:sz w:val="20"/>
            <w:szCs w:val="20"/>
          </w:rPr>
        </w:r>
      </w:p>
    </w:sdtContent>
  </w:sdt>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256</w:t>
        </w:r>
        <w:r>
          <w:rPr>
            <w:rFonts w:ascii="Times New Roman" w:hAnsi="Times New Roman"/>
            <w:sz w:val="20"/>
            <w:szCs w:val="20"/>
          </w:rPr>
          <w:fldChar w:fldCharType="end"/>
        </w:r>
        <w:r>
          <w:rPr>
            <w:rFonts w:ascii="Times New Roman" w:hAnsi="Times New Roman"/>
            <w:sz w:val="20"/>
            <w:szCs w:val="20"/>
          </w:rPr>
        </w:r>
      </w:p>
    </w:sdtContent>
  </w:sdt>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256</w:t>
        </w:r>
        <w:r>
          <w:rPr>
            <w:rFonts w:ascii="Times New Roman" w:hAnsi="Times New Roman"/>
            <w:sz w:val="20"/>
            <w:szCs w:val="20"/>
          </w:rPr>
          <w:fldChar w:fldCharType="end"/>
        </w:r>
        <w:r>
          <w:rPr>
            <w:rFonts w:ascii="Times New Roman" w:hAnsi="Times New Roman"/>
            <w:sz w:val="20"/>
            <w:szCs w:val="20"/>
          </w:rPr>
        </w: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256</w:t>
        </w:r>
        <w:r>
          <w:rPr>
            <w:rFonts w:ascii="Times New Roman" w:hAnsi="Times New Roman"/>
            <w:sz w:val="20"/>
            <w:szCs w:val="20"/>
          </w:rPr>
          <w:fldChar w:fldCharType="end"/>
        </w:r>
        <w:r>
          <w:rPr>
            <w:rFonts w:ascii="Times New Roman" w:hAnsi="Times New Roman"/>
            <w:sz w:val="20"/>
            <w:szCs w:val="20"/>
          </w:rPr>
        </w:r>
      </w:p>
    </w:sdtContent>
  </w:sdt>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257</w:t>
        </w:r>
        <w:r>
          <w:rPr>
            <w:rFonts w:ascii="Times New Roman" w:hAnsi="Times New Roman"/>
            <w:sz w:val="20"/>
            <w:szCs w:val="20"/>
          </w:rPr>
          <w:fldChar w:fldCharType="end"/>
        </w:r>
        <w:r>
          <w:rPr>
            <w:rFonts w:ascii="Times New Roman" w:hAnsi="Times New Roman"/>
            <w:sz w:val="20"/>
            <w:szCs w:val="20"/>
          </w:rPr>
        </w:r>
      </w:p>
    </w:sdtContent>
  </w:sdt>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274</w:t>
        </w:r>
        <w:r>
          <w:rPr>
            <w:rFonts w:ascii="Times New Roman" w:hAnsi="Times New Roman"/>
            <w:sz w:val="20"/>
            <w:szCs w:val="20"/>
          </w:rPr>
          <w:fldChar w:fldCharType="end"/>
        </w:r>
        <w:r>
          <w:rPr>
            <w:rFonts w:ascii="Times New Roman" w:hAnsi="Times New Roman"/>
            <w:sz w:val="20"/>
            <w:szCs w:val="20"/>
          </w:rPr>
        </w:r>
      </w:p>
    </w:sdtContent>
  </w:sdt>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274</w:t>
        </w:r>
        <w:r>
          <w:rPr>
            <w:rFonts w:ascii="Times New Roman" w:hAnsi="Times New Roman"/>
            <w:sz w:val="20"/>
            <w:szCs w:val="20"/>
          </w:rPr>
          <w:fldChar w:fldCharType="end"/>
        </w:r>
        <w:r>
          <w:rPr>
            <w:rFonts w:ascii="Times New Roman" w:hAnsi="Times New Roman"/>
            <w:sz w:val="20"/>
            <w:szCs w:val="20"/>
          </w:rPr>
        </w:r>
      </w:p>
    </w:sdtContent>
  </w:sdt>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275</w:t>
        </w:r>
        <w:r>
          <w:rPr>
            <w:rFonts w:ascii="Times New Roman" w:hAnsi="Times New Roman"/>
            <w:sz w:val="20"/>
            <w:szCs w:val="20"/>
          </w:rPr>
          <w:fldChar w:fldCharType="end"/>
        </w:r>
        <w:r>
          <w:rPr>
            <w:rFonts w:ascii="Times New Roman" w:hAnsi="Times New Roman"/>
            <w:sz w:val="20"/>
            <w:szCs w:val="20"/>
          </w:rPr>
        </w:r>
      </w:p>
    </w:sdtContent>
  </w:sdt>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277</w:t>
        </w:r>
        <w:r>
          <w:rPr>
            <w:rFonts w:ascii="Times New Roman" w:hAnsi="Times New Roman"/>
            <w:sz w:val="20"/>
            <w:szCs w:val="20"/>
          </w:rPr>
          <w:fldChar w:fldCharType="end"/>
        </w:r>
        <w:r>
          <w:rPr>
            <w:rFonts w:ascii="Times New Roman" w:hAnsi="Times New Roman"/>
            <w:sz w:val="20"/>
            <w:szCs w:val="20"/>
          </w:rPr>
        </w:r>
      </w:p>
    </w:sdtContent>
  </w:sdt>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278</w:t>
        </w:r>
        <w:r>
          <w:rPr>
            <w:rFonts w:ascii="Times New Roman" w:hAnsi="Times New Roman"/>
            <w:sz w:val="20"/>
            <w:szCs w:val="20"/>
          </w:rPr>
          <w:fldChar w:fldCharType="end"/>
        </w:r>
        <w:r>
          <w:rPr>
            <w:rFonts w:ascii="Times New Roman" w:hAnsi="Times New Roman"/>
            <w:sz w:val="20"/>
            <w:szCs w:val="20"/>
          </w:rPr>
        </w:r>
      </w:p>
    </w:sdtContent>
  </w:sdt>
</w:ftr>
</file>

<file path=word/footer1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282</w:t>
        </w:r>
        <w:r>
          <w:rPr>
            <w:rFonts w:ascii="Times New Roman" w:hAnsi="Times New Roman"/>
            <w:sz w:val="20"/>
            <w:szCs w:val="20"/>
          </w:rPr>
          <w:fldChar w:fldCharType="end"/>
        </w:r>
        <w:r>
          <w:rPr>
            <w:rFonts w:ascii="Times New Roman" w:hAnsi="Times New Roman"/>
            <w:sz w:val="20"/>
            <w:szCs w:val="20"/>
          </w:rPr>
        </w:r>
      </w:p>
    </w:sdtContent>
  </w:sdt>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283</w:t>
        </w:r>
        <w:r>
          <w:rPr>
            <w:rFonts w:ascii="Times New Roman" w:hAnsi="Times New Roman"/>
            <w:sz w:val="20"/>
            <w:szCs w:val="20"/>
          </w:rPr>
          <w:fldChar w:fldCharType="end"/>
        </w:r>
        <w:r>
          <w:rPr>
            <w:rFonts w:ascii="Times New Roman" w:hAnsi="Times New Roman"/>
            <w:sz w:val="20"/>
            <w:szCs w:val="20"/>
          </w:rPr>
        </w:r>
      </w:p>
    </w:sdtContent>
  </w:sdt>
</w:ftr>
</file>

<file path=word/footer1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284</w:t>
        </w:r>
        <w:r>
          <w:rPr>
            <w:rFonts w:ascii="Times New Roman" w:hAnsi="Times New Roman"/>
            <w:sz w:val="20"/>
            <w:szCs w:val="20"/>
          </w:rPr>
          <w:fldChar w:fldCharType="end"/>
        </w:r>
        <w:r>
          <w:rPr>
            <w:rFonts w:ascii="Times New Roman" w:hAnsi="Times New Roman"/>
            <w:sz w:val="20"/>
            <w:szCs w:val="20"/>
          </w:rPr>
        </w:r>
      </w:p>
    </w:sdtContent>
  </w:sdt>
</w:ftr>
</file>

<file path=word/footer1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285</w:t>
        </w:r>
        <w:r>
          <w:rPr>
            <w:rFonts w:ascii="Times New Roman" w:hAnsi="Times New Roman"/>
            <w:sz w:val="20"/>
            <w:szCs w:val="20"/>
          </w:rPr>
          <w:fldChar w:fldCharType="end"/>
        </w:r>
        <w:r>
          <w:rPr>
            <w:rFonts w:ascii="Times New Roman" w:hAnsi="Times New Roman"/>
            <w:sz w:val="20"/>
            <w:szCs w:val="20"/>
          </w:rPr>
        </w:r>
      </w:p>
    </w:sdtContent>
  </w:sdt>
</w:ftr>
</file>

<file path=word/footer1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1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1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1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298</w:t>
        </w:r>
        <w:r>
          <w:rPr>
            <w:rFonts w:ascii="Times New Roman" w:hAnsi="Times New Roman"/>
            <w:sz w:val="20"/>
            <w:szCs w:val="20"/>
          </w:rPr>
          <w:fldChar w:fldCharType="end"/>
        </w:r>
        <w:r>
          <w:rPr>
            <w:rFonts w:ascii="Times New Roman" w:hAnsi="Times New Roman"/>
            <w:sz w:val="20"/>
            <w:szCs w:val="20"/>
          </w:rPr>
        </w:r>
      </w:p>
    </w:sdtContent>
  </w:sdt>
</w:ftr>
</file>

<file path=word/footer1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312</w:t>
        </w:r>
        <w:r>
          <w:rPr>
            <w:rFonts w:ascii="Times New Roman" w:hAnsi="Times New Roman"/>
            <w:sz w:val="20"/>
            <w:szCs w:val="20"/>
          </w:rPr>
          <w:fldChar w:fldCharType="end"/>
        </w:r>
        <w:r>
          <w:rPr>
            <w:rFonts w:ascii="Times New Roman" w:hAnsi="Times New Roman"/>
            <w:sz w:val="20"/>
            <w:szCs w:val="20"/>
          </w:rPr>
        </w:r>
      </w:p>
    </w:sdtContent>
  </w:sdt>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46</w:t>
        </w:r>
        <w:r>
          <w:rPr>
            <w:rFonts w:ascii="Times New Roman" w:hAnsi="Times New Roman"/>
            <w:sz w:val="20"/>
            <w:szCs w:val="20"/>
          </w:rPr>
          <w:fldChar w:fldCharType="end"/>
        </w:r>
        <w:r>
          <w:rPr>
            <w:rFonts w:ascii="Times New Roman" w:hAnsi="Times New Roman"/>
            <w:sz w:val="20"/>
            <w:szCs w:val="20"/>
          </w:rPr>
        </w:r>
      </w:p>
    </w:sdtContent>
  </w:sdt>
</w:ftr>
</file>

<file path=word/footer1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316</w:t>
        </w:r>
        <w:r>
          <w:rPr>
            <w:rFonts w:ascii="Times New Roman" w:hAnsi="Times New Roman"/>
            <w:sz w:val="20"/>
            <w:szCs w:val="20"/>
          </w:rPr>
          <w:fldChar w:fldCharType="end"/>
        </w:r>
        <w:r>
          <w:rPr>
            <w:rFonts w:ascii="Times New Roman" w:hAnsi="Times New Roman"/>
            <w:sz w:val="20"/>
            <w:szCs w:val="20"/>
          </w:rPr>
        </w:r>
      </w:p>
    </w:sdtContent>
  </w:sdt>
</w:ftr>
</file>

<file path=word/footer1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332</w:t>
        </w:r>
        <w:r>
          <w:rPr>
            <w:rFonts w:ascii="Times New Roman" w:hAnsi="Times New Roman"/>
            <w:sz w:val="20"/>
            <w:szCs w:val="20"/>
          </w:rPr>
          <w:fldChar w:fldCharType="end"/>
        </w:r>
        <w:r>
          <w:rPr>
            <w:rFonts w:ascii="Times New Roman" w:hAnsi="Times New Roman"/>
            <w:sz w:val="20"/>
            <w:szCs w:val="20"/>
          </w:rPr>
        </w:r>
      </w:p>
    </w:sdtContent>
  </w:sdt>
</w:ftr>
</file>

<file path=word/footer1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1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1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1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335</w:t>
        </w:r>
        <w:r>
          <w:rPr>
            <w:rFonts w:ascii="Times New Roman" w:hAnsi="Times New Roman"/>
            <w:sz w:val="20"/>
            <w:szCs w:val="20"/>
          </w:rPr>
          <w:fldChar w:fldCharType="end"/>
        </w:r>
        <w:r>
          <w:rPr>
            <w:rFonts w:ascii="Times New Roman" w:hAnsi="Times New Roman"/>
            <w:sz w:val="20"/>
            <w:szCs w:val="20"/>
          </w:rPr>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pBdr/>
      <w:spacing/>
      <w:ind/>
      <w:rPr/>
    </w:pPr>
    <w:r/>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338</w:t>
        </w:r>
        <w:r>
          <w:rPr>
            <w:rFonts w:ascii="Times New Roman" w:hAnsi="Times New Roman"/>
            <w:sz w:val="20"/>
            <w:szCs w:val="20"/>
          </w:rPr>
          <w:fldChar w:fldCharType="end"/>
        </w:r>
        <w:r>
          <w:rPr>
            <w:rFonts w:ascii="Times New Roman" w:hAnsi="Times New Roman"/>
            <w:sz w:val="20"/>
            <w:szCs w:val="20"/>
          </w:rPr>
        </w:r>
      </w:p>
    </w:sdtContent>
  </w:sdt>
</w:ftr>
</file>

<file path=word/footer2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2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342</w:t>
        </w:r>
        <w:r>
          <w:rPr>
            <w:rFonts w:ascii="Times New Roman" w:hAnsi="Times New Roman"/>
            <w:sz w:val="20"/>
            <w:szCs w:val="20"/>
          </w:rPr>
          <w:fldChar w:fldCharType="end"/>
        </w:r>
        <w:r>
          <w:rPr>
            <w:rFonts w:ascii="Times New Roman" w:hAnsi="Times New Roman"/>
            <w:sz w:val="20"/>
            <w:szCs w:val="20"/>
          </w:rPr>
        </w:r>
      </w:p>
    </w:sdtContent>
  </w:sdt>
</w:ftr>
</file>

<file path=word/footer2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49</w:t>
        </w:r>
        <w:r>
          <w:rPr>
            <w:rFonts w:ascii="Times New Roman" w:hAnsi="Times New Roman"/>
            <w:sz w:val="20"/>
            <w:szCs w:val="20"/>
          </w:rPr>
          <w:fldChar w:fldCharType="end"/>
        </w:r>
        <w:r>
          <w:rPr>
            <w:rFonts w:ascii="Times New Roman" w:hAnsi="Times New Roman"/>
            <w:sz w:val="20"/>
            <w:szCs w:val="20"/>
          </w:rPr>
        </w:r>
      </w:p>
    </w:sdtContent>
  </w:sdt>
</w:ftr>
</file>

<file path=word/footer2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2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346</w:t>
        </w:r>
        <w:r>
          <w:rPr>
            <w:rFonts w:ascii="Times New Roman" w:hAnsi="Times New Roman"/>
            <w:sz w:val="20"/>
            <w:szCs w:val="20"/>
          </w:rPr>
          <w:fldChar w:fldCharType="end"/>
        </w:r>
        <w:r>
          <w:rPr>
            <w:rFonts w:ascii="Times New Roman" w:hAnsi="Times New Roman"/>
            <w:sz w:val="20"/>
            <w:szCs w:val="20"/>
          </w:rPr>
        </w:r>
      </w:p>
    </w:sdtContent>
  </w:sdt>
</w:ftr>
</file>

<file path=word/footer2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347</w:t>
        </w:r>
        <w:r>
          <w:rPr>
            <w:rFonts w:ascii="Times New Roman" w:hAnsi="Times New Roman"/>
            <w:sz w:val="20"/>
            <w:szCs w:val="20"/>
          </w:rPr>
          <w:fldChar w:fldCharType="end"/>
        </w:r>
        <w:r>
          <w:rPr>
            <w:rFonts w:ascii="Times New Roman" w:hAnsi="Times New Roman"/>
            <w:sz w:val="20"/>
            <w:szCs w:val="20"/>
          </w:rPr>
        </w:r>
      </w:p>
    </w:sdtContent>
  </w:sdt>
</w:ftr>
</file>

<file path=word/footer2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2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355</w:t>
        </w:r>
        <w:r>
          <w:rPr>
            <w:rFonts w:ascii="Times New Roman" w:hAnsi="Times New Roman"/>
            <w:sz w:val="20"/>
            <w:szCs w:val="20"/>
          </w:rPr>
          <w:fldChar w:fldCharType="end"/>
        </w:r>
        <w:r>
          <w:rPr>
            <w:rFonts w:ascii="Times New Roman" w:hAnsi="Times New Roman"/>
            <w:sz w:val="20"/>
            <w:szCs w:val="20"/>
          </w:rPr>
        </w:r>
      </w:p>
    </w:sdtContent>
  </w:sdt>
</w:ftr>
</file>

<file path=word/footer2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356</w:t>
        </w:r>
        <w:r>
          <w:rPr>
            <w:rFonts w:ascii="Times New Roman" w:hAnsi="Times New Roman"/>
            <w:sz w:val="20"/>
            <w:szCs w:val="20"/>
          </w:rPr>
          <w:fldChar w:fldCharType="end"/>
        </w:r>
        <w:r>
          <w:rPr>
            <w:rFonts w:ascii="Times New Roman" w:hAnsi="Times New Roman"/>
            <w:sz w:val="20"/>
            <w:szCs w:val="20"/>
          </w:rPr>
        </w:r>
      </w:p>
    </w:sdtContent>
  </w:sdt>
</w:ftr>
</file>

<file path=word/footer2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2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358</w:t>
        </w:r>
        <w:r>
          <w:rPr>
            <w:rFonts w:ascii="Times New Roman" w:hAnsi="Times New Roman"/>
            <w:sz w:val="20"/>
            <w:szCs w:val="20"/>
          </w:rPr>
          <w:fldChar w:fldCharType="end"/>
        </w:r>
        <w:r>
          <w:rPr>
            <w:rFonts w:ascii="Times New Roman" w:hAnsi="Times New Roman"/>
            <w:sz w:val="20"/>
            <w:szCs w:val="20"/>
          </w:rPr>
        </w:r>
      </w:p>
    </w:sdtContent>
  </w:sdt>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50</w:t>
        </w:r>
        <w:r>
          <w:rPr>
            <w:rFonts w:ascii="Times New Roman" w:hAnsi="Times New Roman"/>
            <w:sz w:val="20"/>
            <w:szCs w:val="20"/>
          </w:rPr>
          <w:fldChar w:fldCharType="end"/>
        </w:r>
        <w:r>
          <w:rPr>
            <w:rFonts w:ascii="Times New Roman" w:hAnsi="Times New Roman"/>
            <w:sz w:val="20"/>
            <w:szCs w:val="20"/>
          </w:rPr>
        </w:r>
      </w:p>
    </w:sdtContent>
  </w:sdt>
</w:ftr>
</file>

<file path=word/footer2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359</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2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2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368</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369</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371</w:t>
        </w:r>
        <w:r>
          <w:rPr>
            <w:rFonts w:ascii="Times New Roman" w:hAnsi="Times New Roman"/>
            <w:sz w:val="20"/>
            <w:szCs w:val="20"/>
          </w:rPr>
          <w:fldChar w:fldCharType="end"/>
        </w:r>
        <w:r>
          <w:rPr>
            <w:rFonts w:ascii="Times New Roman" w:hAnsi="Times New Roman"/>
            <w:sz w:val="20"/>
            <w:szCs w:val="20"/>
          </w:rPr>
        </w:r>
      </w:p>
    </w:sdtContent>
  </w:sdt>
</w:ftr>
</file>

<file path=word/footer2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374</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372</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375</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81</w:t>
        </w:r>
        <w:r>
          <w:rPr>
            <w:rFonts w:ascii="Times New Roman" w:hAnsi="Times New Roman"/>
            <w:sz w:val="20"/>
            <w:szCs w:val="20"/>
          </w:rPr>
          <w:fldChar w:fldCharType="end"/>
        </w:r>
        <w:r>
          <w:rPr>
            <w:rFonts w:ascii="Times New Roman" w:hAnsi="Times New Roman"/>
            <w:sz w:val="20"/>
            <w:szCs w:val="20"/>
          </w:rPr>
        </w:r>
      </w:p>
    </w:sdtContent>
  </w:sdt>
</w:ftr>
</file>

<file path=word/footer2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376</w:t>
        </w:r>
        <w:r>
          <w:fldChar w:fldCharType="end"/>
        </w:r>
        <w:r>
          <w:rPr>
            <w:rFonts w:ascii="Times New Roman" w:hAnsi="Times New Roman"/>
            <w:sz w:val="20"/>
            <w:szCs w:val="20"/>
          </w:rPr>
        </w:r>
      </w:p>
    </w:sdtContent>
  </w:sdt>
  <w:p>
    <w:pPr>
      <w:pStyle w:val="11055"/>
      <w:pBdr/>
      <w:spacing w:line="12" w:lineRule="auto"/>
      <w:ind w:firstLine="0"/>
      <w:rPr>
        <w:rFonts w:ascii="Times New Roman" w:hAnsi="Times New Roman"/>
        <w:sz w:val="20"/>
        <w:szCs w:val="20"/>
        <w:lang w:val="ru-RU"/>
      </w:rPr>
    </w:pPr>
    <w:r>
      <w:rPr>
        <w:rFonts w:ascii="Times New Roman" w:hAnsi="Times New Roman"/>
        <w:sz w:val="20"/>
        <w:szCs w:val="20"/>
        <w:lang w:val="ru-RU"/>
      </w:rPr>
    </w:r>
    <w:r>
      <w:rPr>
        <w:rFonts w:ascii="Times New Roman" w:hAnsi="Times New Roman"/>
        <w:sz w:val="20"/>
        <w:szCs w:val="20"/>
        <w:lang w:val="ru-RU"/>
      </w:rPr>
    </w:r>
  </w:p>
</w:ftr>
</file>

<file path=word/footer2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399</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2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399</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2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399</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2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399</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2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94</w:t>
        </w:r>
        <w:r>
          <w:rPr>
            <w:rFonts w:ascii="Times New Roman" w:hAnsi="Times New Roman"/>
            <w:sz w:val="20"/>
            <w:szCs w:val="20"/>
          </w:rPr>
          <w:fldChar w:fldCharType="end"/>
        </w:r>
        <w:r>
          <w:rPr>
            <w:rFonts w:ascii="Times New Roman" w:hAnsi="Times New Roman"/>
            <w:sz w:val="20"/>
            <w:szCs w:val="20"/>
          </w:rPr>
        </w:r>
      </w:p>
    </w:sdtContent>
  </w:sdt>
</w:ftr>
</file>

<file path=word/footer2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400</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2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95</w:t>
        </w:r>
        <w:r>
          <w:rPr>
            <w:rFonts w:ascii="Times New Roman" w:hAnsi="Times New Roman"/>
            <w:sz w:val="20"/>
            <w:szCs w:val="20"/>
          </w:rPr>
          <w:fldChar w:fldCharType="end"/>
        </w:r>
        <w:r>
          <w:rPr>
            <w:rFonts w:ascii="Times New Roman" w:hAnsi="Times New Roman"/>
            <w:sz w:val="20"/>
            <w:szCs w:val="20"/>
          </w:rPr>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150549155"/>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1</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97</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100</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98</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101</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105</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106</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110</w:t>
        </w:r>
        <w:r>
          <w:rPr>
            <w:rFonts w:ascii="Times New Roman" w:hAnsi="Times New Roman"/>
            <w:sz w:val="20"/>
            <w:szCs w:val="20"/>
          </w:rPr>
          <w:fldChar w:fldCharType="end"/>
        </w:r>
        <w:r>
          <w:rPr>
            <w:rFonts w:ascii="Times New Roman" w:hAnsi="Times New Roman"/>
            <w:sz w:val="20"/>
            <w:szCs w:val="20"/>
          </w:rPr>
        </w:r>
      </w:p>
    </w:sdtContent>
  </w:sdt>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112</w:t>
        </w:r>
        <w:r>
          <w:rPr>
            <w:rFonts w:ascii="Times New Roman" w:hAnsi="Times New Roman"/>
            <w:sz w:val="20"/>
            <w:szCs w:val="20"/>
          </w:rPr>
          <w:fldChar w:fldCharType="end"/>
        </w:r>
        <w:r>
          <w:rPr>
            <w:rFonts w:ascii="Times New Roman" w:hAnsi="Times New Roman"/>
            <w:sz w:val="20"/>
            <w:szCs w:val="20"/>
          </w:rPr>
        </w:r>
      </w:p>
    </w:sdtContent>
  </w:sdt>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117</w:t>
        </w:r>
        <w:r>
          <w:rPr>
            <w:rFonts w:ascii="Times New Roman" w:hAnsi="Times New Roman"/>
            <w:sz w:val="20"/>
            <w:szCs w:val="20"/>
          </w:rPr>
          <w:fldChar w:fldCharType="end"/>
        </w:r>
        <w:r>
          <w:rPr>
            <w:rFonts w:ascii="Times New Roman" w:hAnsi="Times New Roman"/>
            <w:sz w:val="20"/>
            <w:szCs w:val="20"/>
          </w:rPr>
        </w:r>
      </w:p>
    </w:sdtContent>
  </w:sdt>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122</w:t>
        </w:r>
        <w:r>
          <w:rPr>
            <w:rFonts w:ascii="Times New Roman" w:hAnsi="Times New Roman"/>
            <w:sz w:val="20"/>
            <w:szCs w:val="20"/>
          </w:rPr>
          <w:fldChar w:fldCharType="end"/>
        </w:r>
        <w:r>
          <w:rPr>
            <w:rFonts w:ascii="Times New Roman" w:hAnsi="Times New Roman"/>
            <w:sz w:val="20"/>
            <w:szCs w:val="20"/>
          </w:rPr>
        </w:r>
      </w:p>
    </w:sdtContent>
  </w:sdt>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126</w:t>
        </w:r>
        <w:r>
          <w:rPr>
            <w:rFonts w:ascii="Times New Roman" w:hAnsi="Times New Roman"/>
            <w:sz w:val="20"/>
            <w:szCs w:val="20"/>
          </w:rPr>
          <w:fldChar w:fldCharType="end"/>
        </w:r>
        <w:r>
          <w:rPr>
            <w:rFonts w:ascii="Times New Roman" w:hAnsi="Times New Roman"/>
            <w:sz w:val="20"/>
            <w:szCs w:val="20"/>
          </w:rPr>
        </w:r>
      </w:p>
    </w:sdtContent>
  </w:sdt>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80091955"/>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27</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tabs>
            <w:tab w:val="clear" w:leader="none" w:pos="6379"/>
            <w:tab w:val="left" w:leader="none" w:pos="8647"/>
            <w:tab w:val="right" w:leader="none" w:pos="14601"/>
          </w:tabs>
          <w:spacing/>
          <w:ind/>
          <w:jc w:val="right"/>
          <w:rPr>
            <w:rFonts w:ascii="Times New Roman" w:hAnsi="Times New Roman"/>
            <w:sz w:val="20"/>
            <w:szCs w:val="20"/>
          </w:rPr>
        </w:pPr>
        <w:r>
          <w:rPr>
            <w:lang w:val="ru-RU"/>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128</w:t>
        </w:r>
        <w:r>
          <w:rPr>
            <w:rFonts w:ascii="Times New Roman" w:hAnsi="Times New Roman"/>
            <w:sz w:val="20"/>
            <w:szCs w:val="20"/>
          </w:rPr>
          <w:fldChar w:fldCharType="end"/>
        </w:r>
        <w:r>
          <w:rPr>
            <w:rFonts w:ascii="Times New Roman" w:hAnsi="Times New Roman"/>
            <w:sz w:val="20"/>
            <w:szCs w:val="20"/>
          </w:rPr>
        </w:r>
      </w:p>
    </w:sdtContent>
  </w:sdt>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133</w:t>
        </w:r>
        <w:r>
          <w:rPr>
            <w:rFonts w:ascii="Times New Roman" w:hAnsi="Times New Roman"/>
            <w:sz w:val="20"/>
            <w:szCs w:val="20"/>
          </w:rPr>
          <w:fldChar w:fldCharType="end"/>
        </w:r>
        <w:r>
          <w:rPr>
            <w:rFonts w:ascii="Times New Roman" w:hAnsi="Times New Roman"/>
            <w:sz w:val="20"/>
            <w:szCs w:val="20"/>
          </w:rPr>
        </w:r>
      </w:p>
    </w:sdtContent>
  </w:sdt>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spacing/>
      <w:ind/>
      <w:rPr/>
    </w:pPr>
    <w:r/>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142</w:t>
        </w:r>
        <w:r>
          <w:rPr>
            <w:rFonts w:ascii="Times New Roman" w:hAnsi="Times New Roman"/>
            <w:sz w:val="20"/>
            <w:szCs w:val="20"/>
          </w:rPr>
          <w:fldChar w:fldCharType="end"/>
        </w:r>
        <w:r>
          <w:rPr>
            <w:rFonts w:ascii="Times New Roman" w:hAnsi="Times New Roman"/>
            <w:sz w:val="20"/>
            <w:szCs w:val="20"/>
          </w:rPr>
        </w:r>
      </w:p>
    </w:sdtContent>
  </w:sdt>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148</w:t>
        </w:r>
        <w:r>
          <w:rPr>
            <w:rFonts w:ascii="Times New Roman" w:hAnsi="Times New Roman"/>
            <w:sz w:val="20"/>
            <w:szCs w:val="20"/>
          </w:rPr>
          <w:fldChar w:fldCharType="end"/>
        </w:r>
        <w:r>
          <w:rPr>
            <w:rFonts w:ascii="Times New Roman" w:hAnsi="Times New Roman"/>
            <w:sz w:val="20"/>
            <w:szCs w:val="20"/>
          </w:rPr>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150549155"/>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25</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150</w:t>
        </w:r>
        <w:r>
          <w:rPr>
            <w:rFonts w:ascii="Times New Roman" w:hAnsi="Times New Roman"/>
            <w:sz w:val="20"/>
            <w:szCs w:val="20"/>
          </w:rPr>
          <w:fldChar w:fldCharType="end"/>
        </w:r>
        <w:r>
          <w:rPr>
            <w:rFonts w:ascii="Times New Roman" w:hAnsi="Times New Roman"/>
            <w:sz w:val="20"/>
            <w:szCs w:val="20"/>
          </w:rPr>
        </w:r>
      </w:p>
    </w:sdtContent>
  </w:sdt>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165</w:t>
        </w:r>
        <w:r>
          <w:rPr>
            <w:rFonts w:ascii="Times New Roman" w:hAnsi="Times New Roman"/>
            <w:sz w:val="20"/>
            <w:szCs w:val="20"/>
          </w:rPr>
          <w:fldChar w:fldCharType="end"/>
        </w:r>
        <w:r>
          <w:rPr>
            <w:rFonts w:ascii="Times New Roman" w:hAnsi="Times New Roman"/>
            <w:sz w:val="20"/>
            <w:szCs w:val="20"/>
          </w:rPr>
        </w:r>
      </w:p>
    </w:sdtContent>
  </w:sdt>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156</w:t>
        </w:r>
        <w:r>
          <w:rPr>
            <w:rFonts w:ascii="Times New Roman" w:hAnsi="Times New Roman"/>
            <w:sz w:val="20"/>
            <w:szCs w:val="20"/>
          </w:rPr>
          <w:fldChar w:fldCharType="end"/>
        </w:r>
        <w:r>
          <w:rPr>
            <w:rFonts w:ascii="Times New Roman" w:hAnsi="Times New Roman"/>
            <w:sz w:val="20"/>
            <w:szCs w:val="20"/>
          </w:rPr>
        </w:r>
      </w:p>
    </w:sdtContent>
  </w:sdt>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157</w:t>
        </w:r>
        <w:r>
          <w:rPr>
            <w:rFonts w:ascii="Times New Roman" w:hAnsi="Times New Roman"/>
            <w:sz w:val="20"/>
            <w:szCs w:val="20"/>
          </w:rPr>
          <w:fldChar w:fldCharType="end"/>
        </w:r>
        <w:r>
          <w:rPr>
            <w:rFonts w:ascii="Times New Roman" w:hAnsi="Times New Roman"/>
            <w:sz w:val="20"/>
            <w:szCs w:val="20"/>
          </w:rPr>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80091955"/>
      <w:docPartObj>
        <w:docPartGallery w:val="Page Numbers (Bottom of Page)"/>
        <w:docPartUnique w:val="true"/>
      </w:docPartObj>
      <w:rPr/>
    </w:sdtPr>
    <w:sdtContent>
      <w:p>
        <w:pPr>
          <w:pStyle w:val="11066"/>
          <w:pBdr>
            <w:top w:val="none" w:color="000000" w:sz="4" w:space="0"/>
          </w:pBdr>
          <w:spacing/>
          <w:ind w:right="-285"/>
          <w:jc w:val="right"/>
          <w:rPr>
            <w:rFonts w:ascii="Times New Roman" w:hAnsi="Times New Roman"/>
            <w:sz w:val="20"/>
            <w:szCs w:val="20"/>
          </w:rPr>
        </w:pPr>
        <w:r>
          <w:fldChar w:fldCharType="begin"/>
        </w:r>
        <w:r>
          <w:instrText xml:space="preserve"> PAGE </w:instrText>
        </w:r>
        <w:r>
          <w:fldChar w:fldCharType="separate"/>
        </w:r>
        <w:r>
          <w:t xml:space="preserve">29</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158</w:t>
        </w:r>
        <w:r>
          <w:rPr>
            <w:rFonts w:ascii="Times New Roman" w:hAnsi="Times New Roman"/>
            <w:sz w:val="20"/>
            <w:szCs w:val="20"/>
          </w:rPr>
          <w:fldChar w:fldCharType="end"/>
        </w:r>
        <w:r>
          <w:rPr>
            <w:rFonts w:ascii="Times New Roman" w:hAnsi="Times New Roman"/>
            <w:sz w:val="20"/>
            <w:szCs w:val="20"/>
          </w:rPr>
        </w:r>
      </w:p>
    </w:sdtContent>
  </w:sdt>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159</w:t>
        </w:r>
        <w:r>
          <w:rPr>
            <w:rFonts w:ascii="Times New Roman" w:hAnsi="Times New Roman"/>
            <w:sz w:val="20"/>
            <w:szCs w:val="20"/>
          </w:rPr>
          <w:fldChar w:fldCharType="end"/>
        </w:r>
        <w:r>
          <w:rPr>
            <w:rFonts w:ascii="Times New Roman" w:hAnsi="Times New Roman"/>
            <w:sz w:val="20"/>
            <w:szCs w:val="20"/>
          </w:rPr>
        </w:r>
      </w:p>
    </w:sdtContent>
  </w:sdt>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160</w:t>
        </w:r>
        <w:r>
          <w:rPr>
            <w:rFonts w:ascii="Times New Roman" w:hAnsi="Times New Roman"/>
            <w:sz w:val="20"/>
            <w:szCs w:val="20"/>
          </w:rPr>
          <w:fldChar w:fldCharType="end"/>
        </w:r>
        <w:r>
          <w:rPr>
            <w:rFonts w:ascii="Times New Roman" w:hAnsi="Times New Roman"/>
            <w:sz w:val="20"/>
            <w:szCs w:val="20"/>
          </w:rPr>
        </w:r>
      </w:p>
    </w:sdtContent>
  </w:sdt>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162</w:t>
        </w:r>
        <w:r>
          <w:rPr>
            <w:rFonts w:ascii="Times New Roman" w:hAnsi="Times New Roman"/>
            <w:sz w:val="20"/>
            <w:szCs w:val="20"/>
          </w:rPr>
          <w:fldChar w:fldCharType="end"/>
        </w:r>
        <w:r>
          <w:rPr>
            <w:rFonts w:ascii="Times New Roman" w:hAnsi="Times New Roman"/>
            <w:sz w:val="20"/>
            <w:szCs w:val="20"/>
          </w:rPr>
        </w:r>
      </w:p>
    </w:sdtContent>
  </w:sdt>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165</w:t>
        </w:r>
        <w:r>
          <w:rPr>
            <w:rFonts w:ascii="Times New Roman" w:hAnsi="Times New Roman"/>
            <w:sz w:val="20"/>
            <w:szCs w:val="20"/>
          </w:rPr>
          <w:fldChar w:fldCharType="end"/>
        </w:r>
        <w:r>
          <w:rPr>
            <w:rFonts w:ascii="Times New Roman" w:hAnsi="Times New Roman"/>
            <w:sz w:val="20"/>
            <w:szCs w:val="20"/>
          </w:rPr>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1150549155"/>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28</w:t>
        </w:r>
        <w:r>
          <w:fldChar w:fldCharType="end"/>
        </w:r>
        <w:r>
          <w:rPr>
            <w:rFonts w:ascii="Times New Roman" w:hAnsi="Times New Roman"/>
            <w:sz w:val="20"/>
            <w:szCs w:val="20"/>
          </w:rPr>
        </w:r>
      </w:p>
    </w:sdtContent>
  </w:sdt>
  <w:p>
    <w:pPr>
      <w:pStyle w:val="11066"/>
      <w:pBdr>
        <w:top w:val="none" w:color="000000" w:sz="4" w:space="0"/>
      </w:pBdr>
      <w:spacing/>
      <w:ind/>
      <w:rPr/>
    </w:pPr>
    <w:r/>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docPartObj>
        <w:docPartGallery w:val="Page Numbers (Bottom of Page)"/>
        <w:docPartUnique w:val="true"/>
      </w:docPartObj>
      <w:rPr/>
    </w:sdtPr>
    <w:sdtContent>
      <w:p>
        <w:pPr>
          <w:pStyle w:val="11066"/>
          <w:pBdr>
            <w:top w:val="none" w:color="000000" w:sz="4" w:space="0"/>
          </w:pBdr>
          <w:spacing/>
          <w:ind/>
          <w:jc w:val="right"/>
          <w:rPr>
            <w:rFonts w:ascii="Times New Roman" w:hAnsi="Times New Roman"/>
            <w:sz w:val="20"/>
            <w:szCs w:val="20"/>
          </w:rPr>
        </w:pPr>
        <w:r>
          <w:fldChar w:fldCharType="begin"/>
        </w:r>
        <w:r>
          <w:instrText xml:space="preserve"> PAGE </w:instrText>
        </w:r>
        <w:r>
          <w:fldChar w:fldCharType="separate"/>
        </w:r>
        <w:r>
          <w:t xml:space="preserve">396</w:t>
        </w:r>
        <w:r>
          <w:fldChar w:fldCharType="end"/>
        </w:r>
        <w:r>
          <w:rPr>
            <w:rFonts w:ascii="Times New Roman" w:hAnsi="Times New Roman"/>
            <w:sz w:val="20"/>
            <w:szCs w:val="20"/>
          </w:rPr>
        </w:r>
      </w:p>
    </w:sdtContent>
  </w:sdt>
  <w:p>
    <w:pPr>
      <w:pStyle w:val="11055"/>
      <w:pBdr/>
      <w:spacing w:line="12" w:lineRule="auto"/>
      <w:ind/>
      <w:rPr>
        <w:sz w:val="20"/>
      </w:rPr>
    </w:pPr>
    <w:r>
      <w:rPr>
        <w:sz w:val="20"/>
      </w:rPr>
    </w:r>
    <w:r>
      <w:rPr>
        <w:sz w:val="20"/>
      </w:rPr>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168</w:t>
        </w:r>
        <w:r>
          <w:rPr>
            <w:rFonts w:ascii="Times New Roman" w:hAnsi="Times New Roman"/>
            <w:sz w:val="20"/>
            <w:szCs w:val="20"/>
          </w:rPr>
          <w:fldChar w:fldCharType="end"/>
        </w:r>
        <w:r>
          <w:rPr>
            <w:rFonts w:ascii="Times New Roman" w:hAnsi="Times New Roman"/>
            <w:sz w:val="20"/>
            <w:szCs w:val="20"/>
          </w:rPr>
        </w:r>
      </w:p>
    </w:sdtContent>
  </w:sdt>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177</w:t>
        </w:r>
        <w:r>
          <w:rPr>
            <w:rFonts w:ascii="Times New Roman" w:hAnsi="Times New Roman"/>
            <w:sz w:val="20"/>
            <w:szCs w:val="20"/>
          </w:rPr>
          <w:fldChar w:fldCharType="end"/>
        </w:r>
        <w:r>
          <w:rPr>
            <w:rFonts w:ascii="Times New Roman" w:hAnsi="Times New Roman"/>
            <w:sz w:val="20"/>
            <w:szCs w:val="20"/>
          </w:rPr>
        </w:r>
      </w:p>
    </w:sdtContent>
  </w:sdt>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178</w:t>
        </w:r>
        <w:r>
          <w:rPr>
            <w:rFonts w:ascii="Times New Roman" w:hAnsi="Times New Roman"/>
            <w:sz w:val="20"/>
            <w:szCs w:val="20"/>
          </w:rPr>
          <w:fldChar w:fldCharType="end"/>
        </w:r>
        <w:r>
          <w:rPr>
            <w:rFonts w:ascii="Times New Roman" w:hAnsi="Times New Roman"/>
            <w:sz w:val="20"/>
            <w:szCs w:val="20"/>
          </w:rPr>
        </w:r>
      </w:p>
    </w:sdtContent>
  </w:sdt>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6"/>
      <w:pBdr>
        <w:top w:val="none" w:color="000000" w:sz="4" w:space="0"/>
      </w:pBdr>
      <w:tabs>
        <w:tab w:val="left" w:leader="none" w:pos="142"/>
        <w:tab w:val="clear" w:leader="none" w:pos="6379"/>
        <w:tab w:val="right" w:leader="none" w:pos="14601"/>
      </w:tabs>
      <w:spacing/>
      <w:ind/>
      <w:jc w:val="left"/>
      <w:rPr>
        <w:rFonts w:ascii="Times New Roman" w:hAnsi="Times New Roman"/>
        <w:b/>
        <w:lang w:val="ru-RU"/>
      </w:rPr>
    </w:pPr>
    <w:r>
      <w:rPr>
        <w:rFonts w:ascii="Times New Roman" w:hAnsi="Times New Roman"/>
        <w:b/>
        <w:lang w:val="ru-RU"/>
      </w:rPr>
    </w:r>
    <w:r>
      <w:rPr>
        <w:rFonts w:ascii="Times New Roman" w:hAnsi="Times New Roman"/>
        <w:b/>
        <w:lang w:val="ru-RU"/>
      </w:rPr>
    </w:r>
  </w:p>
  <w:sdt>
    <w:sdtPr>
      <w15:appearance w15:val="boundingBox"/>
      <w:docPartObj>
        <w:docPartGallery w:val="Page Numbers (Bottom of Page)"/>
        <w:docPartUnique w:val="true"/>
      </w:docPartObj>
      <w:rPr/>
    </w:sdtPr>
    <w:sdtContent>
      <w:p>
        <w:pPr>
          <w:pStyle w:val="11066"/>
          <w:pBdr>
            <w:top w:val="none" w:color="000000" w:sz="4" w:space="0"/>
          </w:pBdr>
          <w:tabs>
            <w:tab w:val="left" w:leader="none" w:pos="4678"/>
            <w:tab w:val="left" w:leader="none" w:pos="5954"/>
            <w:tab w:val="clear" w:leader="none" w:pos="6379"/>
            <w:tab w:val="right" w:leader="none" w:pos="14601"/>
          </w:tabs>
          <w:spacing/>
          <w:ind/>
          <w:jc w:val="right"/>
          <w:rPr>
            <w:rFonts w:ascii="Times New Roman" w:hAnsi="Times New Roman"/>
            <w:sz w:val="20"/>
            <w:szCs w:val="20"/>
          </w:rPr>
        </w:pPr>
        <w:r>
          <w:rPr>
            <w:rFonts w:ascii="Times New Roman" w:hAnsi="Times New Roman"/>
            <w:sz w:val="20"/>
            <w:szCs w:val="20"/>
            <w:lang w:val="ru-RU"/>
          </w:rPr>
          <w:t xml:space="preserve"> </w:t>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 xml:space="preserve">204</w:t>
        </w:r>
        <w:r>
          <w:rPr>
            <w:rFonts w:ascii="Times New Roman" w:hAnsi="Times New Roman"/>
            <w:sz w:val="20"/>
            <w:szCs w:val="20"/>
          </w:rPr>
          <w:fldChar w:fldCharType="end"/>
        </w:r>
        <w:r>
          <w:rPr>
            <w:rFonts w:ascii="Times New Roman" w:hAnsi="Times New Roman"/>
            <w:sz w:val="20"/>
            <w:szCs w:val="20"/>
          </w:rPr>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pBdr/>
      <w:tabs>
        <w:tab w:val="clear" w:leader="none" w:pos="708"/>
        <w:tab w:val="center" w:leader="none" w:pos="4677"/>
        <w:tab w:val="right" w:leader="none" w:pos="9355"/>
      </w:tabs>
      <w:spacing/>
      <w:ind/>
      <w:jc w:val="right"/>
      <w:rPr/>
    </w:pPr>
    <w:r/>
    <w:r/>
    <w:r>
      <w:rPr>
        <w:rFonts w:eastAsia="Calibri"/>
        <w:caps/>
        <w:sz w:val="20"/>
        <w:szCs w:val="20"/>
      </w:rPr>
      <w:t xml:space="preserve">СХЕМА ТЕПЛОСНАБЖЕНИЯ </w:t>
    </w:r>
    <w:bookmarkStart w:id="23" w:name="_Hlk174379201"/>
    <w:r>
      <w:rPr>
        <w:rFonts w:eastAsia="Calibri"/>
        <w:caps/>
        <w:sz w:val="20"/>
        <w:szCs w:val="20"/>
      </w:rPr>
      <w:t xml:space="preserve">Муниципального образования</w:t>
    </w:r>
    <w:r/>
  </w:p>
  <w:p>
    <w:pPr>
      <w:pStyle w:val="10533"/>
      <w:pBdr/>
      <w:tabs>
        <w:tab w:val="clear" w:leader="none" w:pos="708"/>
        <w:tab w:val="center" w:leader="none" w:pos="4677"/>
        <w:tab w:val="right" w:leader="none" w:pos="9355"/>
      </w:tabs>
      <w:spacing/>
      <w:ind/>
      <w:jc w:val="right"/>
      <w:rPr/>
    </w:pPr>
    <w:r>
      <w:rPr>
        <w:rFonts w:eastAsia="Calibri"/>
        <w:caps/>
        <w:sz w:val="20"/>
        <w:szCs w:val="20"/>
      </w:rPr>
      <w:t xml:space="preserve"> </w:t>
    </w:r>
    <w:r>
      <w:rPr>
        <w:rFonts w:eastAsia="Calibri"/>
        <w:caps/>
        <w:sz w:val="20"/>
        <w:szCs w:val="20"/>
      </w:rPr>
      <w:t xml:space="preserve">Астаповское АРСЕНЬЕВСКОГО МУНИЦИПАЛЬНОГО РАЙОНА </w:t>
    </w:r>
    <w:r/>
  </w:p>
  <w:p>
    <w:pPr>
      <w:pStyle w:val="10533"/>
      <w:pBdr/>
      <w:tabs>
        <w:tab w:val="clear" w:leader="none" w:pos="708"/>
        <w:tab w:val="center" w:leader="none" w:pos="4677"/>
        <w:tab w:val="right" w:leader="none" w:pos="9355"/>
      </w:tabs>
      <w:spacing/>
      <w:ind/>
      <w:jc w:val="right"/>
      <w:rPr/>
    </w:pPr>
    <w:r>
      <w:rPr>
        <w:rFonts w:eastAsia="Calibri"/>
        <w:caps/>
        <w:sz w:val="20"/>
        <w:szCs w:val="20"/>
      </w:rPr>
      <w:t xml:space="preserve">ТУЛЬСКОЙ ОБЛАСТИ </w:t>
    </w:r>
    <w:r/>
  </w:p>
  <w:p>
    <w:pPr>
      <w:pStyle w:val="10533"/>
      <w:pBdr/>
      <w:tabs>
        <w:tab w:val="clear" w:leader="none" w:pos="708"/>
        <w:tab w:val="center" w:leader="none" w:pos="4677"/>
        <w:tab w:val="right" w:leader="none" w:pos="9355"/>
      </w:tabs>
      <w:spacing/>
      <w:ind/>
      <w:jc w:val="right"/>
      <w:rPr/>
    </w:pPr>
    <w:r/>
    <w:bookmarkStart w:id="24" w:name="_Hlk174379227"/>
    <w:r/>
    <w:bookmarkStart w:id="25" w:name="_Hlk187758014"/>
    <w:r>
      <w:rPr>
        <w:rFonts w:eastAsia="Calibri"/>
        <w:caps/>
        <w:sz w:val="20"/>
        <w:szCs w:val="20"/>
      </w:rPr>
      <w:t xml:space="preserve">НА ПЕРИОД ДО 2038 ГОДА</w:t>
    </w:r>
    <w:bookmarkEnd w:id="24"/>
    <w:r/>
    <w:bookmarkEnd w:id="25"/>
    <w:r/>
    <w:bookmarkEnd w:id="23"/>
    <w:r/>
    <w:r/>
  </w:p>
  <w:p>
    <w:pPr>
      <w:pStyle w:val="10533"/>
      <w:pBdr/>
      <w:tabs>
        <w:tab w:val="clear" w:leader="none" w:pos="708"/>
        <w:tab w:val="center" w:leader="none" w:pos="4677"/>
        <w:tab w:val="right" w:leader="none" w:pos="9355"/>
      </w:tabs>
      <w:spacing/>
      <w:ind/>
      <w:jc w:val="center"/>
      <w:rPr>
        <w:rFonts w:eastAsia="Calibri"/>
        <w:caps/>
        <w:sz w:val="20"/>
        <w:szCs w:val="20"/>
      </w:rPr>
    </w:pPr>
    <w:r>
      <w:rPr>
        <w:rFonts w:eastAsia="Calibri"/>
        <w:caps/>
        <w:sz w:val="20"/>
        <w:szCs w:val="20"/>
      </w:rPr>
    </w:r>
    <w:r>
      <w:rPr>
        <w:rFonts w:eastAsia="Calibri"/>
        <w:caps/>
        <w:sz w:val="20"/>
        <w:szCs w:val="20"/>
      </w:rP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
    <w:r>
      <w:rPr>
        <w:rFonts w:eastAsia="Calibri"/>
        <w:caps/>
        <w:sz w:val="20"/>
        <w:szCs w:val="20"/>
      </w:rPr>
      <w:t xml:space="preserve">СХЕМА ТЕПЛОСНАБЖЕНИЯ </w:t>
    </w:r>
    <w:bookmarkStart w:id="89" w:name="_Hlk174379201_Копия_14_Копия_3_Копия_3"/>
    <w:r>
      <w:rPr>
        <w:rFonts w:eastAsia="Calibri"/>
        <w:caps/>
        <w:sz w:val="20"/>
        <w:szCs w:val="20"/>
      </w:rPr>
      <w:t xml:space="preserve">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bookmarkStart w:id="90" w:name="_Hlk174379227_Копия_14_Копия_3_Копия_3"/>
    <w:r/>
    <w:bookmarkStart w:id="91" w:name="_Hlk187758014_Копия_14_Копия_3_Копия_3"/>
    <w:r>
      <w:rPr>
        <w:rFonts w:eastAsia="Calibri"/>
        <w:caps/>
        <w:sz w:val="20"/>
        <w:szCs w:val="20"/>
      </w:rPr>
      <w:t xml:space="preserve">НА ПЕРИОД ДО 2038 ГОДА</w:t>
    </w:r>
    <w:bookmarkEnd w:id="90"/>
    <w:r/>
    <w:bookmarkEnd w:id="91"/>
    <w:r/>
    <w:bookmarkEnd w:id="89"/>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8"/>
      <w:numPr>
        <w:ilvl w:val="1"/>
        <w:numId w:val="5"/>
      </w:numPr>
      <w:pBdr/>
      <w:spacing/>
      <w:ind/>
      <w:rPr/>
    </w:pPr>
    <w:r/>
    <w: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
    <w:r>
      <w:rPr>
        <w:rFonts w:eastAsia="Calibri"/>
        <w:caps/>
        <w:sz w:val="20"/>
        <w:szCs w:val="20"/>
      </w:rPr>
      <w:t xml:space="preserve">СХЕМА ТЕПЛОСНАБЖЕНИЯ </w:t>
    </w:r>
    <w:bookmarkStart w:id="149" w:name="_Hlk174379201_Копия_14_Копия_3_Копия_3_К"/>
    <w:r>
      <w:rPr>
        <w:rFonts w:eastAsia="Calibri"/>
        <w:caps/>
        <w:sz w:val="20"/>
        <w:szCs w:val="20"/>
      </w:rPr>
      <w:t xml:space="preserve">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bookmarkStart w:id="150" w:name="_Hlk187758014_Копия_14_Копия_3_Копия_3_К"/>
    <w:r/>
    <w:bookmarkStart w:id="151" w:name="_Hlk174379227_Копия_14_Копия_3_Копия_3_К"/>
    <w:r>
      <w:rPr>
        <w:rFonts w:eastAsia="Calibri"/>
        <w:caps/>
        <w:sz w:val="20"/>
        <w:szCs w:val="20"/>
      </w:rPr>
      <w:t xml:space="preserve">НА ПЕРИОД ДО 2038 ГОДА</w:t>
    </w:r>
    <w:bookmarkEnd w:id="150"/>
    <w:r/>
    <w:bookmarkEnd w:id="151"/>
    <w:r/>
    <w:bookmarkEnd w:id="149"/>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right"/>
      <w:rPr>
        <w:rFonts w:eastAsia="Calibri"/>
        <w:caps/>
        <w:sz w:val="20"/>
        <w:szCs w:val="20"/>
      </w:rPr>
    </w:pPr>
    <w:r>
      <w:rPr>
        <w:rFonts w:eastAsia="Calibri"/>
        <w:caps/>
        <w:sz w:val="20"/>
        <w:szCs w:val="20"/>
      </w:rPr>
    </w:r>
    <w:r>
      <w:rPr>
        <w:rFonts w:eastAsia="Calibri"/>
        <w:caps/>
        <w:sz w:val="20"/>
        <w:szCs w:val="20"/>
      </w:rPr>
    </w: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right"/>
      <w:rPr>
        <w:rFonts w:eastAsia="Calibri"/>
        <w:caps/>
        <w:sz w:val="20"/>
        <w:szCs w:val="20"/>
      </w:rPr>
    </w:pPr>
    <w:r>
      <w:rPr>
        <w:rFonts w:eastAsia="Calibri"/>
        <w:caps/>
        <w:sz w:val="20"/>
        <w:szCs w:val="20"/>
      </w:rPr>
    </w:r>
    <w:r>
      <w:rPr>
        <w:rFonts w:eastAsia="Calibri"/>
        <w:caps/>
        <w:sz w:val="20"/>
        <w:szCs w:val="20"/>
      </w:rPr>
    </w: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right"/>
      <w:rPr>
        <w:rFonts w:eastAsia="Calibri"/>
        <w:caps/>
        <w:sz w:val="20"/>
        <w:szCs w:val="20"/>
      </w:rPr>
    </w:pPr>
    <w:r>
      <w:rPr>
        <w:rFonts w:eastAsia="Calibri"/>
        <w:caps/>
        <w:sz w:val="20"/>
        <w:szCs w:val="20"/>
      </w:rPr>
    </w:r>
    <w:r>
      <w:rPr>
        <w:rFonts w:eastAsia="Calibri"/>
        <w:caps/>
        <w:sz w:val="20"/>
        <w:szCs w:val="20"/>
      </w:rPr>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
    <w:r>
      <w:rPr>
        <w:rFonts w:eastAsia="Calibri"/>
        <w:caps/>
        <w:sz w:val="20"/>
        <w:szCs w:val="20"/>
      </w:rPr>
      <w:t xml:space="preserve">СХЕМА ТЕПЛОСНАБЖЕНИЯ </w:t>
    </w:r>
    <w:bookmarkStart w:id="162" w:name="_Hlk174379201_Копия_14_Копия_3_Копия_3_1"/>
    <w:r>
      <w:rPr>
        <w:rFonts w:eastAsia="Calibri"/>
        <w:caps/>
        <w:sz w:val="20"/>
        <w:szCs w:val="20"/>
      </w:rPr>
      <w:t xml:space="preserve">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bookmarkStart w:id="163" w:name="_Hlk174379227_Копия_14_Копия_3_Копия_3_1"/>
    <w:r/>
    <w:bookmarkStart w:id="164" w:name="_Hlk187758014_Копия_14_Копия_3_Копия_3_1"/>
    <w:r>
      <w:rPr>
        <w:rFonts w:eastAsia="Calibri"/>
        <w:caps/>
        <w:sz w:val="20"/>
        <w:szCs w:val="20"/>
      </w:rPr>
      <w:t xml:space="preserve">НА ПЕРИОД ДО 2038 ГОДА</w:t>
    </w:r>
    <w:bookmarkEnd w:id="163"/>
    <w:r/>
    <w:bookmarkEnd w:id="164"/>
    <w:r/>
    <w:bookmarkEnd w:id="162"/>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pBdr/>
      <w:spacing/>
      <w:ind/>
      <w:rPr/>
    </w:pPr>
    <w:r/>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
    <w:r>
      <w:rPr>
        <w:rFonts w:eastAsia="Calibri"/>
        <w:caps/>
        <w:sz w:val="20"/>
        <w:szCs w:val="20"/>
      </w:rPr>
      <w:t xml:space="preserve">СХЕМА ТЕПЛОСНАБЖЕНИЯ </w:t>
    </w:r>
    <w:bookmarkStart w:id="176" w:name="_Hlk174379201_Копия_14_Копия_3_Копия_3_2"/>
    <w:r>
      <w:rPr>
        <w:rFonts w:eastAsia="Calibri"/>
        <w:caps/>
        <w:sz w:val="20"/>
        <w:szCs w:val="20"/>
      </w:rPr>
      <w:t xml:space="preserve">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bookmarkStart w:id="177" w:name="_Hlk187758014_Копия_14_Копия_3_Копия_3_2"/>
    <w:r/>
    <w:bookmarkStart w:id="178" w:name="_Hlk174379227_Копия_14_Копия_3_Копия_3_2"/>
    <w:r>
      <w:rPr>
        <w:rFonts w:eastAsia="Calibri"/>
        <w:caps/>
        <w:sz w:val="20"/>
        <w:szCs w:val="20"/>
      </w:rPr>
      <w:t xml:space="preserve">НА ПЕРИОД ДО 2038 ГОДА</w:t>
    </w:r>
    <w:bookmarkEnd w:id="177"/>
    <w:r/>
    <w:bookmarkEnd w:id="178"/>
    <w:r/>
    <w:bookmarkEnd w:id="176"/>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
    <w:r>
      <w:rPr>
        <w:rFonts w:eastAsia="Calibri"/>
        <w:caps/>
        <w:sz w:val="20"/>
        <w:szCs w:val="20"/>
      </w:rPr>
      <w:t xml:space="preserve">СХЕМА ТЕПЛОСНАБЖЕНИЯ </w:t>
    </w:r>
    <w:bookmarkStart w:id="181" w:name="_Hlk174379201_Копия_14_Копия_3_Копия_3_3"/>
    <w:r>
      <w:rPr>
        <w:rFonts w:eastAsia="Calibri"/>
        <w:caps/>
        <w:sz w:val="20"/>
        <w:szCs w:val="20"/>
      </w:rPr>
      <w:t xml:space="preserve">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bookmarkStart w:id="182" w:name="_Hlk187758014_Копия_14_Копия_3_Копия_3_3"/>
    <w:r/>
    <w:bookmarkStart w:id="183" w:name="_Hlk174379227_Копия_14_Копия_3_Копия_3_3"/>
    <w:r>
      <w:rPr>
        <w:rFonts w:eastAsia="Calibri"/>
        <w:caps/>
        <w:sz w:val="20"/>
        <w:szCs w:val="20"/>
      </w:rPr>
      <w:t xml:space="preserve">НА ПЕРИОД ДО 2038 ГОДА</w:t>
    </w:r>
    <w:bookmarkEnd w:id="182"/>
    <w:r/>
    <w:bookmarkEnd w:id="183"/>
    <w:r/>
    <w:bookmarkEnd w:id="181"/>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
    <w:r>
      <w:rPr>
        <w:rFonts w:eastAsia="Calibri"/>
        <w:caps/>
        <w:sz w:val="20"/>
        <w:szCs w:val="20"/>
      </w:rPr>
      <w:t xml:space="preserve">СХЕМА ТЕПЛОСНАБЖЕНИЯ </w:t>
    </w:r>
    <w:bookmarkStart w:id="255" w:name="_Hlk174379201_Копия_14_Копия_3_Копия_3_4"/>
    <w:r>
      <w:rPr>
        <w:rFonts w:eastAsia="Calibri"/>
        <w:caps/>
        <w:sz w:val="20"/>
        <w:szCs w:val="20"/>
      </w:rPr>
      <w:t xml:space="preserve">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bookmarkStart w:id="256" w:name="_Hlk187758014_Копия_14_Копия_3_Копия_3_4"/>
    <w:r/>
    <w:bookmarkStart w:id="257" w:name="_Hlk174379227_Копия_14_Копия_3_Копия_3_4"/>
    <w:r>
      <w:rPr>
        <w:rFonts w:eastAsia="Calibri"/>
        <w:caps/>
        <w:sz w:val="20"/>
        <w:szCs w:val="20"/>
      </w:rPr>
      <w:t xml:space="preserve">НА ПЕРИОД ДО 2038 ГОДА</w:t>
    </w:r>
    <w:bookmarkEnd w:id="256"/>
    <w:r/>
    <w:bookmarkEnd w:id="257"/>
    <w:r/>
    <w:bookmarkEnd w:id="255"/>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
    <w:r>
      <w:rPr>
        <w:rFonts w:eastAsia="Calibri"/>
        <w:caps/>
        <w:sz w:val="20"/>
        <w:szCs w:val="20"/>
      </w:rPr>
      <w:t xml:space="preserve">СХЕМА ТЕПЛОСНАБЖЕНИЯ </w:t>
    </w:r>
    <w:bookmarkStart w:id="315" w:name="_Hlk174379201_Копия_14_Копия_3_Копия_3_5"/>
    <w:r>
      <w:rPr>
        <w:rFonts w:eastAsia="Calibri"/>
        <w:caps/>
        <w:sz w:val="20"/>
        <w:szCs w:val="20"/>
      </w:rPr>
      <w:t xml:space="preserve">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bookmarkStart w:id="316" w:name="_Hlk187758014_Копия_14_Копия_3_Копия_3_5"/>
    <w:r/>
    <w:bookmarkStart w:id="317" w:name="_Hlk174379227_Копия_14_Копия_3_Копия_3_5"/>
    <w:r>
      <w:rPr>
        <w:rFonts w:eastAsia="Calibri"/>
        <w:caps/>
        <w:sz w:val="20"/>
        <w:szCs w:val="20"/>
      </w:rPr>
      <w:t xml:space="preserve">НА ПЕРИОД ДО 2038 ГОДА</w:t>
    </w:r>
    <w:bookmarkEnd w:id="316"/>
    <w:r/>
    <w:bookmarkEnd w:id="317"/>
    <w:r/>
    <w:bookmarkEnd w:id="315"/>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
    <w:r>
      <w:rPr>
        <w:rFonts w:eastAsia="Calibri"/>
        <w:caps/>
        <w:sz w:val="20"/>
        <w:szCs w:val="20"/>
      </w:rPr>
      <w:t xml:space="preserve">СХЕМА ТЕПЛОСНАБЖЕНИЯ </w:t>
    </w:r>
    <w:bookmarkStart w:id="320" w:name="_Hlk174379201_Копия_14_Копия_3_Копия_3_6"/>
    <w:r>
      <w:rPr>
        <w:rFonts w:eastAsia="Calibri"/>
        <w:caps/>
        <w:sz w:val="20"/>
        <w:szCs w:val="20"/>
      </w:rPr>
      <w:t xml:space="preserve">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bookmarkStart w:id="321" w:name="_Hlk174379227_Копия_14_Копия_3_Копия_3_6"/>
    <w:r/>
    <w:bookmarkStart w:id="322" w:name="_Hlk187758014_Копия_14_Копия_3_Копия_3_6"/>
    <w:r>
      <w:rPr>
        <w:rFonts w:eastAsia="Calibri"/>
        <w:caps/>
        <w:sz w:val="20"/>
        <w:szCs w:val="20"/>
      </w:rPr>
      <w:t xml:space="preserve">НА ПЕРИОД ДО 2038 ГОДА</w:t>
    </w:r>
    <w:bookmarkEnd w:id="321"/>
    <w:r/>
    <w:bookmarkEnd w:id="322"/>
    <w:r/>
    <w:bookmarkEnd w:id="320"/>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8"/>
      <w:numPr>
        <w:ilvl w:val="1"/>
        <w:numId w:val="5"/>
      </w:numPr>
      <w:pBdr/>
      <w:spacing/>
      <w:ind/>
      <w:rPr/>
    </w:pPr>
    <w:r/>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pBdr/>
      <w:tabs>
        <w:tab w:val="clear" w:leader="none" w:pos="708"/>
        <w:tab w:val="center" w:leader="none" w:pos="4677"/>
        <w:tab w:val="right" w:leader="none" w:pos="9355"/>
      </w:tabs>
      <w:spacing/>
      <w:ind/>
      <w:jc w:val="right"/>
      <w:rPr/>
    </w:pPr>
    <w:r>
      <w:rPr>
        <w:rFonts w:eastAsia="Calibri"/>
        <w:caps/>
        <w:sz w:val="20"/>
        <w:szCs w:val="20"/>
      </w:rPr>
      <w:t xml:space="preserve">СХЕМА ТЕПЛОСНАБЖЕНИЯ Муниципального</w:t>
    </w:r>
    <w:r/>
  </w:p>
  <w:p>
    <w:pPr>
      <w:pStyle w:val="10533"/>
      <w:pBdr/>
      <w:tabs>
        <w:tab w:val="clear" w:leader="none" w:pos="708"/>
        <w:tab w:val="center" w:leader="none" w:pos="4677"/>
        <w:tab w:val="right" w:leader="none" w:pos="9355"/>
      </w:tabs>
      <w:spacing/>
      <w:ind/>
      <w:jc w:val="right"/>
      <w:rPr/>
    </w:pPr>
    <w:r>
      <w:rPr>
        <w:rFonts w:eastAsia="Calibri"/>
        <w:caps/>
        <w:sz w:val="20"/>
        <w:szCs w:val="20"/>
      </w:rPr>
      <w:t xml:space="preserve"> </w:t>
    </w:r>
    <w:r>
      <w:rPr>
        <w:rFonts w:eastAsia="Calibri"/>
        <w:caps/>
        <w:sz w:val="20"/>
        <w:szCs w:val="20"/>
      </w:rPr>
      <w:t xml:space="preserve">образования Астаповское </w:t>
    </w:r>
    <w:r/>
  </w:p>
  <w:p>
    <w:pPr>
      <w:pStyle w:val="10533"/>
      <w:pBdr/>
      <w:tabs>
        <w:tab w:val="clear" w:leader="none" w:pos="708"/>
        <w:tab w:val="center" w:leader="none" w:pos="4677"/>
        <w:tab w:val="right" w:leader="none" w:pos="9355"/>
      </w:tabs>
      <w:spacing/>
      <w:ind/>
      <w:jc w:val="right"/>
      <w:rPr/>
    </w:pPr>
    <w:r>
      <w:rPr>
        <w:rFonts w:eastAsia="Calibri"/>
        <w:caps/>
        <w:sz w:val="20"/>
        <w:szCs w:val="20"/>
      </w:rPr>
      <w:t xml:space="preserve">АРСЕНЬЕВСКОГО МУНИЦИПАЛЬНОГО РАЙОНА </w:t>
    </w:r>
    <w:r/>
  </w:p>
  <w:p>
    <w:pPr>
      <w:pStyle w:val="10533"/>
      <w:pBdr/>
      <w:tabs>
        <w:tab w:val="clear" w:leader="none" w:pos="708"/>
        <w:tab w:val="center" w:leader="none" w:pos="4677"/>
        <w:tab w:val="right" w:leader="none" w:pos="9355"/>
      </w:tabs>
      <w:spacing/>
      <w:ind/>
      <w:jc w:val="right"/>
      <w:rPr/>
    </w:pPr>
    <w:r>
      <w:rPr>
        <w:rFonts w:eastAsia="Calibri"/>
        <w:caps/>
        <w:sz w:val="20"/>
        <w:szCs w:val="20"/>
      </w:rPr>
      <w:t xml:space="preserve">ТУЛЬСКОЙ ОБЛАСТИ </w:t>
    </w:r>
    <w:r/>
  </w:p>
  <w:p>
    <w:pPr>
      <w:pStyle w:val="10533"/>
      <w:pBdr/>
      <w:tabs>
        <w:tab w:val="clear" w:leader="none" w:pos="708"/>
        <w:tab w:val="center" w:leader="none" w:pos="4677"/>
        <w:tab w:val="right" w:leader="none" w:pos="9355"/>
      </w:tabs>
      <w:spacing/>
      <w:ind/>
      <w:jc w:val="right"/>
      <w:rPr/>
    </w:pPr>
    <w:r>
      <w:rPr>
        <w:rFonts w:eastAsia="Calibri"/>
        <w:caps/>
        <w:sz w:val="20"/>
        <w:szCs w:val="20"/>
      </w:rPr>
      <w:t xml:space="preserve">НА ПЕРИОД ДО 2038 ГОДА</w:t>
    </w:r>
    <w:r/>
  </w:p>
  <w:p>
    <w:pPr>
      <w:pStyle w:val="10533"/>
      <w:pBdr/>
      <w:tabs>
        <w:tab w:val="clear" w:leader="none" w:pos="708"/>
        <w:tab w:val="center" w:leader="none" w:pos="4677"/>
        <w:tab w:val="right" w:leader="none" w:pos="9355"/>
      </w:tabs>
      <w:spacing/>
      <w:ind/>
      <w:jc w:val="center"/>
      <w:rPr>
        <w:rFonts w:eastAsia="Calibri"/>
        <w:caps/>
        <w:sz w:val="20"/>
        <w:szCs w:val="20"/>
      </w:rPr>
    </w:pPr>
    <w:r>
      <w:rPr>
        <w:rFonts w:eastAsia="Calibri"/>
        <w:caps/>
        <w:sz w:val="20"/>
        <w:szCs w:val="20"/>
      </w:rPr>
    </w:r>
    <w:r>
      <w:rPr>
        <w:rFonts w:eastAsia="Calibri"/>
        <w:caps/>
        <w:sz w:val="20"/>
        <w:szCs w:val="20"/>
      </w:rPr>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                                                                    </w:t>
    </w: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
    <w:r>
      <w:rPr>
        <w:rFonts w:eastAsia="Calibri"/>
        <w:caps/>
        <w:sz w:val="20"/>
        <w:szCs w:val="20"/>
      </w:rPr>
      <w:t xml:space="preserve">СХЕМА ТЕПЛОСНАБЖЕНИЯ </w:t>
    </w:r>
    <w:bookmarkStart w:id="48" w:name="_Hlk174379201_Копия_14"/>
    <w:r>
      <w:rPr>
        <w:rFonts w:eastAsia="Calibri"/>
        <w:caps/>
        <w:sz w:val="20"/>
        <w:szCs w:val="20"/>
      </w:rPr>
      <w:t xml:space="preserve">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bookmarkStart w:id="49" w:name="_Hlk187758014_Копия_14"/>
    <w:r/>
    <w:bookmarkStart w:id="50" w:name="_Hlk174379227_Копия_14"/>
    <w:r>
      <w:rPr>
        <w:rFonts w:eastAsia="Calibri"/>
        <w:caps/>
        <w:sz w:val="20"/>
        <w:szCs w:val="20"/>
      </w:rPr>
      <w:t xml:space="preserve">НА ПЕРИОД ДО 2038 ГОДА</w:t>
    </w:r>
    <w:bookmarkEnd w:id="49"/>
    <w:r/>
    <w:bookmarkEnd w:id="50"/>
    <w:r/>
    <w:bookmarkEnd w:id="48"/>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8"/>
      <w:numPr>
        <w:ilvl w:val="1"/>
        <w:numId w:val="5"/>
      </w:numPr>
      <w:pBdr/>
      <w:spacing/>
      <w:ind/>
      <w:rPr/>
    </w:pPr>
    <w:r/>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right"/>
      <w:rPr>
        <w:rFonts w:eastAsia="Calibri"/>
        <w:caps/>
        <w:sz w:val="20"/>
        <w:szCs w:val="20"/>
      </w:rPr>
    </w:pPr>
    <w:r>
      <w:rPr>
        <w:rFonts w:eastAsia="Calibri"/>
        <w:caps/>
        <w:sz w:val="20"/>
        <w:szCs w:val="20"/>
      </w:rPr>
    </w:r>
    <w:r>
      <w:rPr>
        <w:rFonts w:eastAsia="Calibri"/>
        <w:caps/>
        <w:sz w:val="20"/>
        <w:szCs w:val="20"/>
      </w:rPr>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
    <w:r>
      <w:rPr>
        <w:rFonts w:eastAsia="Calibri"/>
        <w:caps/>
        <w:sz w:val="20"/>
        <w:szCs w:val="20"/>
      </w:rPr>
      <w:t xml:space="preserve">СХЕМА ТЕПЛОСНАБЖЕНИЯ </w:t>
    </w:r>
    <w:bookmarkStart w:id="70" w:name="_Hlk174379201_Копия_14_Копия_3"/>
    <w:r>
      <w:rPr>
        <w:rFonts w:eastAsia="Calibri"/>
        <w:caps/>
        <w:sz w:val="20"/>
        <w:szCs w:val="20"/>
      </w:rPr>
      <w:t xml:space="preserve">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bookmarkStart w:id="71" w:name="_Hlk187758014_Копия_14_Копия_3"/>
    <w:r/>
    <w:bookmarkStart w:id="72" w:name="_Hlk174379227_Копия_14_Копия_3"/>
    <w:r>
      <w:rPr>
        <w:rFonts w:eastAsia="Calibri"/>
        <w:caps/>
        <w:sz w:val="20"/>
        <w:szCs w:val="20"/>
      </w:rPr>
      <w:t xml:space="preserve">НА ПЕРИОД ДО 2038 ГОДА</w:t>
    </w:r>
    <w:bookmarkEnd w:id="71"/>
    <w:r/>
    <w:bookmarkEnd w:id="72"/>
    <w:r/>
    <w:bookmarkEnd w:id="70"/>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right"/>
      <w:rPr>
        <w:rFonts w:eastAsia="Calibri"/>
        <w:caps/>
        <w:sz w:val="20"/>
        <w:szCs w:val="20"/>
      </w:rPr>
    </w:pPr>
    <w:r>
      <w:rPr>
        <w:rFonts w:eastAsia="Calibri"/>
        <w:caps/>
        <w:sz w:val="20"/>
        <w:szCs w:val="20"/>
      </w:rPr>
    </w:r>
    <w:r>
      <w:rPr>
        <w:rFonts w:eastAsia="Calibri"/>
        <w:caps/>
        <w:sz w:val="20"/>
        <w:szCs w:val="20"/>
      </w:rPr>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1068"/>
      <w:numPr>
        <w:ilvl w:val="1"/>
        <w:numId w:val="5"/>
      </w:numPr>
      <w:pBdr/>
      <w:spacing/>
      <w:ind/>
      <w:rPr/>
    </w:pPr>
    <w:r/>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СХЕМА ТЕПЛОСНАБЖЕНИЯ Муниципального образования Астаповское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АРСЕНЬЕВСКОГО МУНИЦИПАЛЬНОГО РАЙОНА ТУЛЬСКОЙ ОБЛАСТИ </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t xml:space="preserve">НА ПЕРИОД ДО 2038 ГОДА</w:t>
    </w:r>
    <w:r>
      <w:rPr>
        <w:rFonts w:eastAsia="Calibri"/>
        <w:caps/>
        <w:sz w:val="20"/>
        <w:szCs w:val="20"/>
      </w:rP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СХЕМА ТЕПЛОСНАБЖЕНИЯ Муниципального образования Астаповское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АРСЕНЬЕВСКОГО МУНИЦИПАЛЬНОГО РАЙОНА</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 </w:t>
    </w:r>
    <w:r>
      <w:rPr>
        <w:rFonts w:eastAsia="Calibri"/>
        <w:caps/>
        <w:sz w:val="20"/>
        <w:szCs w:val="20"/>
      </w:rPr>
      <w:t xml:space="preserve">ТУЛЬСКОЙ ОБЛАСТИ </w:t>
    </w:r>
    <w:r/>
  </w:p>
  <w:p>
    <w:pPr>
      <w:pStyle w:val="10533"/>
      <w:numPr>
        <w:ilvl w:val="0"/>
        <w:numId w:val="5"/>
      </w:numPr>
      <w:pBdr/>
      <w:tabs>
        <w:tab w:val="clear" w:leader="none" w:pos="708"/>
        <w:tab w:val="center" w:leader="none" w:pos="4677"/>
        <w:tab w:val="right" w:leader="none" w:pos="9355"/>
      </w:tabs>
      <w:spacing/>
      <w:ind w:firstLine="720" w:left="0"/>
      <w:jc w:val="right"/>
      <w:rPr/>
    </w:pPr>
    <w:r>
      <w:rPr>
        <w:rFonts w:eastAsia="Calibri"/>
        <w:caps/>
        <w:sz w:val="20"/>
        <w:szCs w:val="20"/>
      </w:rPr>
      <w:t xml:space="preserve">НА ПЕРИОД ДО 2038 ГОДА</w:t>
    </w:r>
    <w:r/>
  </w:p>
  <w:p>
    <w:pPr>
      <w:pStyle w:val="10533"/>
      <w:numPr>
        <w:ilvl w:val="0"/>
        <w:numId w:val="5"/>
      </w:numPr>
      <w:pBdr/>
      <w:tabs>
        <w:tab w:val="clear" w:leader="none" w:pos="708"/>
        <w:tab w:val="center" w:leader="none" w:pos="4677"/>
        <w:tab w:val="right" w:leader="none" w:pos="9355"/>
      </w:tabs>
      <w:spacing/>
      <w:ind w:firstLine="720" w:left="0"/>
      <w:jc w:val="center"/>
      <w:rPr>
        <w:rFonts w:eastAsia="Calibri"/>
        <w:caps/>
        <w:sz w:val="20"/>
        <w:szCs w:val="20"/>
      </w:rPr>
    </w:pPr>
    <w:r>
      <w:rPr>
        <w:rFonts w:eastAsia="Calibri"/>
        <w:caps/>
        <w:sz w:val="20"/>
        <w:szCs w:val="20"/>
      </w:rPr>
    </w:r>
    <w:r>
      <w:rPr>
        <w:rFonts w:eastAsia="Calibri"/>
        <w:caps/>
        <w:sz w:val="20"/>
        <w:szCs w:val="20"/>
      </w:rPr>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spacing/>
      <w:ind/>
      <w:rPr/>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1."/>
      <w:numFmt w:val="decimal"/>
      <w:pPr>
        <w:pBdr/>
        <w:tabs>
          <w:tab w:val="num" w:leader="none" w:pos="360"/>
        </w:tabs>
        <w:spacing/>
        <w:ind w:hanging="360" w:left="360"/>
      </w:pPr>
      <w:pStyle w:val="11088"/>
      <w:rPr/>
      <w:start w:val="1"/>
      <w:suff w:val="tab"/>
    </w:lvl>
    <w:lvl w:ilvl="1">
      <w:isLgl w:val="true"/>
      <w:lvlJc w:val="left"/>
      <w:lvlText w:val="%1.%2."/>
      <w:numFmt w:val="decimal"/>
      <w:pPr>
        <w:pBdr/>
        <w:tabs>
          <w:tab w:val="num" w:leader="none" w:pos="0"/>
        </w:tabs>
        <w:spacing/>
        <w:ind w:hanging="360" w:left="360"/>
      </w:pPr>
      <w:rPr/>
      <w:start w:val="1"/>
      <w:suff w:val="tab"/>
    </w:lvl>
    <w:lvl w:ilvl="2">
      <w:isLgl w:val="true"/>
      <w:lvlJc w:val="left"/>
      <w:lvlText w:val="%1.%2.%3."/>
      <w:numFmt w:val="decimal"/>
      <w:pPr>
        <w:pBdr/>
        <w:tabs>
          <w:tab w:val="num" w:leader="none" w:pos="0"/>
        </w:tabs>
        <w:spacing/>
        <w:ind w:hanging="720" w:left="720"/>
      </w:pPr>
      <w:rPr/>
      <w:start w:val="1"/>
      <w:suff w:val="tab"/>
    </w:lvl>
    <w:lvl w:ilvl="3">
      <w:isLgl w:val="true"/>
      <w:lvlJc w:val="left"/>
      <w:lvlText w:val="%1.%2.%3.%4."/>
      <w:numFmt w:val="decimal"/>
      <w:pPr>
        <w:pBdr/>
        <w:tabs>
          <w:tab w:val="num" w:leader="none" w:pos="0"/>
        </w:tabs>
        <w:spacing/>
        <w:ind w:hanging="720" w:left="720"/>
      </w:pPr>
      <w:rPr/>
      <w:start w:val="1"/>
      <w:suff w:val="tab"/>
    </w:lvl>
    <w:lvl w:ilvl="4">
      <w:isLgl w:val="true"/>
      <w:lvlJc w:val="left"/>
      <w:lvlText w:val="%1.%2.%3.%4.%5."/>
      <w:numFmt w:val="decimal"/>
      <w:pPr>
        <w:pBdr/>
        <w:tabs>
          <w:tab w:val="num" w:leader="none" w:pos="0"/>
        </w:tabs>
        <w:spacing/>
        <w:ind w:hanging="1080" w:left="1080"/>
      </w:pPr>
      <w:rPr/>
      <w:start w:val="1"/>
      <w:suff w:val="tab"/>
    </w:lvl>
    <w:lvl w:ilvl="5">
      <w:isLgl w:val="true"/>
      <w:lvlJc w:val="left"/>
      <w:lvlText w:val="%1.%2.%3.%4.%5.%6."/>
      <w:numFmt w:val="decimal"/>
      <w:pPr>
        <w:pBdr/>
        <w:tabs>
          <w:tab w:val="num" w:leader="none" w:pos="0"/>
        </w:tabs>
        <w:spacing/>
        <w:ind w:hanging="1080" w:left="1080"/>
      </w:pPr>
      <w:rPr/>
      <w:start w:val="1"/>
      <w:suff w:val="tab"/>
    </w:lvl>
    <w:lvl w:ilvl="6">
      <w:isLgl w:val="true"/>
      <w:lvlJc w:val="left"/>
      <w:lvlText w:val="%1.%2.%3.%4.%5.%6.%7."/>
      <w:numFmt w:val="decimal"/>
      <w:pPr>
        <w:pBdr/>
        <w:tabs>
          <w:tab w:val="num" w:leader="none" w:pos="0"/>
        </w:tabs>
        <w:spacing/>
        <w:ind w:hanging="1440" w:left="1440"/>
      </w:pPr>
      <w:rPr/>
      <w:start w:val="1"/>
      <w:suff w:val="tab"/>
    </w:lvl>
    <w:lvl w:ilvl="7">
      <w:isLgl w:val="true"/>
      <w:lvlJc w:val="left"/>
      <w:lvlText w:val="%1.%2.%3.%4.%5.%6.%7.%8."/>
      <w:numFmt w:val="decimal"/>
      <w:pPr>
        <w:pBdr/>
        <w:tabs>
          <w:tab w:val="num" w:leader="none" w:pos="0"/>
        </w:tabs>
        <w:spacing/>
        <w:ind w:hanging="1440" w:left="1440"/>
      </w:pPr>
      <w:rPr/>
      <w:start w:val="1"/>
      <w:suff w:val="tab"/>
    </w:lvl>
    <w:lvl w:ilvl="8">
      <w:isLgl w:val="true"/>
      <w:lvlJc w:val="left"/>
      <w:lvlText w:val="%1.%2.%3.%4.%5.%6.%7.%8.%9."/>
      <w:numFmt w:val="decimal"/>
      <w:pPr>
        <w:pBdr/>
        <w:tabs>
          <w:tab w:val="num" w:leader="none" w:pos="0"/>
        </w:tabs>
        <w:spacing/>
        <w:ind w:hanging="1800" w:left="1800"/>
      </w:pPr>
      <w:rPr/>
      <w:start w:val="1"/>
      <w:suff w:val="tab"/>
    </w:lvl>
  </w:abstractNum>
  <w:abstractNum w:abstractNumId="1">
    <w:lvl w:ilvl="0">
      <w:isLgl w:val="false"/>
      <w:lvlJc w:val="left"/>
      <w:lvlText w:val=""/>
      <w:numFmt w:val="bullet"/>
      <w:pPr>
        <w:pBdr/>
        <w:tabs>
          <w:tab w:val="num" w:leader="none" w:pos="0"/>
        </w:tabs>
        <w:spacing/>
        <w:ind w:hanging="360" w:left="720"/>
      </w:pPr>
      <w:pStyle w:val="11092"/>
      <w:rPr>
        <w:rFonts w:hint="default" w:ascii="Wingdings" w:hAnsi="Wingdings" w:cs="Wingdings"/>
      </w:rPr>
      <w:start w:val="1"/>
      <w:suff w:val="tab"/>
    </w:lvl>
    <w:lvl w:ilvl="1">
      <w:isLgl w:val="false"/>
      <w:lvlJc w:val="left"/>
      <w:lvlText w:val="o"/>
      <w:numFmt w:val="bullet"/>
      <w:pPr>
        <w:pBdr/>
        <w:tabs>
          <w:tab w:val="num" w:leader="none" w:pos="0"/>
        </w:tabs>
        <w:spacing/>
        <w:ind w:hanging="360" w:left="1440"/>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160"/>
      </w:pPr>
      <w:rPr>
        <w:rFonts w:hint="default" w:ascii="Wingdings" w:hAnsi="Wingdings" w:cs="Wingdings"/>
      </w:rPr>
      <w:start w:val="1"/>
      <w:suff w:val="tab"/>
    </w:lvl>
    <w:lvl w:ilvl="3">
      <w:isLgl w:val="false"/>
      <w:lvlJc w:val="left"/>
      <w:lvlText w:val=""/>
      <w:numFmt w:val="bullet"/>
      <w:pPr>
        <w:pBdr/>
        <w:tabs>
          <w:tab w:val="num" w:leader="none" w:pos="0"/>
        </w:tabs>
        <w:spacing/>
        <w:ind w:hanging="360" w:left="2880"/>
      </w:pPr>
      <w:rPr>
        <w:rFonts w:hint="default" w:ascii="Symbol" w:hAnsi="Symbol" w:cs="Symbol"/>
      </w:rPr>
      <w:start w:val="1"/>
      <w:suff w:val="tab"/>
    </w:lvl>
    <w:lvl w:ilvl="4">
      <w:isLgl w:val="false"/>
      <w:lvlJc w:val="left"/>
      <w:lvlText w:val="o"/>
      <w:numFmt w:val="bullet"/>
      <w:pPr>
        <w:pBdr/>
        <w:tabs>
          <w:tab w:val="num" w:leader="none" w:pos="0"/>
        </w:tabs>
        <w:spacing/>
        <w:ind w:hanging="360" w:left="3600"/>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4320"/>
      </w:pPr>
      <w:rPr>
        <w:rFonts w:hint="default" w:ascii="Wingdings" w:hAnsi="Wingdings" w:cs="Wingdings"/>
      </w:rPr>
      <w:start w:val="1"/>
      <w:suff w:val="tab"/>
    </w:lvl>
    <w:lvl w:ilvl="6">
      <w:isLgl w:val="false"/>
      <w:lvlJc w:val="left"/>
      <w:lvlText w:val=""/>
      <w:numFmt w:val="bullet"/>
      <w:pPr>
        <w:pBdr/>
        <w:tabs>
          <w:tab w:val="num" w:leader="none" w:pos="0"/>
        </w:tabs>
        <w:spacing/>
        <w:ind w:hanging="360" w:left="5040"/>
      </w:pPr>
      <w:rPr>
        <w:rFonts w:hint="default" w:ascii="Symbol" w:hAnsi="Symbol" w:cs="Symbol"/>
      </w:rPr>
      <w:start w:val="1"/>
      <w:suff w:val="tab"/>
    </w:lvl>
    <w:lvl w:ilvl="7">
      <w:isLgl w:val="false"/>
      <w:lvlJc w:val="left"/>
      <w:lvlText w:val="o"/>
      <w:numFmt w:val="bullet"/>
      <w:pPr>
        <w:pBdr/>
        <w:tabs>
          <w:tab w:val="num" w:leader="none" w:pos="0"/>
        </w:tabs>
        <w:spacing/>
        <w:ind w:hanging="360" w:left="5760"/>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6480"/>
      </w:pPr>
      <w:rPr>
        <w:rFonts w:hint="default" w:ascii="Wingdings" w:hAnsi="Wingdings" w:cs="Wingdings"/>
      </w:rPr>
      <w:start w:val="1"/>
      <w:suff w:val="tab"/>
    </w:lvl>
  </w:abstractNum>
  <w:abstractNum w:abstractNumId="2">
    <w:lvl w:ilvl="0">
      <w:isLgl w:val="false"/>
      <w:lvlJc w:val="left"/>
      <w:lvlText w:val=""/>
      <w:numFmt w:val="bullet"/>
      <w:pPr>
        <w:pBdr/>
        <w:tabs>
          <w:tab w:val="num" w:leader="none" w:pos="786"/>
        </w:tabs>
        <w:spacing/>
        <w:ind w:hanging="360" w:left="786"/>
      </w:pPr>
      <w:pStyle w:val="11100"/>
      <w:rPr>
        <w:rFonts w:hint="default" w:ascii="Wingdings" w:hAnsi="Wingdings" w:cs="Wingdings"/>
        <w:sz w:val="16"/>
      </w:rPr>
      <w:start w:val="1"/>
      <w:suff w:val="tab"/>
    </w:lvl>
    <w:lvl w:ilvl="1">
      <w:isLgl w:val="false"/>
      <w:lvlJc w:val="left"/>
      <w:lvlText w:val="%2."/>
      <w:numFmt w:val="decimal"/>
      <w:pPr>
        <w:pBdr/>
        <w:tabs>
          <w:tab w:val="num" w:leader="none" w:pos="1080"/>
        </w:tabs>
        <w:spacing/>
        <w:ind w:hanging="360" w:left="1080"/>
      </w:pPr>
      <w:rPr/>
      <w:start w:val="1"/>
      <w:suff w:val="tab"/>
    </w:lvl>
    <w:lvl w:ilvl="2">
      <w:isLgl w:val="false"/>
      <w:lvlJc w:val="left"/>
      <w:lvlText w:val="%3."/>
      <w:numFmt w:val="decimal"/>
      <w:pPr>
        <w:pBdr/>
        <w:tabs>
          <w:tab w:val="num" w:leader="none" w:pos="1440"/>
        </w:tabs>
        <w:spacing/>
        <w:ind w:hanging="360" w:left="1440"/>
      </w:pPr>
      <w:rPr/>
      <w:start w:val="1"/>
      <w:suff w:val="tab"/>
    </w:lvl>
    <w:lvl w:ilvl="3">
      <w:isLgl w:val="false"/>
      <w:lvlJc w:val="left"/>
      <w:lvlText w:val="%4."/>
      <w:numFmt w:val="decimal"/>
      <w:pPr>
        <w:pBdr/>
        <w:tabs>
          <w:tab w:val="num" w:leader="none" w:pos="1800"/>
        </w:tabs>
        <w:spacing/>
        <w:ind w:hanging="360" w:left="1800"/>
      </w:pPr>
      <w:rPr/>
      <w:start w:val="1"/>
      <w:suff w:val="tab"/>
    </w:lvl>
    <w:lvl w:ilvl="4">
      <w:isLgl w:val="false"/>
      <w:lvlJc w:val="left"/>
      <w:lvlText w:val="%5."/>
      <w:numFmt w:val="decimal"/>
      <w:pPr>
        <w:pBdr/>
        <w:tabs>
          <w:tab w:val="num" w:leader="none" w:pos="2160"/>
        </w:tabs>
        <w:spacing/>
        <w:ind w:hanging="360" w:left="2160"/>
      </w:pPr>
      <w:rPr/>
      <w:start w:val="1"/>
      <w:suff w:val="tab"/>
    </w:lvl>
    <w:lvl w:ilvl="5">
      <w:isLgl w:val="false"/>
      <w:lvlJc w:val="left"/>
      <w:lvlText w:val="%6."/>
      <w:numFmt w:val="decimal"/>
      <w:pPr>
        <w:pBdr/>
        <w:tabs>
          <w:tab w:val="num" w:leader="none" w:pos="2520"/>
        </w:tabs>
        <w:spacing/>
        <w:ind w:hanging="360" w:left="2520"/>
      </w:pPr>
      <w:rPr/>
      <w:start w:val="1"/>
      <w:suff w:val="tab"/>
    </w:lvl>
    <w:lvl w:ilvl="6">
      <w:isLgl w:val="false"/>
      <w:lvlJc w:val="left"/>
      <w:lvlText w:val="%7."/>
      <w:numFmt w:val="decimal"/>
      <w:pPr>
        <w:pBdr/>
        <w:tabs>
          <w:tab w:val="num" w:leader="none" w:pos="2880"/>
        </w:tabs>
        <w:spacing/>
        <w:ind w:hanging="360" w:left="2880"/>
      </w:pPr>
      <w:rPr/>
      <w:start w:val="1"/>
      <w:suff w:val="tab"/>
    </w:lvl>
    <w:lvl w:ilvl="7">
      <w:isLgl w:val="false"/>
      <w:lvlJc w:val="left"/>
      <w:lvlText w:val="%8."/>
      <w:numFmt w:val="decimal"/>
      <w:pPr>
        <w:pBdr/>
        <w:tabs>
          <w:tab w:val="num" w:leader="none" w:pos="3240"/>
        </w:tabs>
        <w:spacing/>
        <w:ind w:hanging="360" w:left="3240"/>
      </w:pPr>
      <w:rPr/>
      <w:start w:val="1"/>
      <w:suff w:val="tab"/>
    </w:lvl>
    <w:lvl w:ilvl="8">
      <w:isLgl w:val="false"/>
      <w:lvlJc w:val="left"/>
      <w:lvlText w:val="%9."/>
      <w:numFmt w:val="decimal"/>
      <w:pPr>
        <w:pBdr/>
        <w:tabs>
          <w:tab w:val="num" w:leader="none" w:pos="3600"/>
        </w:tabs>
        <w:spacing/>
        <w:ind w:hanging="360" w:left="3600"/>
      </w:pPr>
      <w:rPr/>
      <w:start w:val="1"/>
      <w:suff w:val="tab"/>
    </w:lvl>
  </w:abstractNum>
  <w:abstractNum w:abstractNumId="3">
    <w:lvl w:ilvl="0">
      <w:isLgl w:val="false"/>
      <w:lvlJc w:val="left"/>
      <w:lvlText w:val="•"/>
      <w:numFmt w:val="bullet"/>
      <w:pPr>
        <w:pBdr/>
        <w:tabs>
          <w:tab w:val="num" w:leader="none" w:pos="1287"/>
        </w:tabs>
        <w:spacing/>
        <w:ind w:hanging="360" w:left="1287"/>
      </w:pPr>
      <w:pStyle w:val="11101"/>
      <w:rPr>
        <w:rFonts w:hint="default" w:ascii="Symbol" w:hAnsi="Symbol" w:cs="Symbol"/>
        <w:color w:val="auto"/>
        <w:sz w:val="16"/>
      </w:rPr>
      <w:start w:val="1"/>
      <w:suff w:val="tab"/>
    </w:lvl>
    <w:lvl w:ilvl="1">
      <w:isLgl w:val="false"/>
      <w:lvlJc w:val="left"/>
      <w:lvlText w:val="o"/>
      <w:numFmt w:val="bullet"/>
      <w:pPr>
        <w:pBdr/>
        <w:tabs>
          <w:tab w:val="num" w:leader="none" w:pos="1440"/>
        </w:tabs>
        <w:spacing/>
        <w:ind w:hanging="360" w:left="1440"/>
      </w:pPr>
      <w:rPr>
        <w:rFonts w:hint="default" w:ascii="Courier New" w:hAnsi="Courier New" w:cs="Courier New"/>
      </w:rPr>
      <w:start w:val="1"/>
      <w:suff w:val="tab"/>
    </w:lvl>
    <w:lvl w:ilvl="2">
      <w:isLgl w:val="false"/>
      <w:lvlJc w:val="left"/>
      <w:lvlText w:val=""/>
      <w:numFmt w:val="bullet"/>
      <w:pPr>
        <w:pBdr/>
        <w:tabs>
          <w:tab w:val="num" w:leader="none" w:pos="2160"/>
        </w:tabs>
        <w:spacing/>
        <w:ind w:hanging="360" w:left="2160"/>
      </w:pPr>
      <w:rPr>
        <w:rFonts w:hint="default" w:ascii="Wingdings" w:hAnsi="Wingdings" w:cs="Wingdings"/>
      </w:rPr>
      <w:start w:val="1"/>
      <w:suff w:val="tab"/>
    </w:lvl>
    <w:lvl w:ilvl="3">
      <w:isLgl w:val="false"/>
      <w:lvlJc w:val="left"/>
      <w:lvlText w:val=""/>
      <w:numFmt w:val="bullet"/>
      <w:pPr>
        <w:pBdr/>
        <w:tabs>
          <w:tab w:val="num" w:leader="none" w:pos="2880"/>
        </w:tabs>
        <w:spacing/>
        <w:ind w:hanging="360" w:left="2880"/>
      </w:pPr>
      <w:rPr>
        <w:rFonts w:hint="default" w:ascii="Symbol" w:hAnsi="Symbol" w:cs="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cs="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cs="Wingdings"/>
      </w:rPr>
      <w:start w:val="1"/>
      <w:suff w:val="tab"/>
    </w:lvl>
    <w:lvl w:ilvl="6">
      <w:isLgl w:val="false"/>
      <w:lvlJc w:val="left"/>
      <w:lvlText w:val=""/>
      <w:numFmt w:val="bullet"/>
      <w:pPr>
        <w:pBdr/>
        <w:tabs>
          <w:tab w:val="num" w:leader="none" w:pos="5040"/>
        </w:tabs>
        <w:spacing/>
        <w:ind w:hanging="360" w:left="5040"/>
      </w:pPr>
      <w:rPr>
        <w:rFonts w:hint="default" w:ascii="Symbol" w:hAnsi="Symbol" w:cs="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cs="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cs="Wingdings"/>
      </w:rPr>
      <w:start w:val="1"/>
      <w:suff w:val="tab"/>
    </w:lvl>
  </w:abstractNum>
  <w:abstractNum w:abstractNumId="4">
    <w:lvl w:ilvl="0">
      <w:isLgl w:val="false"/>
      <w:lvlJc w:val="left"/>
      <w:lvlText w:val=""/>
      <w:numFmt w:val="bullet"/>
      <w:pPr>
        <w:pBdr/>
        <w:tabs>
          <w:tab w:val="num" w:leader="none" w:pos="3346"/>
        </w:tabs>
        <w:spacing/>
        <w:ind w:hanging="360" w:left="3346"/>
      </w:pPr>
      <w:rPr>
        <w:rFonts w:hint="default" w:ascii="Symbol" w:hAnsi="Symbol" w:cs="Symbol"/>
        <w:color w:val="auto"/>
      </w:rPr>
      <w:start w:val="1"/>
      <w:suff w:val="tab"/>
    </w:lvl>
    <w:lvl w:ilvl="1">
      <w:isLgl w:val="false"/>
      <w:lvlJc w:val="left"/>
      <w:lvlText w:val=""/>
      <w:numFmt w:val="bullet"/>
      <w:pPr>
        <w:pBdr/>
        <w:tabs>
          <w:tab w:val="num" w:leader="none" w:pos="1352"/>
        </w:tabs>
        <w:spacing/>
        <w:ind w:hanging="360" w:left="1352"/>
      </w:pPr>
      <w:pStyle w:val="11121"/>
      <w:rPr>
        <w:rFonts w:hint="default" w:ascii="Symbol" w:hAnsi="Symbol" w:cs="Symbol"/>
        <w:color w:val="auto"/>
      </w:rPr>
      <w:start w:val="1"/>
      <w:suff w:val="tab"/>
    </w:lvl>
    <w:lvl w:ilvl="2">
      <w:isLgl w:val="false"/>
      <w:lvlJc w:val="left"/>
      <w:lvlText w:val=""/>
      <w:numFmt w:val="bullet"/>
      <w:pPr>
        <w:pBdr/>
        <w:tabs>
          <w:tab w:val="num" w:leader="none" w:pos="2869"/>
        </w:tabs>
        <w:spacing/>
        <w:ind w:hanging="360" w:left="2869"/>
      </w:pPr>
      <w:rPr>
        <w:rFonts w:hint="default" w:ascii="Wingdings" w:hAnsi="Wingdings" w:cs="Wingdings"/>
      </w:rPr>
      <w:start w:val="1"/>
      <w:suff w:val="tab"/>
    </w:lvl>
    <w:lvl w:ilvl="3">
      <w:isLgl w:val="false"/>
      <w:lvlJc w:val="left"/>
      <w:lvlText w:val=""/>
      <w:numFmt w:val="bullet"/>
      <w:pPr>
        <w:pBdr/>
        <w:tabs>
          <w:tab w:val="num" w:leader="none" w:pos="3589"/>
        </w:tabs>
        <w:spacing/>
        <w:ind w:hanging="360" w:left="3589"/>
      </w:pPr>
      <w:rPr>
        <w:rFonts w:hint="default" w:ascii="Symbol" w:hAnsi="Symbol" w:cs="Symbol"/>
      </w:rPr>
      <w:start w:val="1"/>
      <w:suff w:val="tab"/>
    </w:lvl>
    <w:lvl w:ilvl="4">
      <w:isLgl w:val="false"/>
      <w:lvlJc w:val="left"/>
      <w:lvlText w:val="o"/>
      <w:numFmt w:val="bullet"/>
      <w:pPr>
        <w:pBdr/>
        <w:tabs>
          <w:tab w:val="num" w:leader="none" w:pos="4309"/>
        </w:tabs>
        <w:spacing/>
        <w:ind w:hanging="360" w:left="4309"/>
      </w:pPr>
      <w:rPr>
        <w:rFonts w:hint="default" w:ascii="Courier New" w:hAnsi="Courier New" w:cs="Courier New"/>
      </w:rPr>
      <w:start w:val="1"/>
      <w:suff w:val="tab"/>
    </w:lvl>
    <w:lvl w:ilvl="5">
      <w:isLgl w:val="false"/>
      <w:lvlJc w:val="left"/>
      <w:lvlText w:val=""/>
      <w:numFmt w:val="bullet"/>
      <w:pPr>
        <w:pBdr/>
        <w:tabs>
          <w:tab w:val="num" w:leader="none" w:pos="5029"/>
        </w:tabs>
        <w:spacing/>
        <w:ind w:hanging="360" w:left="5029"/>
      </w:pPr>
      <w:rPr>
        <w:rFonts w:hint="default" w:ascii="Wingdings" w:hAnsi="Wingdings" w:cs="Wingdings"/>
      </w:rPr>
      <w:start w:val="1"/>
      <w:suff w:val="tab"/>
    </w:lvl>
    <w:lvl w:ilvl="6">
      <w:isLgl w:val="false"/>
      <w:lvlJc w:val="left"/>
      <w:lvlText w:val=""/>
      <w:numFmt w:val="bullet"/>
      <w:pPr>
        <w:pBdr/>
        <w:tabs>
          <w:tab w:val="num" w:leader="none" w:pos="5749"/>
        </w:tabs>
        <w:spacing/>
        <w:ind w:hanging="360" w:left="5749"/>
      </w:pPr>
      <w:rPr>
        <w:rFonts w:hint="default" w:ascii="Symbol" w:hAnsi="Symbol" w:cs="Symbol"/>
      </w:rPr>
      <w:start w:val="1"/>
      <w:suff w:val="tab"/>
    </w:lvl>
    <w:lvl w:ilvl="7">
      <w:isLgl w:val="false"/>
      <w:lvlJc w:val="left"/>
      <w:lvlText w:val="o"/>
      <w:numFmt w:val="bullet"/>
      <w:pPr>
        <w:pBdr/>
        <w:tabs>
          <w:tab w:val="num" w:leader="none" w:pos="6469"/>
        </w:tabs>
        <w:spacing/>
        <w:ind w:hanging="360" w:left="6469"/>
      </w:pPr>
      <w:rPr>
        <w:rFonts w:hint="default" w:ascii="Courier New" w:hAnsi="Courier New" w:cs="Courier New"/>
      </w:rPr>
      <w:start w:val="1"/>
      <w:suff w:val="tab"/>
    </w:lvl>
    <w:lvl w:ilvl="8">
      <w:isLgl w:val="false"/>
      <w:lvlJc w:val="left"/>
      <w:lvlText w:val=""/>
      <w:numFmt w:val="bullet"/>
      <w:pPr>
        <w:pBdr/>
        <w:tabs>
          <w:tab w:val="num" w:leader="none" w:pos="7189"/>
        </w:tabs>
        <w:spacing/>
        <w:ind w:hanging="360" w:left="7189"/>
      </w:pPr>
      <w:rPr>
        <w:rFonts w:hint="default" w:ascii="Wingdings" w:hAnsi="Wingdings" w:cs="Wingdings"/>
      </w:rPr>
      <w:start w:val="1"/>
      <w:suff w:val="tab"/>
    </w:lvl>
  </w:abstractNum>
  <w:abstractNum w:abstractNumId="5">
    <w:lvl w:ilvl="0">
      <w:isLgl w:val="false"/>
      <w:lvlJc w:val="left"/>
      <w:lvlText w:val=""/>
      <w:numFmt w:val="bullet"/>
      <w:pPr>
        <w:pBdr/>
        <w:tabs>
          <w:tab w:val="num" w:leader="none" w:pos="360"/>
        </w:tabs>
        <w:spacing/>
        <w:ind w:hanging="360" w:left="360"/>
      </w:pPr>
      <w:pStyle w:val="11264"/>
      <w:rPr>
        <w:rFonts w:hint="default" w:ascii="Symbol" w:hAnsi="Symbol" w:cs="Symbol"/>
        <w:color w:val="auto"/>
      </w:rPr>
      <w:start w:val="1"/>
      <w:suff w:val="tab"/>
    </w:lvl>
    <w:lvl w:ilvl="1">
      <w:isLgl w:val="false"/>
      <w:lvlJc w:val="left"/>
      <w:lvlText w:val="%2."/>
      <w:numFmt w:val="decimal"/>
      <w:pPr>
        <w:pBdr/>
        <w:tabs>
          <w:tab w:val="num" w:leader="none" w:pos="1080"/>
        </w:tabs>
        <w:spacing/>
        <w:ind w:hanging="360" w:left="1080"/>
      </w:pPr>
      <w:rPr/>
      <w:start w:val="1"/>
      <w:suff w:val="tab"/>
    </w:lvl>
    <w:lvl w:ilvl="2">
      <w:isLgl w:val="false"/>
      <w:lvlJc w:val="left"/>
      <w:lvlText w:val="%3."/>
      <w:numFmt w:val="decimal"/>
      <w:pPr>
        <w:pBdr/>
        <w:tabs>
          <w:tab w:val="num" w:leader="none" w:pos="1440"/>
        </w:tabs>
        <w:spacing/>
        <w:ind w:hanging="360" w:left="1440"/>
      </w:pPr>
      <w:rPr/>
      <w:start w:val="1"/>
      <w:suff w:val="tab"/>
    </w:lvl>
    <w:lvl w:ilvl="3">
      <w:isLgl w:val="false"/>
      <w:lvlJc w:val="left"/>
      <w:lvlText w:val="%4."/>
      <w:numFmt w:val="decimal"/>
      <w:pPr>
        <w:pBdr/>
        <w:tabs>
          <w:tab w:val="num" w:leader="none" w:pos="1800"/>
        </w:tabs>
        <w:spacing/>
        <w:ind w:hanging="360" w:left="1800"/>
      </w:pPr>
      <w:rPr/>
      <w:start w:val="1"/>
      <w:suff w:val="tab"/>
    </w:lvl>
    <w:lvl w:ilvl="4">
      <w:isLgl w:val="false"/>
      <w:lvlJc w:val="left"/>
      <w:lvlText w:val="%5."/>
      <w:numFmt w:val="decimal"/>
      <w:pPr>
        <w:pBdr/>
        <w:tabs>
          <w:tab w:val="num" w:leader="none" w:pos="2160"/>
        </w:tabs>
        <w:spacing/>
        <w:ind w:hanging="360" w:left="2160"/>
      </w:pPr>
      <w:rPr/>
      <w:start w:val="1"/>
      <w:suff w:val="tab"/>
    </w:lvl>
    <w:lvl w:ilvl="5">
      <w:isLgl w:val="false"/>
      <w:lvlJc w:val="left"/>
      <w:lvlText w:val="%6."/>
      <w:numFmt w:val="decimal"/>
      <w:pPr>
        <w:pBdr/>
        <w:tabs>
          <w:tab w:val="num" w:leader="none" w:pos="2520"/>
        </w:tabs>
        <w:spacing/>
        <w:ind w:hanging="360" w:left="2520"/>
      </w:pPr>
      <w:rPr/>
      <w:start w:val="1"/>
      <w:suff w:val="tab"/>
    </w:lvl>
    <w:lvl w:ilvl="6">
      <w:isLgl w:val="false"/>
      <w:lvlJc w:val="left"/>
      <w:lvlText w:val="%7."/>
      <w:numFmt w:val="decimal"/>
      <w:pPr>
        <w:pBdr/>
        <w:tabs>
          <w:tab w:val="num" w:leader="none" w:pos="2880"/>
        </w:tabs>
        <w:spacing/>
        <w:ind w:hanging="360" w:left="2880"/>
      </w:pPr>
      <w:rPr/>
      <w:start w:val="1"/>
      <w:suff w:val="tab"/>
    </w:lvl>
    <w:lvl w:ilvl="7">
      <w:isLgl w:val="false"/>
      <w:lvlJc w:val="left"/>
      <w:lvlText w:val="%8."/>
      <w:numFmt w:val="decimal"/>
      <w:pPr>
        <w:pBdr/>
        <w:tabs>
          <w:tab w:val="num" w:leader="none" w:pos="3240"/>
        </w:tabs>
        <w:spacing/>
        <w:ind w:hanging="360" w:left="3240"/>
      </w:pPr>
      <w:rPr/>
      <w:start w:val="1"/>
      <w:suff w:val="tab"/>
    </w:lvl>
    <w:lvl w:ilvl="8">
      <w:isLgl w:val="false"/>
      <w:lvlJc w:val="left"/>
      <w:lvlText w:val="%9."/>
      <w:numFmt w:val="decimal"/>
      <w:pPr>
        <w:pBdr/>
        <w:tabs>
          <w:tab w:val="num" w:leader="none" w:pos="3600"/>
        </w:tabs>
        <w:spacing/>
        <w:ind w:hanging="360" w:left="3600"/>
      </w:pPr>
      <w:rPr/>
      <w:start w:val="1"/>
      <w:suff w:val="tab"/>
    </w:lvl>
  </w:abstractNum>
  <w:abstractNum w:abstractNumId="6">
    <w:lvl w:ilvl="0">
      <w:isLgl w:val="false"/>
      <w:lvlJc w:val="left"/>
      <w:lvlText w:val=""/>
      <w:numFmt w:val="bullet"/>
      <w:pPr>
        <w:pBdr/>
        <w:tabs>
          <w:tab w:val="num" w:leader="none" w:pos="651"/>
        </w:tabs>
        <w:spacing/>
        <w:ind w:hanging="360" w:left="651"/>
      </w:pPr>
      <w:rPr>
        <w:rFonts w:hint="default" w:ascii="Symbol" w:hAnsi="Symbol" w:cs="Symbol"/>
      </w:rPr>
      <w:start w:val="1"/>
      <w:suff w:val="tab"/>
    </w:lvl>
    <w:lvl w:ilvl="1">
      <w:isLgl w:val="false"/>
      <w:lvlJc w:val="left"/>
      <w:lvlText w:val="o"/>
      <w:numFmt w:val="bullet"/>
      <w:pPr>
        <w:pBdr/>
        <w:tabs>
          <w:tab w:val="num" w:leader="none" w:pos="1440"/>
        </w:tabs>
        <w:spacing/>
        <w:ind w:hanging="360" w:left="1440"/>
      </w:pPr>
      <w:pStyle w:val="11435"/>
      <w:rPr>
        <w:rFonts w:hint="default" w:ascii="Courier New" w:hAnsi="Courier New" w:cs="Courier New"/>
      </w:rPr>
      <w:start w:val="1"/>
      <w:suff w:val="tab"/>
    </w:lvl>
    <w:lvl w:ilvl="2">
      <w:isLgl w:val="false"/>
      <w:lvlJc w:val="left"/>
      <w:lvlText w:val=""/>
      <w:numFmt w:val="bullet"/>
      <w:pPr>
        <w:pBdr/>
        <w:tabs>
          <w:tab w:val="num" w:leader="none" w:pos="2091"/>
        </w:tabs>
        <w:spacing/>
        <w:ind w:hanging="360" w:left="2091"/>
      </w:pPr>
      <w:rPr>
        <w:rFonts w:hint="default" w:ascii="Wingdings" w:hAnsi="Wingdings" w:cs="Wingdings"/>
      </w:rPr>
      <w:start w:val="1"/>
      <w:suff w:val="tab"/>
    </w:lvl>
    <w:lvl w:ilvl="3">
      <w:isLgl w:val="false"/>
      <w:lvlJc w:val="left"/>
      <w:lvlText w:val=""/>
      <w:numFmt w:val="bullet"/>
      <w:pPr>
        <w:pBdr/>
        <w:tabs>
          <w:tab w:val="num" w:leader="none" w:pos="2811"/>
        </w:tabs>
        <w:spacing/>
        <w:ind w:hanging="360" w:left="2811"/>
      </w:pPr>
      <w:rPr>
        <w:rFonts w:hint="default" w:ascii="Symbol" w:hAnsi="Symbol" w:cs="Symbol"/>
      </w:rPr>
      <w:start w:val="1"/>
      <w:suff w:val="tab"/>
    </w:lvl>
    <w:lvl w:ilvl="4">
      <w:isLgl w:val="false"/>
      <w:lvlJc w:val="left"/>
      <w:lvlText w:val="o"/>
      <w:numFmt w:val="bullet"/>
      <w:pPr>
        <w:pBdr/>
        <w:tabs>
          <w:tab w:val="num" w:leader="none" w:pos="3531"/>
        </w:tabs>
        <w:spacing/>
        <w:ind w:hanging="360" w:left="3531"/>
      </w:pPr>
      <w:rPr>
        <w:rFonts w:hint="default" w:ascii="Courier New" w:hAnsi="Courier New" w:cs="Courier New"/>
      </w:rPr>
      <w:start w:val="1"/>
      <w:suff w:val="tab"/>
    </w:lvl>
    <w:lvl w:ilvl="5">
      <w:isLgl w:val="false"/>
      <w:lvlJc w:val="left"/>
      <w:lvlText w:val=""/>
      <w:numFmt w:val="bullet"/>
      <w:pPr>
        <w:pBdr/>
        <w:tabs>
          <w:tab w:val="num" w:leader="none" w:pos="4251"/>
        </w:tabs>
        <w:spacing/>
        <w:ind w:hanging="360" w:left="4251"/>
      </w:pPr>
      <w:rPr>
        <w:rFonts w:hint="default" w:ascii="Wingdings" w:hAnsi="Wingdings" w:cs="Wingdings"/>
      </w:rPr>
      <w:start w:val="1"/>
      <w:suff w:val="tab"/>
    </w:lvl>
    <w:lvl w:ilvl="6">
      <w:isLgl w:val="false"/>
      <w:lvlJc w:val="left"/>
      <w:lvlText w:val=""/>
      <w:numFmt w:val="bullet"/>
      <w:pPr>
        <w:pBdr/>
        <w:tabs>
          <w:tab w:val="num" w:leader="none" w:pos="4971"/>
        </w:tabs>
        <w:spacing/>
        <w:ind w:hanging="360" w:left="4971"/>
      </w:pPr>
      <w:rPr>
        <w:rFonts w:hint="default" w:ascii="Symbol" w:hAnsi="Symbol" w:cs="Symbol"/>
      </w:rPr>
      <w:start w:val="1"/>
      <w:suff w:val="tab"/>
    </w:lvl>
    <w:lvl w:ilvl="7">
      <w:isLgl w:val="false"/>
      <w:lvlJc w:val="left"/>
      <w:lvlText w:val="o"/>
      <w:numFmt w:val="bullet"/>
      <w:pPr>
        <w:pBdr/>
        <w:tabs>
          <w:tab w:val="num" w:leader="none" w:pos="5691"/>
        </w:tabs>
        <w:spacing/>
        <w:ind w:hanging="360" w:left="5691"/>
      </w:pPr>
      <w:rPr>
        <w:rFonts w:hint="default" w:ascii="Courier New" w:hAnsi="Courier New" w:cs="Courier New"/>
      </w:rPr>
      <w:start w:val="1"/>
      <w:suff w:val="tab"/>
    </w:lvl>
    <w:lvl w:ilvl="8">
      <w:isLgl w:val="false"/>
      <w:lvlJc w:val="left"/>
      <w:lvlText w:val=""/>
      <w:numFmt w:val="bullet"/>
      <w:pPr>
        <w:pBdr/>
        <w:tabs>
          <w:tab w:val="num" w:leader="none" w:pos="6411"/>
        </w:tabs>
        <w:spacing/>
        <w:ind w:hanging="360" w:left="6411"/>
      </w:pPr>
      <w:rPr>
        <w:rFonts w:hint="default" w:ascii="Wingdings" w:hAnsi="Wingdings" w:cs="Wingdings"/>
      </w:rPr>
      <w:start w:val="1"/>
      <w:suff w:val="tab"/>
    </w:lvl>
  </w:abstractNum>
  <w:abstractNum w:abstractNumId="7">
    <w:lvl w:ilvl="0">
      <w:isLgl w:val="false"/>
      <w:lvlJc w:val="left"/>
      <w:lvlText w:val="%1"/>
      <w:numFmt w:val="decimal"/>
      <w:pPr>
        <w:pBdr/>
        <w:tabs>
          <w:tab w:val="num" w:leader="none" w:pos="0"/>
        </w:tabs>
        <w:spacing/>
        <w:ind w:firstLine="0" w:left="0"/>
      </w:pPr>
      <w:rPr>
        <w:rFonts w:ascii="Tahoma" w:hAnsi="Tahoma" w:eastAsia="Tahoma" w:cs="Tahoma"/>
        <w:b/>
        <w:bCs/>
        <w:i w:val="0"/>
        <w:iCs w:val="0"/>
        <w:caps w:val="0"/>
        <w:smallCaps w:val="0"/>
        <w:strike w:val="0"/>
        <w:color w:val="000000"/>
        <w:spacing w:val="0"/>
        <w:sz w:val="21"/>
        <w:szCs w:val="21"/>
        <w:u w:val="none"/>
        <w:lang w:val="ru-RU"/>
      </w:rPr>
      <w:start w:val="7"/>
      <w:suff w:val="tab"/>
    </w:lvl>
    <w:lvl w:ilvl="1">
      <w:isLgl w:val="false"/>
      <w:lvlJc w:val="left"/>
      <w:lvlText w:val="%1.%2"/>
      <w:numFmt w:val="decimal"/>
      <w:pPr>
        <w:pBdr/>
        <w:tabs>
          <w:tab w:val="num" w:leader="none" w:pos="0"/>
        </w:tabs>
        <w:spacing/>
        <w:ind w:firstLine="0" w:left="0"/>
      </w:pPr>
      <w:rPr>
        <w:rFonts w:ascii="Tahoma" w:hAnsi="Tahoma" w:eastAsia="Tahoma" w:cs="Tahoma"/>
        <w:b/>
        <w:bCs/>
        <w:i w:val="0"/>
        <w:iCs w:val="0"/>
        <w:caps w:val="0"/>
        <w:smallCaps w:val="0"/>
        <w:strike w:val="0"/>
        <w:color w:val="000000"/>
        <w:spacing w:val="0"/>
        <w:sz w:val="21"/>
        <w:szCs w:val="21"/>
        <w:u w:val="none"/>
        <w:lang w:val="ru-RU"/>
      </w:rPr>
      <w:start w:val="1"/>
      <w:suff w:val="tab"/>
    </w:lvl>
    <w:lvl w:ilvl="2">
      <w:isLgl w:val="false"/>
      <w:lvlJc w:val="left"/>
      <w:lvlText w:val="%1.%2.%3"/>
      <w:numFmt w:val="decimal"/>
      <w:pPr>
        <w:pBdr/>
        <w:tabs>
          <w:tab w:val="num" w:leader="none" w:pos="0"/>
        </w:tabs>
        <w:spacing/>
        <w:ind w:firstLine="0" w:left="0"/>
      </w:pPr>
      <w:pStyle w:val="11438"/>
      <w:rPr>
        <w:rFonts w:ascii="Arial Unicode MS" w:hAnsi="Arial Unicode MS" w:eastAsia="Arial Unicode MS" w:cs="Arial Unicode MS"/>
        <w:b/>
        <w:bCs/>
        <w:i w:val="0"/>
        <w:iCs w:val="0"/>
        <w:caps w:val="0"/>
        <w:smallCaps w:val="0"/>
        <w:strike w:val="0"/>
        <w:color w:val="000000"/>
        <w:spacing w:val="-10"/>
        <w:sz w:val="21"/>
        <w:szCs w:val="21"/>
        <w:u w:val="none"/>
        <w:lang w:val="ru-RU"/>
      </w:rPr>
      <w:start w:val="1"/>
      <w:suff w:val="tab"/>
    </w:lvl>
    <w:lvl w:ilvl="3">
      <w:isLgl w:val="false"/>
      <w:lvlJc w:val="left"/>
      <w:lvlText w:val="%1.%2.%3.%4"/>
      <w:numFmt w:val="decimal"/>
      <w:pPr>
        <w:pBdr/>
        <w:tabs>
          <w:tab w:val="num" w:leader="none" w:pos="0"/>
        </w:tabs>
        <w:spacing/>
        <w:ind w:hanging="907" w:left="907"/>
      </w:pPr>
      <w:rPr/>
      <w:start w:val="0"/>
      <w:suff w:val="tab"/>
    </w:lvl>
    <w:lvl w:ilvl="4">
      <w:isLgl w:val="false"/>
      <w:lvlJc w:val="left"/>
      <w:lvlText w:val=""/>
      <w:numFmt w:val="decimal"/>
      <w:pPr>
        <w:pBdr/>
        <w:tabs>
          <w:tab w:val="num" w:leader="none" w:pos="0"/>
        </w:tabs>
        <w:spacing/>
        <w:ind w:firstLine="0" w:left="0"/>
      </w:pPr>
      <w:rPr/>
      <w:start w:val="0"/>
      <w:suff w:val="tab"/>
    </w:lvl>
    <w:lvl w:ilvl="5">
      <w:isLgl w:val="false"/>
      <w:lvlJc w:val="left"/>
      <w:lvlText w:val=""/>
      <w:numFmt w:val="decimal"/>
      <w:pPr>
        <w:pBdr/>
        <w:tabs>
          <w:tab w:val="num" w:leader="none" w:pos="0"/>
        </w:tabs>
        <w:spacing/>
        <w:ind w:firstLine="0" w:left="0"/>
      </w:pPr>
      <w:rPr/>
      <w:start w:val="0"/>
      <w:suff w:val="tab"/>
    </w:lvl>
    <w:lvl w:ilvl="6">
      <w:isLgl w:val="false"/>
      <w:lvlJc w:val="left"/>
      <w:lvlText w:val=""/>
      <w:numFmt w:val="decimal"/>
      <w:pPr>
        <w:pBdr/>
        <w:tabs>
          <w:tab w:val="num" w:leader="none" w:pos="0"/>
        </w:tabs>
        <w:spacing/>
        <w:ind w:firstLine="0" w:left="0"/>
      </w:pPr>
      <w:rPr/>
      <w:start w:val="0"/>
      <w:suff w:val="tab"/>
    </w:lvl>
    <w:lvl w:ilvl="7">
      <w:isLgl w:val="false"/>
      <w:lvlJc w:val="left"/>
      <w:lvlText w:val=""/>
      <w:numFmt w:val="decimal"/>
      <w:pPr>
        <w:pBdr/>
        <w:tabs>
          <w:tab w:val="num" w:leader="none" w:pos="0"/>
        </w:tabs>
        <w:spacing/>
        <w:ind w:firstLine="0" w:left="0"/>
      </w:pPr>
      <w:rPr/>
      <w:start w:val="0"/>
      <w:suff w:val="tab"/>
    </w:lvl>
    <w:lvl w:ilvl="8">
      <w:isLgl w:val="false"/>
      <w:lvlJc w:val="left"/>
      <w:lvlText w:val=""/>
      <w:numFmt w:val="decimal"/>
      <w:pPr>
        <w:pBdr/>
        <w:tabs>
          <w:tab w:val="num" w:leader="none" w:pos="0"/>
        </w:tabs>
        <w:spacing/>
        <w:ind w:firstLine="0" w:left="0"/>
      </w:pPr>
      <w:rPr/>
      <w:start w:val="0"/>
      <w:suff w:val="tab"/>
    </w:lvl>
  </w:abstractNum>
  <w:abstractNum w:abstractNumId="8">
    <w:lvl w:ilvl="0">
      <w:isLgl w:val="false"/>
      <w:lvlJc w:val="left"/>
      <w:lvlText w:val=""/>
      <w:numFmt w:val="bullet"/>
      <w:pPr>
        <w:pBdr/>
        <w:tabs>
          <w:tab w:val="num" w:leader="none" w:pos="0"/>
        </w:tabs>
        <w:spacing/>
        <w:ind w:hanging="360" w:left="1287"/>
      </w:pPr>
      <w:rPr>
        <w:rFonts w:hint="default" w:ascii="Symbol" w:hAnsi="Symbol" w:cs="Symbol"/>
      </w:rPr>
      <w:start w:val="1"/>
      <w:suff w:val="tab"/>
    </w:lvl>
    <w:lvl w:ilvl="1">
      <w:isLgl w:val="false"/>
      <w:lvlJc w:val="left"/>
      <w:lvlText w:val="o"/>
      <w:numFmt w:val="bullet"/>
      <w:pPr>
        <w:pBdr/>
        <w:tabs>
          <w:tab w:val="num" w:leader="none" w:pos="0"/>
        </w:tabs>
        <w:spacing/>
        <w:ind w:hanging="360" w:left="2007"/>
      </w:pPr>
      <w:pStyle w:val="12941"/>
      <w:rPr>
        <w:rFonts w:hint="default" w:ascii="Courier New" w:hAnsi="Courier New" w:cs="Courier New"/>
      </w:rPr>
      <w:start w:val="1"/>
      <w:suff w:val="tab"/>
    </w:lvl>
    <w:lvl w:ilvl="2">
      <w:isLgl w:val="false"/>
      <w:lvlJc w:val="left"/>
      <w:lvlText w:val=""/>
      <w:numFmt w:val="bullet"/>
      <w:pPr>
        <w:pBdr/>
        <w:tabs>
          <w:tab w:val="num" w:leader="none" w:pos="0"/>
        </w:tabs>
        <w:spacing/>
        <w:ind w:hanging="360" w:left="2727"/>
      </w:pPr>
      <w:rPr>
        <w:rFonts w:hint="default" w:ascii="Wingdings" w:hAnsi="Wingdings" w:cs="Wingdings"/>
      </w:rPr>
      <w:start w:val="1"/>
      <w:suff w:val="tab"/>
    </w:lvl>
    <w:lvl w:ilvl="3">
      <w:isLgl w:val="false"/>
      <w:lvlJc w:val="left"/>
      <w:lvlText w:val=""/>
      <w:numFmt w:val="bullet"/>
      <w:pPr>
        <w:pBdr/>
        <w:tabs>
          <w:tab w:val="num" w:leader="none" w:pos="0"/>
        </w:tabs>
        <w:spacing/>
        <w:ind w:hanging="360" w:left="3447"/>
      </w:pPr>
      <w:rPr>
        <w:rFonts w:hint="default" w:ascii="Symbol" w:hAnsi="Symbol" w:cs="Symbol"/>
      </w:rPr>
      <w:start w:val="1"/>
      <w:suff w:val="tab"/>
    </w:lvl>
    <w:lvl w:ilvl="4">
      <w:isLgl w:val="false"/>
      <w:lvlJc w:val="left"/>
      <w:lvlText w:val="o"/>
      <w:numFmt w:val="bullet"/>
      <w:pPr>
        <w:pBdr/>
        <w:tabs>
          <w:tab w:val="num" w:leader="none" w:pos="0"/>
        </w:tabs>
        <w:spacing/>
        <w:ind w:hanging="360" w:left="4167"/>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4887"/>
      </w:pPr>
      <w:rPr>
        <w:rFonts w:hint="default" w:ascii="Wingdings" w:hAnsi="Wingdings" w:cs="Wingdings"/>
      </w:rPr>
      <w:start w:val="1"/>
      <w:suff w:val="tab"/>
    </w:lvl>
    <w:lvl w:ilvl="6">
      <w:isLgl w:val="false"/>
      <w:lvlJc w:val="left"/>
      <w:lvlText w:val=""/>
      <w:numFmt w:val="bullet"/>
      <w:pPr>
        <w:pBdr/>
        <w:tabs>
          <w:tab w:val="num" w:leader="none" w:pos="0"/>
        </w:tabs>
        <w:spacing/>
        <w:ind w:hanging="360" w:left="5607"/>
      </w:pPr>
      <w:rPr>
        <w:rFonts w:hint="default" w:ascii="Symbol" w:hAnsi="Symbol" w:cs="Symbol"/>
      </w:rPr>
      <w:start w:val="1"/>
      <w:suff w:val="tab"/>
    </w:lvl>
    <w:lvl w:ilvl="7">
      <w:isLgl w:val="false"/>
      <w:lvlJc w:val="left"/>
      <w:lvlText w:val="o"/>
      <w:numFmt w:val="bullet"/>
      <w:pPr>
        <w:pBdr/>
        <w:tabs>
          <w:tab w:val="num" w:leader="none" w:pos="0"/>
        </w:tabs>
        <w:spacing/>
        <w:ind w:hanging="360" w:left="6327"/>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047"/>
      </w:pPr>
      <w:rPr>
        <w:rFonts w:hint="default" w:ascii="Wingdings" w:hAnsi="Wingdings" w:cs="Wingdings"/>
      </w:rPr>
      <w:start w:val="1"/>
      <w:suff w:val="tab"/>
    </w:lvl>
  </w:abstractNum>
  <w:abstractNum w:abstractNumId="9">
    <w:lvl w:ilvl="0">
      <w:isLgl w:val="false"/>
      <w:lvlJc w:val="left"/>
      <w:lvlText w:val="Рис. 2.%1."/>
      <w:numFmt w:val="decimal"/>
      <w:pPr>
        <w:pBdr/>
        <w:tabs>
          <w:tab w:val="num" w:leader="none" w:pos="0"/>
        </w:tabs>
        <w:spacing/>
        <w:ind w:hanging="360" w:left="2160"/>
      </w:pPr>
      <w:pStyle w:val="11548"/>
      <w:rPr/>
      <w:start w:val="1"/>
      <w:suff w:val="tab"/>
    </w:lvl>
    <w:lvl w:ilvl="1">
      <w:isLgl w:val="false"/>
      <w:lvlJc w:val="left"/>
      <w:lvlText w:val="%2."/>
      <w:numFmt w:val="lowerLetter"/>
      <w:pPr>
        <w:pBdr/>
        <w:tabs>
          <w:tab w:val="num" w:leader="none" w:pos="0"/>
        </w:tabs>
        <w:spacing/>
        <w:ind w:hanging="360" w:left="2880"/>
      </w:pPr>
      <w:rPr/>
      <w:start w:val="1"/>
      <w:suff w:val="tab"/>
    </w:lvl>
    <w:lvl w:ilvl="2">
      <w:isLgl w:val="false"/>
      <w:lvlJc w:val="right"/>
      <w:lvlText w:val="%3."/>
      <w:numFmt w:val="lowerRoman"/>
      <w:pPr>
        <w:pBdr/>
        <w:tabs>
          <w:tab w:val="num" w:leader="none" w:pos="0"/>
        </w:tabs>
        <w:spacing/>
        <w:ind w:hanging="180" w:left="3600"/>
      </w:pPr>
      <w:rPr/>
      <w:start w:val="1"/>
      <w:suff w:val="tab"/>
    </w:lvl>
    <w:lvl w:ilvl="3">
      <w:isLgl w:val="false"/>
      <w:lvlJc w:val="left"/>
      <w:lvlText w:val="%4."/>
      <w:numFmt w:val="decimal"/>
      <w:pPr>
        <w:pBdr/>
        <w:tabs>
          <w:tab w:val="num" w:leader="none" w:pos="0"/>
        </w:tabs>
        <w:spacing/>
        <w:ind w:hanging="360" w:left="4320"/>
      </w:pPr>
      <w:rPr/>
      <w:start w:val="1"/>
      <w:suff w:val="tab"/>
    </w:lvl>
    <w:lvl w:ilvl="4">
      <w:isLgl w:val="false"/>
      <w:lvlJc w:val="left"/>
      <w:lvlText w:val="%5."/>
      <w:numFmt w:val="lowerLetter"/>
      <w:pPr>
        <w:pBdr/>
        <w:tabs>
          <w:tab w:val="num" w:leader="none" w:pos="0"/>
        </w:tabs>
        <w:spacing/>
        <w:ind w:hanging="360" w:left="5040"/>
      </w:pPr>
      <w:rPr/>
      <w:start w:val="1"/>
      <w:suff w:val="tab"/>
    </w:lvl>
    <w:lvl w:ilvl="5">
      <w:isLgl w:val="false"/>
      <w:lvlJc w:val="right"/>
      <w:lvlText w:val="%6."/>
      <w:numFmt w:val="lowerRoman"/>
      <w:pPr>
        <w:pBdr/>
        <w:tabs>
          <w:tab w:val="num" w:leader="none" w:pos="0"/>
        </w:tabs>
        <w:spacing/>
        <w:ind w:hanging="180" w:left="5760"/>
      </w:pPr>
      <w:rPr/>
      <w:start w:val="1"/>
      <w:suff w:val="tab"/>
    </w:lvl>
    <w:lvl w:ilvl="6">
      <w:isLgl w:val="false"/>
      <w:lvlJc w:val="left"/>
      <w:lvlText w:val="%7."/>
      <w:numFmt w:val="decimal"/>
      <w:pPr>
        <w:pBdr/>
        <w:tabs>
          <w:tab w:val="num" w:leader="none" w:pos="0"/>
        </w:tabs>
        <w:spacing/>
        <w:ind w:hanging="360" w:left="6480"/>
      </w:pPr>
      <w:rPr/>
      <w:start w:val="1"/>
      <w:suff w:val="tab"/>
    </w:lvl>
    <w:lvl w:ilvl="7">
      <w:isLgl w:val="false"/>
      <w:lvlJc w:val="left"/>
      <w:lvlText w:val="%8."/>
      <w:numFmt w:val="lowerLetter"/>
      <w:pPr>
        <w:pBdr/>
        <w:tabs>
          <w:tab w:val="num" w:leader="none" w:pos="0"/>
        </w:tabs>
        <w:spacing/>
        <w:ind w:hanging="360" w:left="7200"/>
      </w:pPr>
      <w:rPr/>
      <w:start w:val="1"/>
      <w:suff w:val="tab"/>
    </w:lvl>
    <w:lvl w:ilvl="8">
      <w:isLgl w:val="false"/>
      <w:lvlJc w:val="right"/>
      <w:lvlText w:val="%9."/>
      <w:numFmt w:val="lowerRoman"/>
      <w:pPr>
        <w:pBdr/>
        <w:tabs>
          <w:tab w:val="num" w:leader="none" w:pos="0"/>
        </w:tabs>
        <w:spacing/>
        <w:ind w:hanging="180" w:left="7920"/>
      </w:pPr>
      <w:rPr/>
      <w:start w:val="1"/>
      <w:suff w:val="tab"/>
    </w:lvl>
  </w:abstractNum>
  <w:abstractNum w:abstractNumId="10">
    <w:lvl w:ilvl="0">
      <w:isLgl w:val="false"/>
      <w:lvlJc w:val="left"/>
      <w:lvlText w:val="Таблица 7.%1."/>
      <w:numFmt w:val="decimal"/>
      <w:pPr>
        <w:pBdr/>
        <w:tabs>
          <w:tab w:val="num" w:leader="none" w:pos="0"/>
        </w:tabs>
        <w:spacing/>
        <w:ind w:hanging="360" w:left="720"/>
      </w:pPr>
      <w:pStyle w:val="11558"/>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11">
    <w:lvl w:ilvl="0">
      <w:isLgl w:val="false"/>
      <w:lvlJc w:val="left"/>
      <w:lvlText w:val=""/>
      <w:numFmt w:val="bullet"/>
      <w:pPr>
        <w:pBdr/>
        <w:tabs>
          <w:tab w:val="num" w:leader="none" w:pos="0"/>
        </w:tabs>
        <w:spacing/>
        <w:ind w:hanging="360" w:left="1778"/>
      </w:pPr>
      <w:pStyle w:val="11682"/>
      <w:rPr>
        <w:rFonts w:hint="default" w:ascii="Wingdings" w:hAnsi="Wingdings" w:cs="Wingdings"/>
      </w:rPr>
      <w:start w:val="1"/>
      <w:suff w:val="tab"/>
    </w:lvl>
    <w:lvl w:ilvl="1">
      <w:isLgl w:val="false"/>
      <w:lvlJc w:val="left"/>
      <w:lvlText w:val="o"/>
      <w:numFmt w:val="bullet"/>
      <w:pPr>
        <w:pBdr/>
        <w:tabs>
          <w:tab w:val="num" w:leader="none" w:pos="0"/>
        </w:tabs>
        <w:spacing/>
        <w:ind w:hanging="360" w:left="2291"/>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3011"/>
      </w:pPr>
      <w:rPr>
        <w:rFonts w:hint="default" w:ascii="Wingdings" w:hAnsi="Wingdings" w:cs="Wingdings"/>
      </w:rPr>
      <w:start w:val="1"/>
      <w:suff w:val="tab"/>
    </w:lvl>
    <w:lvl w:ilvl="3">
      <w:isLgl w:val="false"/>
      <w:lvlJc w:val="left"/>
      <w:lvlText w:val=""/>
      <w:numFmt w:val="bullet"/>
      <w:pPr>
        <w:pBdr/>
        <w:tabs>
          <w:tab w:val="num" w:leader="none" w:pos="0"/>
        </w:tabs>
        <w:spacing/>
        <w:ind w:hanging="360" w:left="3731"/>
      </w:pPr>
      <w:rPr>
        <w:rFonts w:hint="default" w:ascii="Symbol" w:hAnsi="Symbol" w:cs="Symbol"/>
      </w:rPr>
      <w:start w:val="1"/>
      <w:suff w:val="tab"/>
    </w:lvl>
    <w:lvl w:ilvl="4">
      <w:isLgl w:val="false"/>
      <w:lvlJc w:val="left"/>
      <w:lvlText w:val="o"/>
      <w:numFmt w:val="bullet"/>
      <w:pPr>
        <w:pBdr/>
        <w:tabs>
          <w:tab w:val="num" w:leader="none" w:pos="0"/>
        </w:tabs>
        <w:spacing/>
        <w:ind w:hanging="360" w:left="4451"/>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171"/>
      </w:pPr>
      <w:rPr>
        <w:rFonts w:hint="default" w:ascii="Wingdings" w:hAnsi="Wingdings" w:cs="Wingdings"/>
      </w:rPr>
      <w:start w:val="1"/>
      <w:suff w:val="tab"/>
    </w:lvl>
    <w:lvl w:ilvl="6">
      <w:isLgl w:val="false"/>
      <w:lvlJc w:val="left"/>
      <w:lvlText w:val=""/>
      <w:numFmt w:val="bullet"/>
      <w:pPr>
        <w:pBdr/>
        <w:tabs>
          <w:tab w:val="num" w:leader="none" w:pos="0"/>
        </w:tabs>
        <w:spacing/>
        <w:ind w:hanging="360" w:left="5891"/>
      </w:pPr>
      <w:rPr>
        <w:rFonts w:hint="default" w:ascii="Symbol" w:hAnsi="Symbol" w:cs="Symbol"/>
      </w:rPr>
      <w:start w:val="1"/>
      <w:suff w:val="tab"/>
    </w:lvl>
    <w:lvl w:ilvl="7">
      <w:isLgl w:val="false"/>
      <w:lvlJc w:val="left"/>
      <w:lvlText w:val="o"/>
      <w:numFmt w:val="bullet"/>
      <w:pPr>
        <w:pBdr/>
        <w:tabs>
          <w:tab w:val="num" w:leader="none" w:pos="0"/>
        </w:tabs>
        <w:spacing/>
        <w:ind w:hanging="360" w:left="6611"/>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331"/>
      </w:pPr>
      <w:rPr>
        <w:rFonts w:hint="default" w:ascii="Wingdings" w:hAnsi="Wingdings" w:cs="Wingdings"/>
      </w:rPr>
      <w:start w:val="1"/>
      <w:suff w:val="tab"/>
    </w:lvl>
  </w:abstractNum>
  <w:abstractNum w:abstractNumId="12">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pStyle w:val="10535"/>
      <w:rPr/>
      <w:start w:val="1"/>
      <w:suff w:val="tab"/>
    </w:lvl>
    <w:lvl w:ilvl="2">
      <w:isLgl w:val="true"/>
      <w:lvlJc w:val="left"/>
      <w:lvlText w:val="%1.%2.%3."/>
      <w:numFmt w:val="decimal"/>
      <w:pPr>
        <w:pBdr/>
        <w:tabs>
          <w:tab w:val="num" w:leader="none" w:pos="0"/>
        </w:tabs>
        <w:spacing/>
        <w:ind w:hanging="720" w:left="2070"/>
      </w:pPr>
      <w:pStyle w:val="10536"/>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13">
    <w:lvl w:ilvl="0">
      <w:isLgl w:val="false"/>
      <w:lvlJc w:val="left"/>
      <w:lvlText w:val="%1.1."/>
      <w:numFmt w:val="decimal"/>
      <w:pPr>
        <w:pBdr/>
        <w:tabs>
          <w:tab w:val="num" w:leader="none" w:pos="720"/>
        </w:tabs>
        <w:spacing/>
        <w:ind w:hanging="360" w:left="360"/>
      </w:pPr>
      <w:rPr/>
      <w:start w:val="1"/>
      <w:suff w:val="tab"/>
    </w:lvl>
    <w:lvl w:ilvl="1">
      <w:isLgl w:val="false"/>
      <w:lvlJc w:val="left"/>
      <w:lvlText w:val="%2.1."/>
      <w:numFmt w:val="decimal"/>
      <w:pPr>
        <w:pBdr/>
        <w:tabs>
          <w:tab w:val="num" w:leader="none" w:pos="792"/>
        </w:tabs>
        <w:spacing/>
        <w:ind w:hanging="432" w:left="792"/>
      </w:pPr>
      <w:rPr/>
      <w:start w:val="1"/>
      <w:suff w:val="tab"/>
    </w:lvl>
    <w:lvl w:ilvl="2">
      <w:isLgl w:val="false"/>
      <w:lvlJc w:val="left"/>
      <w:lvlText w:val="%31.3.3."/>
      <w:numFmt w:val="decimal"/>
      <w:pPr>
        <w:pBdr/>
        <w:tabs>
          <w:tab w:val="num" w:leader="none" w:pos="1440"/>
        </w:tabs>
        <w:spacing/>
        <w:ind w:hanging="504" w:left="1224"/>
      </w:pPr>
      <w:rPr/>
      <w:start w:val="1"/>
      <w:suff w:val="tab"/>
    </w:lvl>
    <w:lvl w:ilvl="3">
      <w:isLgl w:val="false"/>
      <w:lvlJc w:val="left"/>
      <w:lvlText w:val="%1.%2.%3.%4."/>
      <w:numFmt w:val="decimal"/>
      <w:pPr>
        <w:pBdr/>
        <w:tabs>
          <w:tab w:val="num" w:leader="none" w:pos="2160"/>
        </w:tabs>
        <w:spacing/>
        <w:ind w:hanging="648" w:left="1728"/>
      </w:pPr>
      <w:rPr/>
      <w:start w:val="1"/>
      <w:suff w:val="tab"/>
    </w:lvl>
    <w:lvl w:ilvl="4">
      <w:isLgl w:val="false"/>
      <w:lvlJc w:val="left"/>
      <w:lvlText w:val="%1.%2.%3.%4.%5."/>
      <w:numFmt w:val="decimal"/>
      <w:pPr>
        <w:pBdr/>
        <w:tabs>
          <w:tab w:val="num" w:leader="none" w:pos="2520"/>
        </w:tabs>
        <w:spacing/>
        <w:ind w:hanging="792" w:left="2232"/>
      </w:pPr>
      <w:rPr/>
      <w:start w:val="1"/>
      <w:suff w:val="tab"/>
    </w:lvl>
    <w:lvl w:ilvl="5">
      <w:isLgl w:val="false"/>
      <w:lvlJc w:val="left"/>
      <w:lvlText w:val="%1.%2.%3.%4.%5.%6."/>
      <w:numFmt w:val="decimal"/>
      <w:pPr>
        <w:pBdr/>
        <w:tabs>
          <w:tab w:val="num" w:leader="none" w:pos="3240"/>
        </w:tabs>
        <w:spacing/>
        <w:ind w:hanging="936" w:left="2736"/>
      </w:pPr>
      <w:rPr/>
      <w:start w:val="1"/>
      <w:suff w:val="tab"/>
    </w:lvl>
    <w:lvl w:ilvl="6">
      <w:isLgl w:val="false"/>
      <w:lvlJc w:val="left"/>
      <w:lvlText w:val="%1.%2.%3.%4.%5.%6.%7."/>
      <w:numFmt w:val="decimal"/>
      <w:pPr>
        <w:pBdr/>
        <w:tabs>
          <w:tab w:val="num" w:leader="none" w:pos="3600"/>
        </w:tabs>
        <w:spacing/>
        <w:ind w:hanging="1080" w:left="3240"/>
      </w:pPr>
      <w:rPr/>
      <w:start w:val="1"/>
      <w:suff w:val="tab"/>
    </w:lvl>
    <w:lvl w:ilvl="7">
      <w:isLgl w:val="false"/>
      <w:lvlJc w:val="left"/>
      <w:lvlText w:val="%1.%2.%3.%4.%5.%6.%7.%8."/>
      <w:numFmt w:val="decimal"/>
      <w:pPr>
        <w:pBdr/>
        <w:tabs>
          <w:tab w:val="num" w:leader="none" w:pos="4320"/>
        </w:tabs>
        <w:spacing/>
        <w:ind w:hanging="1224" w:left="3744"/>
      </w:pPr>
      <w:rPr/>
      <w:start w:val="1"/>
      <w:suff w:val="tab"/>
    </w:lvl>
    <w:lvl w:ilvl="8">
      <w:isLgl w:val="false"/>
      <w:lvlJc w:val="left"/>
      <w:lvlText w:val="%1.%2.%3.%4.%5.%6.%7.%8.%9."/>
      <w:numFmt w:val="decimal"/>
      <w:pPr>
        <w:pBdr/>
        <w:tabs>
          <w:tab w:val="num" w:leader="none" w:pos="4680"/>
        </w:tabs>
        <w:spacing/>
        <w:ind w:hanging="1440" w:left="4320"/>
      </w:pPr>
      <w:rPr/>
      <w:start w:val="1"/>
      <w:suff w:val="tab"/>
    </w:lvl>
  </w:abstractNum>
  <w:abstractNum w:abstractNumId="14">
    <w:lvl w:ilvl="0">
      <w:isLgl w:val="false"/>
      <w:lvlJc w:val="left"/>
      <w:lvlText w:val="%1."/>
      <w:numFmt w:val="decimal"/>
      <w:pPr>
        <w:pBdr/>
        <w:tabs>
          <w:tab w:val="num" w:leader="none" w:pos="1350"/>
        </w:tabs>
        <w:spacing/>
        <w:ind w:hanging="1350" w:left="1350"/>
      </w:pPr>
      <w:rPr/>
      <w:start w:val="1"/>
      <w:suff w:val="tab"/>
    </w:lvl>
    <w:lvl w:ilvl="1">
      <w:isLgl w:val="false"/>
      <w:lvlJc w:val="left"/>
      <w:lvlText w:val="%1.%2."/>
      <w:numFmt w:val="decimal"/>
      <w:pPr>
        <w:pBdr/>
        <w:tabs>
          <w:tab w:val="num" w:leader="none" w:pos="1633"/>
        </w:tabs>
        <w:spacing/>
        <w:ind w:hanging="1350" w:left="1633"/>
      </w:pPr>
      <w:rPr/>
      <w:start w:val="1"/>
      <w:suff w:val="tab"/>
    </w:lvl>
    <w:lvl w:ilvl="2">
      <w:isLgl w:val="false"/>
      <w:lvlJc w:val="left"/>
      <w:lvlText w:val="%1.%2.%3."/>
      <w:numFmt w:val="decimal"/>
      <w:pPr>
        <w:pBdr/>
        <w:tabs>
          <w:tab w:val="num" w:leader="none" w:pos="1916"/>
        </w:tabs>
        <w:spacing/>
        <w:ind w:hanging="1350" w:left="1916"/>
      </w:pPr>
      <w:rPr/>
      <w:start w:val="1"/>
      <w:suff w:val="tab"/>
    </w:lvl>
    <w:lvl w:ilvl="3">
      <w:isLgl w:val="false"/>
      <w:lvlJc w:val="left"/>
      <w:lvlText w:val="%1.%2.%3.%4."/>
      <w:numFmt w:val="decimal"/>
      <w:pPr>
        <w:pBdr/>
        <w:tabs>
          <w:tab w:val="num" w:leader="none" w:pos="2199"/>
        </w:tabs>
        <w:spacing/>
        <w:ind w:hanging="1350" w:left="2199"/>
      </w:pPr>
      <w:rPr/>
      <w:start w:val="1"/>
      <w:suff w:val="tab"/>
    </w:lvl>
    <w:lvl w:ilvl="4">
      <w:isLgl w:val="false"/>
      <w:lvlJc w:val="left"/>
      <w:lvlText w:val="%1.%2.%3.%4.%5."/>
      <w:numFmt w:val="decimal"/>
      <w:pPr>
        <w:pBdr/>
        <w:tabs>
          <w:tab w:val="num" w:leader="none" w:pos="2482"/>
        </w:tabs>
        <w:spacing/>
        <w:ind w:hanging="1350" w:left="2482"/>
      </w:pPr>
      <w:rPr/>
      <w:start w:val="1"/>
      <w:suff w:val="tab"/>
    </w:lvl>
    <w:lvl w:ilvl="5">
      <w:isLgl w:val="false"/>
      <w:lvlJc w:val="left"/>
      <w:lvlText w:val="%1.%2.%3.%4.%5.%6."/>
      <w:numFmt w:val="decimal"/>
      <w:pPr>
        <w:pBdr/>
        <w:tabs>
          <w:tab w:val="num" w:leader="none" w:pos="2855"/>
        </w:tabs>
        <w:spacing/>
        <w:ind w:hanging="1440" w:left="2855"/>
      </w:pPr>
      <w:rPr/>
      <w:start w:val="1"/>
      <w:suff w:val="tab"/>
    </w:lvl>
    <w:lvl w:ilvl="6">
      <w:isLgl w:val="false"/>
      <w:lvlJc w:val="left"/>
      <w:lvlText w:val="%1.%2.%3.%4.%5.%6.%7."/>
      <w:numFmt w:val="decimal"/>
      <w:pPr>
        <w:pBdr/>
        <w:tabs>
          <w:tab w:val="num" w:leader="none" w:pos="3138"/>
        </w:tabs>
        <w:spacing/>
        <w:ind w:hanging="1440" w:left="3138"/>
      </w:pPr>
      <w:rPr/>
      <w:start w:val="1"/>
      <w:suff w:val="tab"/>
    </w:lvl>
    <w:lvl w:ilvl="7">
      <w:isLgl w:val="false"/>
      <w:lvlJc w:val="left"/>
      <w:lvlText w:val="%1.%2.%3.%4.%5.%6.%7.%8."/>
      <w:numFmt w:val="decimal"/>
      <w:pPr>
        <w:pBdr/>
        <w:tabs>
          <w:tab w:val="num" w:leader="none" w:pos="3781"/>
        </w:tabs>
        <w:spacing/>
        <w:ind w:hanging="1800" w:left="3781"/>
      </w:pPr>
      <w:rPr/>
      <w:start w:val="1"/>
      <w:suff w:val="tab"/>
    </w:lvl>
    <w:lvl w:ilvl="8">
      <w:isLgl w:val="false"/>
      <w:lvlJc w:val="left"/>
      <w:lvlText w:val="%1.%2.%3.%4.%5.%6.%7.%8.%9."/>
      <w:numFmt w:val="decimal"/>
      <w:pPr>
        <w:pBdr/>
        <w:tabs>
          <w:tab w:val="num" w:leader="none" w:pos="4064"/>
        </w:tabs>
        <w:spacing/>
        <w:ind w:hanging="1800" w:left="4064"/>
      </w:pPr>
      <w:rPr/>
      <w:start w:val="1"/>
      <w:suff w:val="tab"/>
    </w:lvl>
  </w:abstractNum>
  <w:abstractNum w:abstractNumId="15">
    <w:lvl w:ilvl="0">
      <w:isLgl w:val="false"/>
      <w:lvlJc w:val="left"/>
      <w:lvlText w:val="Рис.%1."/>
      <w:numFmt w:val="decimal"/>
      <w:pPr>
        <w:pBdr/>
        <w:tabs>
          <w:tab w:val="num" w:leader="none" w:pos="3154"/>
        </w:tabs>
        <w:spacing/>
        <w:ind w:hanging="2434" w:left="2434"/>
      </w:pPr>
      <w:pStyle w:val="12087"/>
      <w:rPr>
        <w:rFonts w:ascii="Times New Roman" w:hAnsi="Times New Roman"/>
        <w:b/>
        <w:i w:val="0"/>
        <w:sz w:val="24"/>
        <w:szCs w:val="24"/>
      </w:rPr>
      <w:start w:val="1"/>
      <w:suff w:val="tab"/>
    </w:lvl>
    <w:lvl w:ilvl="1">
      <w:isLgl w:val="false"/>
      <w:lvlJc w:val="left"/>
      <w:lvlText w:val="%2."/>
      <w:numFmt w:val="lowerLetter"/>
      <w:pPr>
        <w:pBdr/>
        <w:tabs>
          <w:tab w:val="num" w:leader="none" w:pos="1440"/>
        </w:tabs>
        <w:spacing/>
        <w:ind w:hanging="360" w:left="1440"/>
      </w:pPr>
      <w:rPr/>
      <w:start w:val="1"/>
      <w:suff w:val="tab"/>
    </w:lvl>
    <w:lvl w:ilvl="2">
      <w:isLgl w:val="false"/>
      <w:lvlJc w:val="right"/>
      <w:lvlText w:val="%3."/>
      <w:numFmt w:val="lowerRoman"/>
      <w:pPr>
        <w:pBdr/>
        <w:tabs>
          <w:tab w:val="num" w:leader="none" w:pos="2160"/>
        </w:tabs>
        <w:spacing/>
        <w:ind w:hanging="180" w:left="2160"/>
      </w:pPr>
      <w:rPr/>
      <w:start w:val="1"/>
      <w:suff w:val="tab"/>
    </w:lvl>
    <w:lvl w:ilvl="3">
      <w:isLgl w:val="false"/>
      <w:lvlJc w:val="left"/>
      <w:lvlText w:val="%4."/>
      <w:numFmt w:val="decimal"/>
      <w:pPr>
        <w:pBdr/>
        <w:tabs>
          <w:tab w:val="num" w:leader="none" w:pos="2880"/>
        </w:tabs>
        <w:spacing/>
        <w:ind w:hanging="360" w:left="2880"/>
      </w:pPr>
      <w:rPr/>
      <w:start w:val="1"/>
      <w:suff w:val="tab"/>
    </w:lvl>
    <w:lvl w:ilvl="4">
      <w:isLgl w:val="false"/>
      <w:lvlJc w:val="left"/>
      <w:lvlText w:val="%5."/>
      <w:numFmt w:val="lowerLetter"/>
      <w:pPr>
        <w:pBdr/>
        <w:tabs>
          <w:tab w:val="num" w:leader="none" w:pos="3600"/>
        </w:tabs>
        <w:spacing/>
        <w:ind w:hanging="360" w:left="3600"/>
      </w:pPr>
      <w:rPr/>
      <w:start w:val="1"/>
      <w:suff w:val="tab"/>
    </w:lvl>
    <w:lvl w:ilvl="5">
      <w:isLgl w:val="false"/>
      <w:lvlJc w:val="right"/>
      <w:lvlText w:val="%6."/>
      <w:numFmt w:val="lowerRoman"/>
      <w:pPr>
        <w:pBdr/>
        <w:tabs>
          <w:tab w:val="num" w:leader="none" w:pos="4320"/>
        </w:tabs>
        <w:spacing/>
        <w:ind w:hanging="180" w:left="4320"/>
      </w:pPr>
      <w:rPr/>
      <w:start w:val="1"/>
      <w:suff w:val="tab"/>
    </w:lvl>
    <w:lvl w:ilvl="6">
      <w:isLgl w:val="false"/>
      <w:lvlJc w:val="left"/>
      <w:lvlText w:val="%7."/>
      <w:numFmt w:val="decimal"/>
      <w:pPr>
        <w:pBdr/>
        <w:tabs>
          <w:tab w:val="num" w:leader="none" w:pos="5040"/>
        </w:tabs>
        <w:spacing/>
        <w:ind w:hanging="360" w:left="5040"/>
      </w:pPr>
      <w:rPr/>
      <w:start w:val="1"/>
      <w:suff w:val="tab"/>
    </w:lvl>
    <w:lvl w:ilvl="7">
      <w:isLgl w:val="false"/>
      <w:lvlJc w:val="left"/>
      <w:lvlText w:val="%8."/>
      <w:numFmt w:val="lowerLetter"/>
      <w:pPr>
        <w:pBdr/>
        <w:tabs>
          <w:tab w:val="num" w:leader="none" w:pos="5760"/>
        </w:tabs>
        <w:spacing/>
        <w:ind w:hanging="360" w:left="5760"/>
      </w:pPr>
      <w:rPr/>
      <w:start w:val="1"/>
      <w:suff w:val="tab"/>
    </w:lvl>
    <w:lvl w:ilvl="8">
      <w:isLgl w:val="false"/>
      <w:lvlJc w:val="right"/>
      <w:lvlText w:val="%9."/>
      <w:numFmt w:val="lowerRoman"/>
      <w:pPr>
        <w:pBdr/>
        <w:tabs>
          <w:tab w:val="num" w:leader="none" w:pos="6480"/>
        </w:tabs>
        <w:spacing/>
        <w:ind w:hanging="180" w:left="6480"/>
      </w:pPr>
      <w:rPr/>
      <w:start w:val="1"/>
      <w:suff w:val="tab"/>
    </w:lvl>
  </w:abstractNum>
  <w:abstractNum w:abstractNumId="16">
    <w:lvl w:ilvl="0">
      <w:isLgl w:val="false"/>
      <w:lvlJc w:val="left"/>
      <w:lvlText w:val="Таблица %1."/>
      <w:numFmt w:val="decimal"/>
      <w:pPr>
        <w:pBdr/>
        <w:tabs>
          <w:tab w:val="num" w:leader="none" w:pos="2160"/>
        </w:tabs>
        <w:spacing/>
        <w:ind w:hanging="360" w:left="2160"/>
      </w:pPr>
      <w:pStyle w:val="12085"/>
      <w:rPr>
        <w:rFonts w:ascii="Times New Roman" w:hAnsi="Times New Roman"/>
        <w:b/>
        <w:i w:val="0"/>
        <w:sz w:val="24"/>
        <w:szCs w:val="24"/>
      </w:rPr>
      <w:start w:val="1"/>
      <w:suff w:val="tab"/>
    </w:lvl>
    <w:lvl w:ilvl="1">
      <w:isLgl w:val="false"/>
      <w:lvlJc w:val="left"/>
      <w:lvlText w:val="%2."/>
      <w:numFmt w:val="lowerLetter"/>
      <w:pPr>
        <w:pBdr/>
        <w:tabs>
          <w:tab w:val="num" w:leader="none" w:pos="2160"/>
        </w:tabs>
        <w:spacing/>
        <w:ind w:hanging="360" w:left="2160"/>
      </w:pPr>
      <w:rPr/>
      <w:start w:val="1"/>
      <w:suff w:val="tab"/>
    </w:lvl>
    <w:lvl w:ilvl="2">
      <w:isLgl w:val="false"/>
      <w:lvlJc w:val="right"/>
      <w:lvlText w:val="%3."/>
      <w:numFmt w:val="lowerRoman"/>
      <w:pPr>
        <w:pBdr/>
        <w:tabs>
          <w:tab w:val="num" w:leader="none" w:pos="2880"/>
        </w:tabs>
        <w:spacing/>
        <w:ind w:hanging="180" w:left="2880"/>
      </w:pPr>
      <w:rPr/>
      <w:start w:val="1"/>
      <w:suff w:val="tab"/>
    </w:lvl>
    <w:lvl w:ilvl="3">
      <w:isLgl w:val="false"/>
      <w:lvlJc w:val="left"/>
      <w:lvlText w:val="%4."/>
      <w:numFmt w:val="decimal"/>
      <w:pPr>
        <w:pBdr/>
        <w:tabs>
          <w:tab w:val="num" w:leader="none" w:pos="3600"/>
        </w:tabs>
        <w:spacing/>
        <w:ind w:hanging="360" w:left="3600"/>
      </w:pPr>
      <w:rPr/>
      <w:start w:val="1"/>
      <w:suff w:val="tab"/>
    </w:lvl>
    <w:lvl w:ilvl="4">
      <w:isLgl w:val="false"/>
      <w:lvlJc w:val="left"/>
      <w:lvlText w:val="%5."/>
      <w:numFmt w:val="lowerLetter"/>
      <w:pPr>
        <w:pBdr/>
        <w:tabs>
          <w:tab w:val="num" w:leader="none" w:pos="4320"/>
        </w:tabs>
        <w:spacing/>
        <w:ind w:hanging="360" w:left="4320"/>
      </w:pPr>
      <w:rPr/>
      <w:start w:val="1"/>
      <w:suff w:val="tab"/>
    </w:lvl>
    <w:lvl w:ilvl="5">
      <w:isLgl w:val="false"/>
      <w:lvlJc w:val="right"/>
      <w:lvlText w:val="%6."/>
      <w:numFmt w:val="lowerRoman"/>
      <w:pPr>
        <w:pBdr/>
        <w:tabs>
          <w:tab w:val="num" w:leader="none" w:pos="5040"/>
        </w:tabs>
        <w:spacing/>
        <w:ind w:hanging="180" w:left="5040"/>
      </w:pPr>
      <w:rPr/>
      <w:start w:val="1"/>
      <w:suff w:val="tab"/>
    </w:lvl>
    <w:lvl w:ilvl="6">
      <w:isLgl w:val="false"/>
      <w:lvlJc w:val="left"/>
      <w:lvlText w:val="%7."/>
      <w:numFmt w:val="decimal"/>
      <w:pPr>
        <w:pBdr/>
        <w:tabs>
          <w:tab w:val="num" w:leader="none" w:pos="5760"/>
        </w:tabs>
        <w:spacing/>
        <w:ind w:hanging="360" w:left="5760"/>
      </w:pPr>
      <w:rPr/>
      <w:start w:val="1"/>
      <w:suff w:val="tab"/>
    </w:lvl>
    <w:lvl w:ilvl="7">
      <w:isLgl w:val="false"/>
      <w:lvlJc w:val="left"/>
      <w:lvlText w:val="%8."/>
      <w:numFmt w:val="lowerLetter"/>
      <w:pPr>
        <w:pBdr/>
        <w:tabs>
          <w:tab w:val="num" w:leader="none" w:pos="6480"/>
        </w:tabs>
        <w:spacing/>
        <w:ind w:hanging="360" w:left="6480"/>
      </w:pPr>
      <w:rPr/>
      <w:start w:val="1"/>
      <w:suff w:val="tab"/>
    </w:lvl>
    <w:lvl w:ilvl="8">
      <w:isLgl w:val="false"/>
      <w:lvlJc w:val="right"/>
      <w:lvlText w:val="%9."/>
      <w:numFmt w:val="lowerRoman"/>
      <w:pPr>
        <w:pBdr/>
        <w:tabs>
          <w:tab w:val="num" w:leader="none" w:pos="7200"/>
        </w:tabs>
        <w:spacing/>
        <w:ind w:hanging="180" w:left="7200"/>
      </w:pPr>
      <w:rPr/>
      <w:start w:val="1"/>
      <w:suff w:val="tab"/>
    </w:lvl>
  </w:abstractNum>
  <w:abstractNum w:abstractNumId="17">
    <w:lvl w:ilvl="0">
      <w:isLgl w:val="false"/>
      <w:lvlJc w:val="left"/>
      <w:lvlText w:val="Рис.%1."/>
      <w:numFmt w:val="decimal"/>
      <w:pPr>
        <w:pBdr/>
        <w:tabs>
          <w:tab w:val="num" w:leader="none" w:pos="1080"/>
        </w:tabs>
        <w:spacing/>
        <w:ind w:hanging="360" w:left="360"/>
      </w:pPr>
      <w:rPr>
        <w:rFonts w:ascii="Times New Roman" w:hAnsi="Times New Roman"/>
        <w:b/>
        <w:i w:val="0"/>
        <w:sz w:val="24"/>
        <w:szCs w:val="24"/>
      </w:rPr>
      <w:start w:val="1"/>
      <w:suff w:val="tab"/>
    </w:lvl>
    <w:lvl w:ilvl="1">
      <w:isLgl w:val="false"/>
      <w:lvlJc w:val="left"/>
      <w:lvlText w:val=""/>
      <w:numFmt w:val="bullet"/>
      <w:pPr>
        <w:pBdr/>
        <w:tabs>
          <w:tab w:val="num" w:leader="none" w:pos="1440"/>
        </w:tabs>
        <w:spacing/>
        <w:ind w:hanging="360" w:left="1440"/>
      </w:pPr>
      <w:rPr>
        <w:rFonts w:hint="default" w:ascii="Wingdings" w:hAnsi="Wingdings" w:cs="Wingdings"/>
        <w:b/>
        <w:i w:val="0"/>
        <w:sz w:val="24"/>
        <w:szCs w:val="24"/>
      </w:rPr>
      <w:start w:val="1"/>
      <w:suff w:val="tab"/>
    </w:lvl>
    <w:lvl w:ilvl="2">
      <w:isLgl w:val="false"/>
      <w:lvlJc w:val="right"/>
      <w:lvlText w:val="%3."/>
      <w:numFmt w:val="lowerRoman"/>
      <w:pPr>
        <w:pBdr/>
        <w:tabs>
          <w:tab w:val="num" w:leader="none" w:pos="2160"/>
        </w:tabs>
        <w:spacing/>
        <w:ind w:hanging="180" w:left="2160"/>
      </w:pPr>
      <w:rPr/>
      <w:start w:val="1"/>
      <w:suff w:val="tab"/>
    </w:lvl>
    <w:lvl w:ilvl="3">
      <w:isLgl w:val="false"/>
      <w:lvlJc w:val="left"/>
      <w:lvlText w:val="%4."/>
      <w:numFmt w:val="decimal"/>
      <w:pPr>
        <w:pBdr/>
        <w:tabs>
          <w:tab w:val="num" w:leader="none" w:pos="2880"/>
        </w:tabs>
        <w:spacing/>
        <w:ind w:hanging="360" w:left="2880"/>
      </w:pPr>
      <w:rPr/>
      <w:start w:val="1"/>
      <w:suff w:val="tab"/>
    </w:lvl>
    <w:lvl w:ilvl="4">
      <w:isLgl w:val="false"/>
      <w:lvlJc w:val="left"/>
      <w:lvlText w:val="%5."/>
      <w:numFmt w:val="lowerLetter"/>
      <w:pPr>
        <w:pBdr/>
        <w:tabs>
          <w:tab w:val="num" w:leader="none" w:pos="3600"/>
        </w:tabs>
        <w:spacing/>
        <w:ind w:hanging="360" w:left="3600"/>
      </w:pPr>
      <w:rPr/>
      <w:start w:val="1"/>
      <w:suff w:val="tab"/>
    </w:lvl>
    <w:lvl w:ilvl="5">
      <w:isLgl w:val="false"/>
      <w:lvlJc w:val="right"/>
      <w:lvlText w:val="%6."/>
      <w:numFmt w:val="lowerRoman"/>
      <w:pPr>
        <w:pBdr/>
        <w:tabs>
          <w:tab w:val="num" w:leader="none" w:pos="4320"/>
        </w:tabs>
        <w:spacing/>
        <w:ind w:hanging="180" w:left="4320"/>
      </w:pPr>
      <w:rPr/>
      <w:start w:val="1"/>
      <w:suff w:val="tab"/>
    </w:lvl>
    <w:lvl w:ilvl="6">
      <w:isLgl w:val="false"/>
      <w:lvlJc w:val="left"/>
      <w:lvlText w:val="%7."/>
      <w:numFmt w:val="decimal"/>
      <w:pPr>
        <w:pBdr/>
        <w:tabs>
          <w:tab w:val="num" w:leader="none" w:pos="5040"/>
        </w:tabs>
        <w:spacing/>
        <w:ind w:hanging="360" w:left="5040"/>
      </w:pPr>
      <w:rPr/>
      <w:start w:val="1"/>
      <w:suff w:val="tab"/>
    </w:lvl>
    <w:lvl w:ilvl="7">
      <w:isLgl w:val="false"/>
      <w:lvlJc w:val="left"/>
      <w:lvlText w:val="%8."/>
      <w:numFmt w:val="lowerLetter"/>
      <w:pPr>
        <w:pBdr/>
        <w:tabs>
          <w:tab w:val="num" w:leader="none" w:pos="5760"/>
        </w:tabs>
        <w:spacing/>
        <w:ind w:hanging="360" w:left="5760"/>
      </w:pPr>
      <w:rPr/>
      <w:start w:val="1"/>
      <w:suff w:val="tab"/>
    </w:lvl>
    <w:lvl w:ilvl="8">
      <w:isLgl w:val="false"/>
      <w:lvlJc w:val="right"/>
      <w:lvlText w:val="%9."/>
      <w:numFmt w:val="lowerRoman"/>
      <w:pPr>
        <w:pBdr/>
        <w:tabs>
          <w:tab w:val="num" w:leader="none" w:pos="6480"/>
        </w:tabs>
        <w:spacing/>
        <w:ind w:hanging="180" w:left="6480"/>
      </w:pPr>
      <w:rPr/>
      <w:start w:val="1"/>
      <w:suff w:val="tab"/>
    </w:lvl>
  </w:abstractNum>
  <w:abstractNum w:abstractNumId="18">
    <w:lvl w:ilvl="0">
      <w:isLgl w:val="false"/>
      <w:lvlJc w:val="left"/>
      <w:lvlText w:val="Рис.%1."/>
      <w:numFmt w:val="decimal"/>
      <w:pPr>
        <w:pBdr/>
        <w:tabs>
          <w:tab w:val="num" w:leader="none" w:pos="1080"/>
        </w:tabs>
        <w:spacing/>
        <w:ind w:hanging="360" w:left="360"/>
      </w:pPr>
      <w:rPr>
        <w:rFonts w:ascii="Times New Roman" w:hAnsi="Times New Roman"/>
        <w:b/>
        <w:i w:val="0"/>
        <w:sz w:val="24"/>
        <w:szCs w:val="24"/>
      </w:rPr>
      <w:start w:val="1"/>
      <w:suff w:val="tab"/>
    </w:lvl>
    <w:lvl w:ilvl="1">
      <w:isLgl w:val="false"/>
      <w:lvlJc w:val="left"/>
      <w:lvlText w:val="%2."/>
      <w:numFmt w:val="lowerLetter"/>
      <w:pPr>
        <w:pBdr/>
        <w:tabs>
          <w:tab w:val="num" w:leader="none" w:pos="1440"/>
        </w:tabs>
        <w:spacing/>
        <w:ind w:hanging="360" w:left="1440"/>
      </w:pPr>
      <w:rPr/>
      <w:start w:val="1"/>
      <w:suff w:val="tab"/>
    </w:lvl>
    <w:lvl w:ilvl="2">
      <w:isLgl w:val="false"/>
      <w:lvlJc w:val="right"/>
      <w:lvlText w:val="%3."/>
      <w:numFmt w:val="lowerRoman"/>
      <w:pPr>
        <w:pBdr/>
        <w:tabs>
          <w:tab w:val="num" w:leader="none" w:pos="2160"/>
        </w:tabs>
        <w:spacing/>
        <w:ind w:hanging="180" w:left="2160"/>
      </w:pPr>
      <w:rPr/>
      <w:start w:val="1"/>
      <w:suff w:val="tab"/>
    </w:lvl>
    <w:lvl w:ilvl="3">
      <w:isLgl w:val="false"/>
      <w:lvlJc w:val="left"/>
      <w:lvlText w:val="%4."/>
      <w:numFmt w:val="decimal"/>
      <w:pPr>
        <w:pBdr/>
        <w:tabs>
          <w:tab w:val="num" w:leader="none" w:pos="2880"/>
        </w:tabs>
        <w:spacing/>
        <w:ind w:hanging="360" w:left="2880"/>
      </w:pPr>
      <w:rPr/>
      <w:start w:val="1"/>
      <w:suff w:val="tab"/>
    </w:lvl>
    <w:lvl w:ilvl="4">
      <w:isLgl w:val="false"/>
      <w:lvlJc w:val="left"/>
      <w:lvlText w:val="%5."/>
      <w:numFmt w:val="lowerLetter"/>
      <w:pPr>
        <w:pBdr/>
        <w:tabs>
          <w:tab w:val="num" w:leader="none" w:pos="3600"/>
        </w:tabs>
        <w:spacing/>
        <w:ind w:hanging="360" w:left="3600"/>
      </w:pPr>
      <w:rPr/>
      <w:start w:val="1"/>
      <w:suff w:val="tab"/>
    </w:lvl>
    <w:lvl w:ilvl="5">
      <w:isLgl w:val="false"/>
      <w:lvlJc w:val="right"/>
      <w:lvlText w:val="%6."/>
      <w:numFmt w:val="lowerRoman"/>
      <w:pPr>
        <w:pBdr/>
        <w:tabs>
          <w:tab w:val="num" w:leader="none" w:pos="4320"/>
        </w:tabs>
        <w:spacing/>
        <w:ind w:hanging="180" w:left="4320"/>
      </w:pPr>
      <w:rPr/>
      <w:start w:val="1"/>
      <w:suff w:val="tab"/>
    </w:lvl>
    <w:lvl w:ilvl="6">
      <w:isLgl w:val="false"/>
      <w:lvlJc w:val="left"/>
      <w:lvlText w:val="%7."/>
      <w:numFmt w:val="decimal"/>
      <w:pPr>
        <w:pBdr/>
        <w:tabs>
          <w:tab w:val="num" w:leader="none" w:pos="5040"/>
        </w:tabs>
        <w:spacing/>
        <w:ind w:hanging="360" w:left="5040"/>
      </w:pPr>
      <w:rPr/>
      <w:start w:val="1"/>
      <w:suff w:val="tab"/>
    </w:lvl>
    <w:lvl w:ilvl="7">
      <w:isLgl w:val="false"/>
      <w:lvlJc w:val="left"/>
      <w:lvlText w:val="%8."/>
      <w:numFmt w:val="lowerLetter"/>
      <w:pPr>
        <w:pBdr/>
        <w:tabs>
          <w:tab w:val="num" w:leader="none" w:pos="5760"/>
        </w:tabs>
        <w:spacing/>
        <w:ind w:hanging="360" w:left="5760"/>
      </w:pPr>
      <w:rPr/>
      <w:start w:val="1"/>
      <w:suff w:val="tab"/>
    </w:lvl>
    <w:lvl w:ilvl="8">
      <w:isLgl w:val="false"/>
      <w:lvlJc w:val="right"/>
      <w:lvlText w:val="%9."/>
      <w:numFmt w:val="lowerRoman"/>
      <w:pPr>
        <w:pBdr/>
        <w:tabs>
          <w:tab w:val="num" w:leader="none" w:pos="6480"/>
        </w:tabs>
        <w:spacing/>
        <w:ind w:hanging="180" w:left="6480"/>
      </w:pPr>
      <w:rPr/>
      <w:start w:val="1"/>
      <w:suff w:val="tab"/>
    </w:lvl>
  </w:abstractNum>
  <w:abstractNum w:abstractNumId="19">
    <w:lvl w:ilvl="0">
      <w:isLgl w:val="false"/>
      <w:lvlJc w:val="left"/>
      <w:lvlText w:val="Таблица %1."/>
      <w:numFmt w:val="decimal"/>
      <w:pPr>
        <w:pBdr/>
        <w:tabs>
          <w:tab w:val="num" w:leader="none" w:pos="1080"/>
        </w:tabs>
        <w:spacing/>
        <w:ind w:hanging="360" w:left="1080"/>
      </w:pPr>
      <w:pStyle w:val="12090"/>
      <w:rPr>
        <w:rFonts w:ascii="Times New Roman" w:hAnsi="Times New Roman"/>
        <w:b/>
        <w:i w:val="0"/>
        <w:sz w:val="24"/>
        <w:szCs w:val="24"/>
      </w:rPr>
      <w:start w:val="1"/>
      <w:suff w:val="tab"/>
    </w:lvl>
    <w:lvl w:ilvl="1">
      <w:isLgl w:val="false"/>
      <w:lvlJc w:val="left"/>
      <w:lvlText w:val="%2."/>
      <w:numFmt w:val="lowerLetter"/>
      <w:pPr>
        <w:pBdr/>
        <w:tabs>
          <w:tab w:val="num" w:leader="none" w:pos="1800"/>
        </w:tabs>
        <w:spacing/>
        <w:ind w:hanging="360" w:left="1800"/>
      </w:pPr>
      <w:rPr/>
      <w:start w:val="1"/>
      <w:suff w:val="tab"/>
    </w:lvl>
    <w:lvl w:ilvl="2">
      <w:isLgl w:val="false"/>
      <w:lvlJc w:val="right"/>
      <w:lvlText w:val="%3."/>
      <w:numFmt w:val="lowerRoman"/>
      <w:pPr>
        <w:pBdr/>
        <w:tabs>
          <w:tab w:val="num" w:leader="none" w:pos="2520"/>
        </w:tabs>
        <w:spacing/>
        <w:ind w:hanging="180" w:left="2520"/>
      </w:pPr>
      <w:rPr/>
      <w:start w:val="1"/>
      <w:suff w:val="tab"/>
    </w:lvl>
    <w:lvl w:ilvl="3">
      <w:isLgl w:val="false"/>
      <w:lvlJc w:val="left"/>
      <w:lvlText w:val="%4."/>
      <w:numFmt w:val="decimal"/>
      <w:pPr>
        <w:pBdr/>
        <w:tabs>
          <w:tab w:val="num" w:leader="none" w:pos="3240"/>
        </w:tabs>
        <w:spacing/>
        <w:ind w:hanging="360" w:left="3240"/>
      </w:pPr>
      <w:rPr/>
      <w:start w:val="1"/>
      <w:suff w:val="tab"/>
    </w:lvl>
    <w:lvl w:ilvl="4">
      <w:isLgl w:val="false"/>
      <w:lvlJc w:val="left"/>
      <w:lvlText w:val="%5."/>
      <w:numFmt w:val="lowerLetter"/>
      <w:pPr>
        <w:pBdr/>
        <w:tabs>
          <w:tab w:val="num" w:leader="none" w:pos="3960"/>
        </w:tabs>
        <w:spacing/>
        <w:ind w:hanging="360" w:left="3960"/>
      </w:pPr>
      <w:rPr/>
      <w:start w:val="1"/>
      <w:suff w:val="tab"/>
    </w:lvl>
    <w:lvl w:ilvl="5">
      <w:isLgl w:val="false"/>
      <w:lvlJc w:val="right"/>
      <w:lvlText w:val="%6."/>
      <w:numFmt w:val="lowerRoman"/>
      <w:pPr>
        <w:pBdr/>
        <w:tabs>
          <w:tab w:val="num" w:leader="none" w:pos="4680"/>
        </w:tabs>
        <w:spacing/>
        <w:ind w:hanging="180" w:left="4680"/>
      </w:pPr>
      <w:rPr/>
      <w:start w:val="1"/>
      <w:suff w:val="tab"/>
    </w:lvl>
    <w:lvl w:ilvl="6">
      <w:isLgl w:val="false"/>
      <w:lvlJc w:val="left"/>
      <w:lvlText w:val="%7."/>
      <w:numFmt w:val="decimal"/>
      <w:pPr>
        <w:pBdr/>
        <w:tabs>
          <w:tab w:val="num" w:leader="none" w:pos="5400"/>
        </w:tabs>
        <w:spacing/>
        <w:ind w:hanging="360" w:left="5400"/>
      </w:pPr>
      <w:rPr/>
      <w:start w:val="1"/>
      <w:suff w:val="tab"/>
    </w:lvl>
    <w:lvl w:ilvl="7">
      <w:isLgl w:val="false"/>
      <w:lvlJc w:val="left"/>
      <w:lvlText w:val="%8."/>
      <w:numFmt w:val="lowerLetter"/>
      <w:pPr>
        <w:pBdr/>
        <w:tabs>
          <w:tab w:val="num" w:leader="none" w:pos="6120"/>
        </w:tabs>
        <w:spacing/>
        <w:ind w:hanging="360" w:left="6120"/>
      </w:pPr>
      <w:rPr/>
      <w:start w:val="1"/>
      <w:suff w:val="tab"/>
    </w:lvl>
    <w:lvl w:ilvl="8">
      <w:isLgl w:val="false"/>
      <w:lvlJc w:val="right"/>
      <w:lvlText w:val="%9."/>
      <w:numFmt w:val="lowerRoman"/>
      <w:pPr>
        <w:pBdr/>
        <w:tabs>
          <w:tab w:val="num" w:leader="none" w:pos="6840"/>
        </w:tabs>
        <w:spacing/>
        <w:ind w:hanging="180" w:left="6840"/>
      </w:pPr>
      <w:rPr/>
      <w:start w:val="1"/>
      <w:suff w:val="tab"/>
    </w:lvl>
  </w:abstractNum>
  <w:abstractNum w:abstractNumId="20">
    <w:lvl w:ilvl="0">
      <w:isLgl w:val="false"/>
      <w:lvlJc w:val="center"/>
      <w:lvlText w:val="Рис.%1."/>
      <w:numFmt w:val="decimal"/>
      <w:pPr>
        <w:pBdr/>
        <w:tabs>
          <w:tab w:val="num" w:leader="none" w:pos="720"/>
        </w:tabs>
        <w:spacing/>
        <w:ind w:hanging="323" w:left="720"/>
      </w:pPr>
      <w:rPr>
        <w:rFonts w:ascii="Times New Roman" w:hAnsi="Times New Roman"/>
        <w:b/>
        <w:i w:val="0"/>
        <w:spacing w:val="0"/>
        <w:sz w:val="24"/>
        <w:szCs w:val="24"/>
      </w:rPr>
      <w:start w:val="1"/>
      <w:suff w:val="tab"/>
    </w:lvl>
    <w:lvl w:ilvl="1">
      <w:isLgl w:val="false"/>
      <w:lvlJc w:val="left"/>
      <w:lvlText w:val="%2."/>
      <w:numFmt w:val="lowerLetter"/>
      <w:pPr>
        <w:pBdr/>
        <w:tabs>
          <w:tab w:val="num" w:leader="none" w:pos="1440"/>
        </w:tabs>
        <w:spacing/>
        <w:ind w:hanging="360" w:left="1440"/>
      </w:pPr>
      <w:rPr/>
      <w:start w:val="1"/>
      <w:suff w:val="tab"/>
    </w:lvl>
    <w:lvl w:ilvl="2">
      <w:isLgl w:val="false"/>
      <w:lvlJc w:val="right"/>
      <w:lvlText w:val="%3."/>
      <w:numFmt w:val="lowerRoman"/>
      <w:pPr>
        <w:pBdr/>
        <w:tabs>
          <w:tab w:val="num" w:leader="none" w:pos="2160"/>
        </w:tabs>
        <w:spacing/>
        <w:ind w:hanging="180" w:left="2160"/>
      </w:pPr>
      <w:rPr/>
      <w:start w:val="1"/>
      <w:suff w:val="tab"/>
    </w:lvl>
    <w:lvl w:ilvl="3">
      <w:isLgl w:val="false"/>
      <w:lvlJc w:val="left"/>
      <w:lvlText w:val="%4."/>
      <w:numFmt w:val="decimal"/>
      <w:pPr>
        <w:pBdr/>
        <w:tabs>
          <w:tab w:val="num" w:leader="none" w:pos="2880"/>
        </w:tabs>
        <w:spacing/>
        <w:ind w:hanging="360" w:left="2880"/>
      </w:pPr>
      <w:rPr/>
      <w:start w:val="1"/>
      <w:suff w:val="tab"/>
    </w:lvl>
    <w:lvl w:ilvl="4">
      <w:isLgl w:val="false"/>
      <w:lvlJc w:val="left"/>
      <w:lvlText w:val="%5."/>
      <w:numFmt w:val="lowerLetter"/>
      <w:pPr>
        <w:pBdr/>
        <w:tabs>
          <w:tab w:val="num" w:leader="none" w:pos="3600"/>
        </w:tabs>
        <w:spacing/>
        <w:ind w:hanging="360" w:left="3600"/>
      </w:pPr>
      <w:rPr/>
      <w:start w:val="1"/>
      <w:suff w:val="tab"/>
    </w:lvl>
    <w:lvl w:ilvl="5">
      <w:isLgl w:val="false"/>
      <w:lvlJc w:val="right"/>
      <w:lvlText w:val="%6."/>
      <w:numFmt w:val="lowerRoman"/>
      <w:pPr>
        <w:pBdr/>
        <w:tabs>
          <w:tab w:val="num" w:leader="none" w:pos="4320"/>
        </w:tabs>
        <w:spacing/>
        <w:ind w:hanging="180" w:left="4320"/>
      </w:pPr>
      <w:rPr/>
      <w:start w:val="1"/>
      <w:suff w:val="tab"/>
    </w:lvl>
    <w:lvl w:ilvl="6">
      <w:isLgl w:val="false"/>
      <w:lvlJc w:val="left"/>
      <w:lvlText w:val="%7."/>
      <w:numFmt w:val="decimal"/>
      <w:pPr>
        <w:pBdr/>
        <w:tabs>
          <w:tab w:val="num" w:leader="none" w:pos="5040"/>
        </w:tabs>
        <w:spacing/>
        <w:ind w:hanging="360" w:left="5040"/>
      </w:pPr>
      <w:rPr/>
      <w:start w:val="1"/>
      <w:suff w:val="tab"/>
    </w:lvl>
    <w:lvl w:ilvl="7">
      <w:isLgl w:val="false"/>
      <w:lvlJc w:val="left"/>
      <w:lvlText w:val="%8."/>
      <w:numFmt w:val="lowerLetter"/>
      <w:pPr>
        <w:pBdr/>
        <w:tabs>
          <w:tab w:val="num" w:leader="none" w:pos="5760"/>
        </w:tabs>
        <w:spacing/>
        <w:ind w:hanging="360" w:left="5760"/>
      </w:pPr>
      <w:rPr/>
      <w:start w:val="1"/>
      <w:suff w:val="tab"/>
    </w:lvl>
    <w:lvl w:ilvl="8">
      <w:isLgl w:val="false"/>
      <w:lvlJc w:val="right"/>
      <w:lvlText w:val="%9."/>
      <w:numFmt w:val="lowerRoman"/>
      <w:pPr>
        <w:pBdr/>
        <w:tabs>
          <w:tab w:val="num" w:leader="none" w:pos="6480"/>
        </w:tabs>
        <w:spacing/>
        <w:ind w:hanging="180" w:left="6480"/>
      </w:pPr>
      <w:rPr/>
      <w:start w:val="1"/>
      <w:suff w:val="tab"/>
    </w:lvl>
  </w:abstractNum>
  <w:abstractNum w:abstractNumId="21">
    <w:lvl w:ilvl="0">
      <w:isLgl w:val="false"/>
      <w:lvlJc w:val="left"/>
      <w:lvlText w:val=""/>
      <w:numFmt w:val="bullet"/>
      <w:pPr>
        <w:pBdr/>
        <w:tabs>
          <w:tab w:val="num" w:leader="none" w:pos="927"/>
        </w:tabs>
        <w:spacing/>
        <w:ind w:firstLine="567" w:left="0"/>
      </w:pPr>
      <w:pStyle w:val="12105"/>
      <w:rPr>
        <w:rFonts w:hint="default" w:ascii="Wingdings" w:hAnsi="Wingdings" w:cs="Wingdings"/>
      </w:rPr>
      <w:start w:val="1"/>
      <w:suff w:val="tab"/>
    </w:lvl>
    <w:lvl w:ilvl="1">
      <w:isLgl w:val="false"/>
      <w:lvlJc w:val="left"/>
      <w:lvlText w:val="o"/>
      <w:numFmt w:val="bullet"/>
      <w:pPr>
        <w:pBdr/>
        <w:tabs>
          <w:tab w:val="num" w:leader="none" w:pos="1440"/>
        </w:tabs>
        <w:spacing/>
        <w:ind w:hanging="360" w:left="1440"/>
      </w:pPr>
      <w:rPr>
        <w:rFonts w:hint="default" w:ascii="Courier New" w:hAnsi="Courier New" w:cs="Courier New"/>
      </w:rPr>
      <w:start w:val="1"/>
      <w:suff w:val="tab"/>
    </w:lvl>
    <w:lvl w:ilvl="2">
      <w:isLgl w:val="false"/>
      <w:lvlJc w:val="left"/>
      <w:lvlText w:val=""/>
      <w:numFmt w:val="bullet"/>
      <w:pPr>
        <w:pBdr/>
        <w:tabs>
          <w:tab w:val="num" w:leader="none" w:pos="2160"/>
        </w:tabs>
        <w:spacing/>
        <w:ind w:hanging="360" w:left="2160"/>
      </w:pPr>
      <w:rPr>
        <w:rFonts w:hint="default" w:ascii="Wingdings" w:hAnsi="Wingdings" w:cs="Wingdings"/>
      </w:rPr>
      <w:start w:val="1"/>
      <w:suff w:val="tab"/>
    </w:lvl>
    <w:lvl w:ilvl="3">
      <w:isLgl w:val="false"/>
      <w:lvlJc w:val="left"/>
      <w:lvlText w:val=""/>
      <w:numFmt w:val="bullet"/>
      <w:pPr>
        <w:pBdr/>
        <w:tabs>
          <w:tab w:val="num" w:leader="none" w:pos="2880"/>
        </w:tabs>
        <w:spacing/>
        <w:ind w:hanging="360" w:left="2880"/>
      </w:pPr>
      <w:rPr>
        <w:rFonts w:hint="default" w:ascii="Symbol" w:hAnsi="Symbol" w:cs="Symbol"/>
      </w:rPr>
      <w:start w:val="1"/>
      <w:suff w:val="tab"/>
    </w:lvl>
    <w:lvl w:ilvl="4">
      <w:isLgl w:val="false"/>
      <w:lvlJc w:val="left"/>
      <w:lvlText w:val="o"/>
      <w:numFmt w:val="bullet"/>
      <w:pPr>
        <w:pBdr/>
        <w:tabs>
          <w:tab w:val="num" w:leader="none" w:pos="3600"/>
        </w:tabs>
        <w:spacing/>
        <w:ind w:hanging="360" w:left="3600"/>
      </w:pPr>
      <w:rPr>
        <w:rFonts w:hint="default" w:ascii="Courier New" w:hAnsi="Courier New" w:cs="Courier New"/>
      </w:rPr>
      <w:start w:val="1"/>
      <w:suff w:val="tab"/>
    </w:lvl>
    <w:lvl w:ilvl="5">
      <w:isLgl w:val="false"/>
      <w:lvlJc w:val="left"/>
      <w:lvlText w:val=""/>
      <w:numFmt w:val="bullet"/>
      <w:pPr>
        <w:pBdr/>
        <w:tabs>
          <w:tab w:val="num" w:leader="none" w:pos="4320"/>
        </w:tabs>
        <w:spacing/>
        <w:ind w:hanging="360" w:left="4320"/>
      </w:pPr>
      <w:rPr>
        <w:rFonts w:hint="default" w:ascii="Wingdings" w:hAnsi="Wingdings" w:cs="Wingdings"/>
      </w:rPr>
      <w:start w:val="1"/>
      <w:suff w:val="tab"/>
    </w:lvl>
    <w:lvl w:ilvl="6">
      <w:isLgl w:val="false"/>
      <w:lvlJc w:val="left"/>
      <w:lvlText w:val=""/>
      <w:numFmt w:val="bullet"/>
      <w:pPr>
        <w:pBdr/>
        <w:tabs>
          <w:tab w:val="num" w:leader="none" w:pos="5040"/>
        </w:tabs>
        <w:spacing/>
        <w:ind w:hanging="360" w:left="5040"/>
      </w:pPr>
      <w:rPr>
        <w:rFonts w:hint="default" w:ascii="Symbol" w:hAnsi="Symbol" w:cs="Symbol"/>
      </w:rPr>
      <w:start w:val="1"/>
      <w:suff w:val="tab"/>
    </w:lvl>
    <w:lvl w:ilvl="7">
      <w:isLgl w:val="false"/>
      <w:lvlJc w:val="left"/>
      <w:lvlText w:val="o"/>
      <w:numFmt w:val="bullet"/>
      <w:pPr>
        <w:pBdr/>
        <w:tabs>
          <w:tab w:val="num" w:leader="none" w:pos="5760"/>
        </w:tabs>
        <w:spacing/>
        <w:ind w:hanging="360" w:left="5760"/>
      </w:pPr>
      <w:rPr>
        <w:rFonts w:hint="default" w:ascii="Courier New" w:hAnsi="Courier New" w:cs="Courier New"/>
      </w:rPr>
      <w:start w:val="1"/>
      <w:suff w:val="tab"/>
    </w:lvl>
    <w:lvl w:ilvl="8">
      <w:isLgl w:val="false"/>
      <w:lvlJc w:val="left"/>
      <w:lvlText w:val=""/>
      <w:numFmt w:val="bullet"/>
      <w:pPr>
        <w:pBdr/>
        <w:tabs>
          <w:tab w:val="num" w:leader="none" w:pos="6480"/>
        </w:tabs>
        <w:spacing/>
        <w:ind w:hanging="360" w:left="6480"/>
      </w:pPr>
      <w:rPr>
        <w:rFonts w:hint="default" w:ascii="Wingdings" w:hAnsi="Wingdings" w:cs="Wingdings"/>
      </w:rPr>
      <w:start w:val="1"/>
      <w:suff w:val="tab"/>
    </w:lvl>
  </w:abstractNum>
  <w:abstractNum w:abstractNumId="22">
    <w:lvl w:ilvl="0">
      <w:isLgl w:val="false"/>
      <w:lvlJc w:val="left"/>
      <w:lvlText w:val="Рис.%1."/>
      <w:numFmt w:val="decimal"/>
      <w:pPr>
        <w:pBdr/>
        <w:tabs>
          <w:tab w:val="num" w:leader="none" w:pos="1080"/>
        </w:tabs>
        <w:spacing/>
        <w:ind w:hanging="360" w:left="360"/>
      </w:pPr>
      <w:pStyle w:val="12106"/>
      <w:rPr>
        <w:rFonts w:ascii="Times New Roman" w:hAnsi="Times New Roman"/>
        <w:b/>
        <w:i w:val="0"/>
        <w:sz w:val="24"/>
        <w:szCs w:val="24"/>
      </w:rPr>
      <w:start w:val="1"/>
      <w:suff w:val="tab"/>
    </w:lvl>
    <w:lvl w:ilvl="1">
      <w:isLgl w:val="false"/>
      <w:lvlJc w:val="left"/>
      <w:lvlText w:val="%2."/>
      <w:numFmt w:val="lowerLetter"/>
      <w:pPr>
        <w:pBdr/>
        <w:tabs>
          <w:tab w:val="num" w:leader="none" w:pos="1440"/>
        </w:tabs>
        <w:spacing/>
        <w:ind w:hanging="360" w:left="1440"/>
      </w:pPr>
      <w:rPr/>
      <w:start w:val="1"/>
      <w:suff w:val="tab"/>
    </w:lvl>
    <w:lvl w:ilvl="2">
      <w:isLgl w:val="false"/>
      <w:lvlJc w:val="right"/>
      <w:lvlText w:val="%3."/>
      <w:numFmt w:val="lowerRoman"/>
      <w:pPr>
        <w:pBdr/>
        <w:tabs>
          <w:tab w:val="num" w:leader="none" w:pos="2160"/>
        </w:tabs>
        <w:spacing/>
        <w:ind w:hanging="180" w:left="2160"/>
      </w:pPr>
      <w:rPr/>
      <w:start w:val="1"/>
      <w:suff w:val="tab"/>
    </w:lvl>
    <w:lvl w:ilvl="3">
      <w:isLgl w:val="false"/>
      <w:lvlJc w:val="left"/>
      <w:lvlText w:val="%4."/>
      <w:numFmt w:val="decimal"/>
      <w:pPr>
        <w:pBdr/>
        <w:tabs>
          <w:tab w:val="num" w:leader="none" w:pos="2880"/>
        </w:tabs>
        <w:spacing/>
        <w:ind w:hanging="360" w:left="2880"/>
      </w:pPr>
      <w:rPr/>
      <w:start w:val="1"/>
      <w:suff w:val="tab"/>
    </w:lvl>
    <w:lvl w:ilvl="4">
      <w:isLgl w:val="false"/>
      <w:lvlJc w:val="left"/>
      <w:lvlText w:val="%5."/>
      <w:numFmt w:val="lowerLetter"/>
      <w:pPr>
        <w:pBdr/>
        <w:tabs>
          <w:tab w:val="num" w:leader="none" w:pos="3600"/>
        </w:tabs>
        <w:spacing/>
        <w:ind w:hanging="360" w:left="3600"/>
      </w:pPr>
      <w:rPr/>
      <w:start w:val="1"/>
      <w:suff w:val="tab"/>
    </w:lvl>
    <w:lvl w:ilvl="5">
      <w:isLgl w:val="false"/>
      <w:lvlJc w:val="right"/>
      <w:lvlText w:val="%6."/>
      <w:numFmt w:val="lowerRoman"/>
      <w:pPr>
        <w:pBdr/>
        <w:tabs>
          <w:tab w:val="num" w:leader="none" w:pos="4320"/>
        </w:tabs>
        <w:spacing/>
        <w:ind w:hanging="180" w:left="4320"/>
      </w:pPr>
      <w:rPr/>
      <w:start w:val="1"/>
      <w:suff w:val="tab"/>
    </w:lvl>
    <w:lvl w:ilvl="6">
      <w:isLgl w:val="false"/>
      <w:lvlJc w:val="left"/>
      <w:lvlText w:val="%7."/>
      <w:numFmt w:val="decimal"/>
      <w:pPr>
        <w:pBdr/>
        <w:tabs>
          <w:tab w:val="num" w:leader="none" w:pos="5040"/>
        </w:tabs>
        <w:spacing/>
        <w:ind w:hanging="360" w:left="5040"/>
      </w:pPr>
      <w:rPr/>
      <w:start w:val="1"/>
      <w:suff w:val="tab"/>
    </w:lvl>
    <w:lvl w:ilvl="7">
      <w:isLgl w:val="false"/>
      <w:lvlJc w:val="left"/>
      <w:lvlText w:val="%8."/>
      <w:numFmt w:val="lowerLetter"/>
      <w:pPr>
        <w:pBdr/>
        <w:tabs>
          <w:tab w:val="num" w:leader="none" w:pos="5760"/>
        </w:tabs>
        <w:spacing/>
        <w:ind w:hanging="360" w:left="5760"/>
      </w:pPr>
      <w:rPr/>
      <w:start w:val="1"/>
      <w:suff w:val="tab"/>
    </w:lvl>
    <w:lvl w:ilvl="8">
      <w:isLgl w:val="false"/>
      <w:lvlJc w:val="right"/>
      <w:lvlText w:val="%9."/>
      <w:numFmt w:val="lowerRoman"/>
      <w:pPr>
        <w:pBdr/>
        <w:tabs>
          <w:tab w:val="num" w:leader="none" w:pos="6480"/>
        </w:tabs>
        <w:spacing/>
        <w:ind w:hanging="180" w:left="6480"/>
      </w:pPr>
      <w:rPr/>
      <w:start w:val="1"/>
      <w:suff w:val="tab"/>
    </w:lvl>
  </w:abstractNum>
  <w:abstractNum w:abstractNumId="23">
    <w:lvl w:ilvl="0">
      <w:isLgl w:val="false"/>
      <w:lvlJc w:val="left"/>
      <w:lvlText w:val="Таблица %1."/>
      <w:numFmt w:val="decimal"/>
      <w:pPr>
        <w:pBdr/>
        <w:tabs>
          <w:tab w:val="num" w:leader="none" w:pos="1724"/>
        </w:tabs>
        <w:spacing/>
        <w:ind w:hanging="360" w:left="1724"/>
      </w:pPr>
      <w:rPr>
        <w:b/>
        <w:i w:val="0"/>
        <w:sz w:val="24"/>
        <w:szCs w:val="24"/>
      </w:rPr>
      <w:start w:val="1"/>
      <w:suff w:val="tab"/>
    </w:lvl>
    <w:lvl w:ilvl="1">
      <w:isLgl w:val="false"/>
      <w:lvlJc w:val="center"/>
      <w:lvlText w:val="Таблица %1.%2."/>
      <w:numFmt w:val="decimal"/>
      <w:pPr>
        <w:pBdr/>
        <w:tabs>
          <w:tab w:val="num" w:leader="none" w:pos="0"/>
        </w:tabs>
        <w:spacing/>
        <w:ind w:firstLine="288" w:left="-436"/>
      </w:pPr>
      <w:rPr>
        <w:rFonts w:ascii="Times New Roman" w:hAnsi="Times New Roman"/>
        <w:b/>
        <w:i w:val="0"/>
        <w:sz w:val="24"/>
        <w:szCs w:val="24"/>
      </w:rPr>
      <w:start w:val="1"/>
      <w:suff w:val="tab"/>
    </w:lvl>
    <w:lvl w:ilvl="2">
      <w:isLgl w:val="false"/>
      <w:lvlJc w:val="left"/>
      <w:lvlText w:val="%1.%2.%3."/>
      <w:numFmt w:val="decimal"/>
      <w:pPr>
        <w:pBdr/>
        <w:tabs>
          <w:tab w:val="num" w:leader="none" w:pos="2074"/>
        </w:tabs>
        <w:spacing/>
        <w:ind w:firstLine="0" w:left="2074"/>
      </w:pPr>
      <w:rPr/>
      <w:start w:val="1"/>
      <w:suff w:val="tab"/>
    </w:lvl>
    <w:lvl w:ilvl="3">
      <w:isLgl w:val="false"/>
      <w:lvlJc w:val="left"/>
      <w:lvlText w:val="%1.%2.%3.%4"/>
      <w:numFmt w:val="decimal"/>
      <w:pPr>
        <w:pBdr/>
        <w:tabs>
          <w:tab w:val="num" w:leader="none" w:pos="1364"/>
        </w:tabs>
        <w:spacing/>
        <w:ind w:firstLine="0" w:left="1364"/>
      </w:pPr>
      <w:rPr/>
      <w:start w:val="1"/>
      <w:suff w:val="tab"/>
    </w:lvl>
    <w:lvl w:ilvl="4">
      <w:isLgl w:val="false"/>
      <w:lvlJc w:val="left"/>
      <w:lvlText w:val="%1.%2.%3.%4.%5"/>
      <w:numFmt w:val="decimal"/>
      <w:pPr>
        <w:pBdr/>
        <w:tabs>
          <w:tab w:val="num" w:leader="none" w:pos="1364"/>
        </w:tabs>
        <w:spacing/>
        <w:ind w:firstLine="0" w:left="1364"/>
      </w:pPr>
      <w:rPr/>
      <w:start w:val="1"/>
      <w:suff w:val="tab"/>
    </w:lvl>
    <w:lvl w:ilvl="5">
      <w:isLgl w:val="false"/>
      <w:lvlJc w:val="left"/>
      <w:lvlText w:val="%1.%2.%3.%4.%5.%6"/>
      <w:numFmt w:val="decimal"/>
      <w:pPr>
        <w:pBdr/>
        <w:tabs>
          <w:tab w:val="num" w:leader="none" w:pos="1364"/>
        </w:tabs>
        <w:spacing/>
        <w:ind w:firstLine="0" w:left="1364"/>
      </w:pPr>
      <w:rPr/>
      <w:start w:val="1"/>
      <w:suff w:val="tab"/>
    </w:lvl>
    <w:lvl w:ilvl="6">
      <w:isLgl w:val="false"/>
      <w:lvlJc w:val="left"/>
      <w:lvlText w:val="%1.%2.%3.%4.%5.%6.%7"/>
      <w:numFmt w:val="decimal"/>
      <w:pPr>
        <w:pBdr/>
        <w:tabs>
          <w:tab w:val="num" w:leader="none" w:pos="1364"/>
        </w:tabs>
        <w:spacing/>
        <w:ind w:firstLine="0" w:left="1364"/>
      </w:pPr>
      <w:rPr/>
      <w:start w:val="1"/>
      <w:suff w:val="tab"/>
    </w:lvl>
    <w:lvl w:ilvl="7">
      <w:isLgl w:val="false"/>
      <w:lvlJc w:val="left"/>
      <w:lvlText w:val="%1.%2.%3.%4.%5.%6.%7.%8"/>
      <w:numFmt w:val="decimal"/>
      <w:pPr>
        <w:pBdr/>
        <w:tabs>
          <w:tab w:val="num" w:leader="none" w:pos="1364"/>
        </w:tabs>
        <w:spacing/>
        <w:ind w:firstLine="0" w:left="1364"/>
      </w:pPr>
      <w:rPr/>
      <w:start w:val="1"/>
      <w:suff w:val="tab"/>
    </w:lvl>
    <w:lvl w:ilvl="8">
      <w:isLgl w:val="false"/>
      <w:lvlJc w:val="left"/>
      <w:lvlText w:val="%1.%2.%3.%4.%5.%6.%7.%8.%9"/>
      <w:numFmt w:val="decimal"/>
      <w:pPr>
        <w:pBdr/>
        <w:tabs>
          <w:tab w:val="num" w:leader="none" w:pos="1364"/>
        </w:tabs>
        <w:spacing/>
        <w:ind w:firstLine="0" w:left="1364"/>
      </w:pPr>
      <w:rPr/>
      <w:start w:val="1"/>
      <w:suff w:val="tab"/>
    </w:lvl>
  </w:abstractNum>
  <w:abstractNum w:abstractNumId="24">
    <w:lvl w:ilvl="0">
      <w:isLgl w:val="false"/>
      <w:lvlJc w:val="left"/>
      <w:lvlText w:val="%1."/>
      <w:numFmt w:val="decimal"/>
      <w:pPr>
        <w:pBdr/>
        <w:tabs>
          <w:tab w:val="num" w:leader="none" w:pos="360"/>
        </w:tabs>
        <w:spacing/>
        <w:ind w:hanging="360" w:left="360"/>
      </w:pPr>
      <w:rPr/>
      <w:start w:val="1"/>
      <w:suff w:val="tab"/>
    </w:lvl>
    <w:lvl w:ilvl="1">
      <w:isLgl w:val="false"/>
      <w:lvlJc w:val="left"/>
      <w:lvlText w:val="%1.%2."/>
      <w:numFmt w:val="decimal"/>
      <w:pPr>
        <w:pBdr/>
        <w:tabs>
          <w:tab w:val="num" w:leader="none" w:pos="720"/>
        </w:tabs>
        <w:spacing/>
        <w:ind w:hanging="720" w:left="720"/>
      </w:pPr>
      <w:rPr/>
      <w:start w:val="1"/>
      <w:suff w:val="tab"/>
    </w:lvl>
    <w:lvl w:ilvl="2">
      <w:isLgl w:val="false"/>
      <w:lvlJc w:val="left"/>
      <w:lvlText w:val="%1.%2.%3."/>
      <w:numFmt w:val="decimal"/>
      <w:pPr>
        <w:pBdr/>
        <w:tabs>
          <w:tab w:val="num" w:leader="none" w:pos="720"/>
        </w:tabs>
        <w:spacing/>
        <w:ind w:hanging="720" w:left="720"/>
      </w:pPr>
      <w:rPr>
        <w:b w:val="0"/>
      </w:rPr>
      <w:start w:val="1"/>
      <w:suff w:val="tab"/>
    </w:lvl>
    <w:lvl w:ilvl="3">
      <w:isLgl w:val="false"/>
      <w:lvlJc w:val="left"/>
      <w:lvlText w:val="%1.%2.%3.%4."/>
      <w:numFmt w:val="decimal"/>
      <w:pPr>
        <w:pBdr/>
        <w:tabs>
          <w:tab w:val="num" w:leader="none" w:pos="1080"/>
        </w:tabs>
        <w:spacing/>
        <w:ind w:hanging="1080" w:left="1080"/>
      </w:pPr>
      <w:rPr/>
      <w:start w:val="1"/>
      <w:suff w:val="tab"/>
    </w:lvl>
    <w:lvl w:ilvl="4">
      <w:isLgl w:val="false"/>
      <w:lvlJc w:val="left"/>
      <w:lvlText w:val="%1.%2.%3.%4.%5."/>
      <w:numFmt w:val="decimal"/>
      <w:pPr>
        <w:pBdr/>
        <w:tabs>
          <w:tab w:val="num" w:leader="none" w:pos="1080"/>
        </w:tabs>
        <w:spacing/>
        <w:ind w:hanging="1080" w:left="1080"/>
      </w:pPr>
      <w:rPr/>
      <w:start w:val="1"/>
      <w:suff w:val="tab"/>
    </w:lvl>
    <w:lvl w:ilvl="5">
      <w:isLgl w:val="false"/>
      <w:lvlJc w:val="left"/>
      <w:lvlText w:val="%1.%2.%3.%4.%5.%6."/>
      <w:numFmt w:val="decimal"/>
      <w:pPr>
        <w:pBdr/>
        <w:tabs>
          <w:tab w:val="num" w:leader="none" w:pos="1440"/>
        </w:tabs>
        <w:spacing/>
        <w:ind w:hanging="1440" w:left="1440"/>
      </w:pPr>
      <w:rPr/>
      <w:start w:val="1"/>
      <w:suff w:val="tab"/>
    </w:lvl>
    <w:lvl w:ilvl="6">
      <w:isLgl w:val="false"/>
      <w:lvlJc w:val="left"/>
      <w:lvlText w:val="%1.%2.%3.%4.%5.%6.%7."/>
      <w:numFmt w:val="decimal"/>
      <w:pPr>
        <w:pBdr/>
        <w:tabs>
          <w:tab w:val="num" w:leader="none" w:pos="1440"/>
        </w:tabs>
        <w:spacing/>
        <w:ind w:hanging="1440" w:left="1440"/>
      </w:pPr>
      <w:rPr/>
      <w:start w:val="1"/>
      <w:suff w:val="tab"/>
    </w:lvl>
    <w:lvl w:ilvl="7">
      <w:isLgl w:val="false"/>
      <w:lvlJc w:val="left"/>
      <w:lvlText w:val="%1.%2.%3.%4.%5.%6.%7.%8."/>
      <w:numFmt w:val="decimal"/>
      <w:pPr>
        <w:pBdr/>
        <w:tabs>
          <w:tab w:val="num" w:leader="none" w:pos="1800"/>
        </w:tabs>
        <w:spacing/>
        <w:ind w:hanging="1800" w:left="1800"/>
      </w:pPr>
      <w:rPr/>
      <w:start w:val="1"/>
      <w:suff w:val="tab"/>
    </w:lvl>
    <w:lvl w:ilvl="8">
      <w:isLgl w:val="false"/>
      <w:lvlJc w:val="left"/>
      <w:lvlText w:val="%1.%2.%3.%4.%5.%6.%7.%8.%9."/>
      <w:numFmt w:val="decimal"/>
      <w:pPr>
        <w:pBdr/>
        <w:tabs>
          <w:tab w:val="num" w:leader="none" w:pos="1800"/>
        </w:tabs>
        <w:spacing/>
        <w:ind w:hanging="1800" w:left="1800"/>
      </w:pPr>
      <w:rPr/>
      <w:start w:val="1"/>
      <w:suff w:val="tab"/>
    </w:lvl>
  </w:abstractNum>
  <w:abstractNum w:abstractNumId="25">
    <w:lvl w:ilvl="0">
      <w:isLgl w:val="false"/>
      <w:lvlJc w:val="left"/>
      <w:lvlText w:val="%1."/>
      <w:numFmt w:val="decimal"/>
      <w:pPr>
        <w:pBdr/>
        <w:tabs>
          <w:tab w:val="num" w:leader="none" w:pos="1440"/>
        </w:tabs>
        <w:spacing/>
        <w:ind w:hanging="360" w:left="1440"/>
      </w:pPr>
      <w:pStyle w:val="12119"/>
      <w:rPr>
        <w:rFonts w:ascii="Times New Roman" w:hAnsi="Times New Roman"/>
        <w:b/>
        <w:i w:val="0"/>
        <w:sz w:val="24"/>
        <w:szCs w:val="24"/>
      </w:rPr>
      <w:start w:val="1"/>
      <w:suff w:val="tab"/>
    </w:lvl>
    <w:lvl w:ilvl="1">
      <w:isLgl w:val="false"/>
      <w:lvlJc w:val="left"/>
      <w:lvlText w:val=""/>
      <w:numFmt w:val="none"/>
      <w:pPr>
        <w:pBdr/>
        <w:tabs>
          <w:tab w:val="num" w:leader="none" w:pos="360"/>
        </w:tabs>
        <w:spacing/>
        <w:ind w:firstLine="0" w:left="0"/>
      </w:pPr>
      <w:rPr/>
      <w:start w:val="0"/>
      <w:suff w:val="nothing"/>
    </w:lvl>
    <w:lvl w:ilvl="2">
      <w:isLgl w:val="false"/>
      <w:lvlJc w:val="left"/>
      <w:lvlText w:val=""/>
      <w:numFmt w:val="none"/>
      <w:pPr>
        <w:pBdr/>
        <w:tabs>
          <w:tab w:val="num" w:leader="none" w:pos="360"/>
        </w:tabs>
        <w:spacing/>
        <w:ind w:firstLine="0" w:left="0"/>
      </w:pPr>
      <w:rPr/>
      <w:start w:val="0"/>
      <w:suff w:val="nothing"/>
    </w:lvl>
    <w:lvl w:ilvl="3">
      <w:isLgl w:val="false"/>
      <w:lvlJc w:val="left"/>
      <w:lvlText w:val=""/>
      <w:numFmt w:val="none"/>
      <w:pPr>
        <w:pBdr/>
        <w:tabs>
          <w:tab w:val="num" w:leader="none" w:pos="360"/>
        </w:tabs>
        <w:spacing/>
        <w:ind w:firstLine="0" w:left="0"/>
      </w:pPr>
      <w:rPr/>
      <w:start w:val="0"/>
      <w:suff w:val="nothing"/>
    </w:lvl>
    <w:lvl w:ilvl="4">
      <w:isLgl w:val="false"/>
      <w:lvlJc w:val="left"/>
      <w:lvlText w:val=""/>
      <w:numFmt w:val="none"/>
      <w:pPr>
        <w:pBdr/>
        <w:tabs>
          <w:tab w:val="num" w:leader="none" w:pos="360"/>
        </w:tabs>
        <w:spacing/>
        <w:ind w:firstLine="0" w:left="0"/>
      </w:pPr>
      <w:rPr/>
      <w:start w:val="0"/>
      <w:suff w:val="nothing"/>
    </w:lvl>
    <w:lvl w:ilvl="5">
      <w:isLgl w:val="false"/>
      <w:lvlJc w:val="left"/>
      <w:lvlText w:val=""/>
      <w:numFmt w:val="none"/>
      <w:pPr>
        <w:pBdr/>
        <w:tabs>
          <w:tab w:val="num" w:leader="none" w:pos="360"/>
        </w:tabs>
        <w:spacing/>
        <w:ind w:firstLine="0" w:left="0"/>
      </w:pPr>
      <w:rPr/>
      <w:start w:val="0"/>
      <w:suff w:val="nothing"/>
    </w:lvl>
    <w:lvl w:ilvl="6">
      <w:isLgl w:val="false"/>
      <w:lvlJc w:val="left"/>
      <w:lvlText w:val=""/>
      <w:numFmt w:val="none"/>
      <w:pPr>
        <w:pBdr/>
        <w:tabs>
          <w:tab w:val="num" w:leader="none" w:pos="360"/>
        </w:tabs>
        <w:spacing/>
        <w:ind w:firstLine="0" w:left="0"/>
      </w:pPr>
      <w:rPr/>
      <w:start w:val="0"/>
      <w:suff w:val="nothing"/>
    </w:lvl>
    <w:lvl w:ilvl="7">
      <w:isLgl w:val="false"/>
      <w:lvlJc w:val="left"/>
      <w:lvlText w:val=""/>
      <w:numFmt w:val="none"/>
      <w:pPr>
        <w:pBdr/>
        <w:tabs>
          <w:tab w:val="num" w:leader="none" w:pos="360"/>
        </w:tabs>
        <w:spacing/>
        <w:ind w:firstLine="0" w:left="0"/>
      </w:pPr>
      <w:rPr/>
      <w:start w:val="0"/>
      <w:suff w:val="nothing"/>
    </w:lvl>
    <w:lvl w:ilvl="8">
      <w:isLgl w:val="false"/>
      <w:lvlJc w:val="left"/>
      <w:lvlText w:val=""/>
      <w:numFmt w:val="none"/>
      <w:pPr>
        <w:pBdr/>
        <w:tabs>
          <w:tab w:val="num" w:leader="none" w:pos="360"/>
        </w:tabs>
        <w:spacing/>
        <w:ind w:firstLine="0" w:left="0"/>
      </w:pPr>
      <w:rPr/>
      <w:start w:val="0"/>
      <w:suff w:val="nothing"/>
    </w:lvl>
  </w:abstractNum>
  <w:abstractNum w:abstractNumId="26">
    <w:lvl w:ilvl="0">
      <w:isLgl w:val="false"/>
      <w:lvlJc w:val="left"/>
      <w:lvlText w:val="Таблица %1. "/>
      <w:numFmt w:val="decimal"/>
      <w:pPr>
        <w:pBdr/>
        <w:tabs>
          <w:tab w:val="num" w:leader="none" w:pos="0"/>
        </w:tabs>
        <w:spacing/>
        <w:ind w:hanging="360" w:left="2628"/>
      </w:pPr>
      <w:pStyle w:val="12280"/>
      <w:rPr>
        <w:rFonts w:ascii="Times New Roman" w:hAnsi="Times New Roman" w:cs="Times New Roman"/>
        <w:b w:val="0"/>
        <w:bCs w:val="0"/>
        <w:i w:val="0"/>
        <w:iCs w:val="0"/>
        <w:caps w:val="0"/>
        <w:smallCaps w:val="0"/>
        <w:strike w:val="0"/>
        <w:vanish w:val="0"/>
        <w:color w:val="000000"/>
        <w:spacing w:val="0"/>
        <w:position w:val="0"/>
        <w:sz w:val="24"/>
        <w:szCs w:val="24"/>
        <w:u w:val="none"/>
        <w:vertAlign w:val="baseline"/>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27">
    <w:lvl w:ilvl="0">
      <w:isLgl w:val="false"/>
      <w:lvlJc w:val="left"/>
      <w:lvlText w:val="Рис. %1. "/>
      <w:numFmt w:val="decimal"/>
      <w:pPr>
        <w:pBdr/>
        <w:tabs>
          <w:tab w:val="num" w:leader="none" w:pos="0"/>
        </w:tabs>
        <w:spacing/>
        <w:ind w:hanging="360" w:left="5039"/>
      </w:pPr>
      <w:pStyle w:val="12281"/>
      <w:rPr>
        <w:rFonts w:ascii="Times New Roman" w:hAnsi="Times New Roman" w:cs="Times New Roman"/>
        <w:b w:val="0"/>
        <w:bCs w:val="0"/>
        <w:i w:val="0"/>
        <w:iCs w:val="0"/>
        <w:caps w:val="0"/>
        <w:smallCaps w:val="0"/>
        <w:strike w:val="0"/>
        <w:vanish w:val="0"/>
        <w:color w:val="000000"/>
        <w:spacing w:val="0"/>
        <w:position w:val="0"/>
        <w:sz w:val="24"/>
        <w:szCs w:val="24"/>
        <w:u w:val="none"/>
        <w:vertAlign w:val="baseline"/>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28">
    <w:lvl w:ilvl="0">
      <w:isLgl w:val="false"/>
      <w:lvlJc w:val="left"/>
      <w:lvlText w:val=""/>
      <w:numFmt w:val="bullet"/>
      <w:pPr>
        <w:pBdr/>
        <w:tabs>
          <w:tab w:val="num" w:leader="none" w:pos="0"/>
        </w:tabs>
        <w:spacing/>
        <w:ind w:hanging="360" w:left="1522"/>
      </w:pPr>
      <w:pStyle w:val="12283"/>
      <w:rPr>
        <w:rFonts w:hint="default" w:ascii="Symbol" w:hAnsi="Symbol" w:cs="Symbol"/>
      </w:rPr>
      <w:start w:val="0"/>
      <w:suff w:val="tab"/>
    </w:lvl>
    <w:lvl w:ilvl="1">
      <w:isLgl w:val="false"/>
      <w:lvlJc w:val="left"/>
      <w:lvlText w:val="o"/>
      <w:numFmt w:val="bullet"/>
      <w:pPr>
        <w:pBdr/>
        <w:tabs>
          <w:tab w:val="num" w:leader="none" w:pos="0"/>
        </w:tabs>
        <w:spacing/>
        <w:ind w:hanging="360" w:left="2242"/>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962"/>
      </w:pPr>
      <w:rPr>
        <w:rFonts w:hint="default" w:ascii="Wingdings" w:hAnsi="Wingdings" w:cs="Wingdings"/>
      </w:rPr>
      <w:start w:val="1"/>
      <w:suff w:val="tab"/>
    </w:lvl>
    <w:lvl w:ilvl="3">
      <w:isLgl w:val="false"/>
      <w:lvlJc w:val="left"/>
      <w:lvlText w:val=""/>
      <w:numFmt w:val="bullet"/>
      <w:pPr>
        <w:pBdr/>
        <w:tabs>
          <w:tab w:val="num" w:leader="none" w:pos="0"/>
        </w:tabs>
        <w:spacing/>
        <w:ind w:hanging="360" w:left="3682"/>
      </w:pPr>
      <w:rPr>
        <w:rFonts w:hint="default" w:ascii="Symbol" w:hAnsi="Symbol" w:cs="Symbol"/>
      </w:rPr>
      <w:start w:val="1"/>
      <w:suff w:val="tab"/>
    </w:lvl>
    <w:lvl w:ilvl="4">
      <w:isLgl w:val="false"/>
      <w:lvlJc w:val="left"/>
      <w:lvlText w:val="o"/>
      <w:numFmt w:val="bullet"/>
      <w:pPr>
        <w:pBdr/>
        <w:tabs>
          <w:tab w:val="num" w:leader="none" w:pos="0"/>
        </w:tabs>
        <w:spacing/>
        <w:ind w:hanging="360" w:left="4402"/>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122"/>
      </w:pPr>
      <w:rPr>
        <w:rFonts w:hint="default" w:ascii="Wingdings" w:hAnsi="Wingdings" w:cs="Wingdings"/>
      </w:rPr>
      <w:start w:val="1"/>
      <w:suff w:val="tab"/>
    </w:lvl>
    <w:lvl w:ilvl="6">
      <w:isLgl w:val="false"/>
      <w:lvlJc w:val="left"/>
      <w:lvlText w:val=""/>
      <w:numFmt w:val="bullet"/>
      <w:pPr>
        <w:pBdr/>
        <w:tabs>
          <w:tab w:val="num" w:leader="none" w:pos="0"/>
        </w:tabs>
        <w:spacing/>
        <w:ind w:hanging="360" w:left="5842"/>
      </w:pPr>
      <w:rPr>
        <w:rFonts w:hint="default" w:ascii="Symbol" w:hAnsi="Symbol" w:cs="Symbol"/>
      </w:rPr>
      <w:start w:val="1"/>
      <w:suff w:val="tab"/>
    </w:lvl>
    <w:lvl w:ilvl="7">
      <w:isLgl w:val="false"/>
      <w:lvlJc w:val="left"/>
      <w:lvlText w:val="o"/>
      <w:numFmt w:val="bullet"/>
      <w:pPr>
        <w:pBdr/>
        <w:tabs>
          <w:tab w:val="num" w:leader="none" w:pos="0"/>
        </w:tabs>
        <w:spacing/>
        <w:ind w:hanging="360" w:left="6562"/>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282"/>
      </w:pPr>
      <w:rPr>
        <w:rFonts w:hint="default" w:ascii="Wingdings" w:hAnsi="Wingdings" w:cs="Wingdings"/>
      </w:rPr>
      <w:start w:val="1"/>
      <w:suff w:val="tab"/>
    </w:lvl>
  </w:abstractNum>
  <w:abstractNum w:abstractNumId="29">
    <w:lvl w:ilvl="0">
      <w:isLgl w:val="false"/>
      <w:lvlJc w:val="left"/>
      <w:lvlText w:val="Таблица %1."/>
      <w:numFmt w:val="decimal"/>
      <w:pPr>
        <w:pBdr/>
        <w:tabs>
          <w:tab w:val="num" w:leader="none" w:pos="0"/>
        </w:tabs>
        <w:spacing/>
        <w:ind w:hanging="360" w:left="1353"/>
      </w:pPr>
      <w:pStyle w:val="12363"/>
      <w:rPr>
        <w:sz w:val="22"/>
        <w:szCs w:val="22"/>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30">
    <w:lvl w:ilvl="0">
      <w:isLgl w:val="false"/>
      <w:lvlJc w:val="left"/>
      <w:lvlText w:val="Рисунок %1."/>
      <w:numFmt w:val="decimal"/>
      <w:pPr>
        <w:pBdr/>
        <w:tabs>
          <w:tab w:val="num" w:leader="none" w:pos="0"/>
        </w:tabs>
        <w:spacing/>
        <w:ind w:hanging="360" w:left="1287"/>
      </w:pPr>
      <w:pStyle w:val="12367"/>
      <w:rPr>
        <w:color w:val="auto"/>
        <w:sz w:val="22"/>
      </w:rPr>
      <w:start w:val="1"/>
      <w:suff w:val="tab"/>
    </w:lvl>
    <w:lvl w:ilvl="1">
      <w:isLgl w:val="false"/>
      <w:lvlJc w:val="left"/>
      <w:lvlText w:val="%2."/>
      <w:numFmt w:val="lowerLetter"/>
      <w:pPr>
        <w:pBdr/>
        <w:tabs>
          <w:tab w:val="num" w:leader="none" w:pos="0"/>
        </w:tabs>
        <w:spacing/>
        <w:ind w:hanging="360" w:left="2007"/>
      </w:pPr>
      <w:rPr/>
      <w:start w:val="1"/>
      <w:suff w:val="tab"/>
    </w:lvl>
    <w:lvl w:ilvl="2">
      <w:isLgl w:val="false"/>
      <w:lvlJc w:val="right"/>
      <w:lvlText w:val="%3."/>
      <w:numFmt w:val="lowerRoman"/>
      <w:pPr>
        <w:pBdr/>
        <w:tabs>
          <w:tab w:val="num" w:leader="none" w:pos="0"/>
        </w:tabs>
        <w:spacing/>
        <w:ind w:hanging="180" w:left="2727"/>
      </w:pPr>
      <w:rPr/>
      <w:start w:val="1"/>
      <w:suff w:val="tab"/>
    </w:lvl>
    <w:lvl w:ilvl="3">
      <w:isLgl w:val="false"/>
      <w:lvlJc w:val="left"/>
      <w:lvlText w:val="%4."/>
      <w:numFmt w:val="decimal"/>
      <w:pPr>
        <w:pBdr/>
        <w:tabs>
          <w:tab w:val="num" w:leader="none" w:pos="0"/>
        </w:tabs>
        <w:spacing/>
        <w:ind w:hanging="360" w:left="3447"/>
      </w:pPr>
      <w:rPr/>
      <w:start w:val="1"/>
      <w:suff w:val="tab"/>
    </w:lvl>
    <w:lvl w:ilvl="4">
      <w:isLgl w:val="false"/>
      <w:lvlJc w:val="left"/>
      <w:lvlText w:val="%5."/>
      <w:numFmt w:val="lowerLetter"/>
      <w:pPr>
        <w:pBdr/>
        <w:tabs>
          <w:tab w:val="num" w:leader="none" w:pos="0"/>
        </w:tabs>
        <w:spacing/>
        <w:ind w:hanging="360" w:left="4167"/>
      </w:pPr>
      <w:rPr/>
      <w:start w:val="1"/>
      <w:suff w:val="tab"/>
    </w:lvl>
    <w:lvl w:ilvl="5">
      <w:isLgl w:val="false"/>
      <w:lvlJc w:val="right"/>
      <w:lvlText w:val="%6."/>
      <w:numFmt w:val="lowerRoman"/>
      <w:pPr>
        <w:pBdr/>
        <w:tabs>
          <w:tab w:val="num" w:leader="none" w:pos="0"/>
        </w:tabs>
        <w:spacing/>
        <w:ind w:hanging="180" w:left="4887"/>
      </w:pPr>
      <w:rPr/>
      <w:start w:val="1"/>
      <w:suff w:val="tab"/>
    </w:lvl>
    <w:lvl w:ilvl="6">
      <w:isLgl w:val="false"/>
      <w:lvlJc w:val="left"/>
      <w:lvlText w:val="%7."/>
      <w:numFmt w:val="decimal"/>
      <w:pPr>
        <w:pBdr/>
        <w:tabs>
          <w:tab w:val="num" w:leader="none" w:pos="0"/>
        </w:tabs>
        <w:spacing/>
        <w:ind w:hanging="360" w:left="5607"/>
      </w:pPr>
      <w:rPr/>
      <w:start w:val="1"/>
      <w:suff w:val="tab"/>
    </w:lvl>
    <w:lvl w:ilvl="7">
      <w:isLgl w:val="false"/>
      <w:lvlJc w:val="left"/>
      <w:lvlText w:val="%8."/>
      <w:numFmt w:val="lowerLetter"/>
      <w:pPr>
        <w:pBdr/>
        <w:tabs>
          <w:tab w:val="num" w:leader="none" w:pos="0"/>
        </w:tabs>
        <w:spacing/>
        <w:ind w:hanging="360" w:left="6327"/>
      </w:pPr>
      <w:rPr/>
      <w:start w:val="1"/>
      <w:suff w:val="tab"/>
    </w:lvl>
    <w:lvl w:ilvl="8">
      <w:isLgl w:val="false"/>
      <w:lvlJc w:val="right"/>
      <w:lvlText w:val="%9."/>
      <w:numFmt w:val="lowerRoman"/>
      <w:pPr>
        <w:pBdr/>
        <w:tabs>
          <w:tab w:val="num" w:leader="none" w:pos="0"/>
        </w:tabs>
        <w:spacing/>
        <w:ind w:hanging="180" w:left="7047"/>
      </w:pPr>
      <w:rPr/>
      <w:start w:val="1"/>
      <w:suff w:val="tab"/>
    </w:lvl>
  </w:abstractNum>
  <w:abstractNum w:abstractNumId="31">
    <w:lvl w:ilvl="0">
      <w:isLgl w:val="false"/>
      <w:lvlJc w:val="left"/>
      <w:lvlText w:val="–"/>
      <w:numFmt w:val="bullet"/>
      <w:pPr>
        <w:pBdr/>
        <w:tabs>
          <w:tab w:val="num" w:leader="none" w:pos="0"/>
        </w:tabs>
        <w:spacing/>
        <w:ind w:hanging="209" w:left="162"/>
      </w:pPr>
      <w:rPr>
        <w:rFonts w:hint="default" w:ascii="Arial" w:hAnsi="Arial" w:cs="Arial"/>
        <w:b/>
        <w:bCs/>
        <w:sz w:val="24"/>
        <w:szCs w:val="24"/>
      </w:rPr>
      <w:start w:val="1"/>
      <w:suff w:val="tab"/>
    </w:lvl>
    <w:lvl w:ilvl="1">
      <w:isLgl w:val="false"/>
      <w:lvlJc w:val="left"/>
      <w:lvlText w:val=""/>
      <w:numFmt w:val="bullet"/>
      <w:pPr>
        <w:pBdr/>
        <w:tabs>
          <w:tab w:val="num" w:leader="none" w:pos="0"/>
        </w:tabs>
        <w:spacing/>
        <w:ind w:hanging="209" w:left="1112"/>
      </w:pPr>
      <w:rPr>
        <w:rFonts w:hint="default" w:ascii="Symbol" w:hAnsi="Symbol" w:cs="Symbol"/>
      </w:rPr>
      <w:start w:val="1"/>
      <w:suff w:val="tab"/>
    </w:lvl>
    <w:lvl w:ilvl="2">
      <w:isLgl w:val="false"/>
      <w:lvlJc w:val="left"/>
      <w:lvlText w:val=""/>
      <w:numFmt w:val="bullet"/>
      <w:pPr>
        <w:pBdr/>
        <w:tabs>
          <w:tab w:val="num" w:leader="none" w:pos="0"/>
        </w:tabs>
        <w:spacing/>
        <w:ind w:hanging="209" w:left="2065"/>
      </w:pPr>
      <w:rPr>
        <w:rFonts w:hint="default" w:ascii="Symbol" w:hAnsi="Symbol" w:cs="Symbol"/>
      </w:rPr>
      <w:start w:val="1"/>
      <w:suff w:val="tab"/>
    </w:lvl>
    <w:lvl w:ilvl="3">
      <w:isLgl w:val="false"/>
      <w:lvlJc w:val="left"/>
      <w:lvlText w:val=""/>
      <w:numFmt w:val="bullet"/>
      <w:pPr>
        <w:pBdr/>
        <w:tabs>
          <w:tab w:val="num" w:leader="none" w:pos="0"/>
        </w:tabs>
        <w:spacing/>
        <w:ind w:hanging="209" w:left="3017"/>
      </w:pPr>
      <w:rPr>
        <w:rFonts w:hint="default" w:ascii="Symbol" w:hAnsi="Symbol" w:cs="Symbol"/>
      </w:rPr>
      <w:start w:val="1"/>
      <w:suff w:val="tab"/>
    </w:lvl>
    <w:lvl w:ilvl="4">
      <w:isLgl w:val="false"/>
      <w:lvlJc w:val="left"/>
      <w:lvlText w:val=""/>
      <w:numFmt w:val="bullet"/>
      <w:pPr>
        <w:pBdr/>
        <w:tabs>
          <w:tab w:val="num" w:leader="none" w:pos="0"/>
        </w:tabs>
        <w:spacing/>
        <w:ind w:hanging="209" w:left="3970"/>
      </w:pPr>
      <w:rPr>
        <w:rFonts w:hint="default" w:ascii="Symbol" w:hAnsi="Symbol" w:cs="Symbol"/>
      </w:rPr>
      <w:start w:val="1"/>
      <w:suff w:val="tab"/>
    </w:lvl>
    <w:lvl w:ilvl="5">
      <w:isLgl w:val="false"/>
      <w:lvlJc w:val="left"/>
      <w:lvlText w:val=""/>
      <w:numFmt w:val="bullet"/>
      <w:pPr>
        <w:pBdr/>
        <w:tabs>
          <w:tab w:val="num" w:leader="none" w:pos="0"/>
        </w:tabs>
        <w:spacing/>
        <w:ind w:hanging="209" w:left="4923"/>
      </w:pPr>
      <w:rPr>
        <w:rFonts w:hint="default" w:ascii="Symbol" w:hAnsi="Symbol" w:cs="Symbol"/>
      </w:rPr>
      <w:start w:val="1"/>
      <w:suff w:val="tab"/>
    </w:lvl>
    <w:lvl w:ilvl="6">
      <w:isLgl w:val="false"/>
      <w:lvlJc w:val="left"/>
      <w:lvlText w:val=""/>
      <w:numFmt w:val="bullet"/>
      <w:pPr>
        <w:pBdr/>
        <w:tabs>
          <w:tab w:val="num" w:leader="none" w:pos="0"/>
        </w:tabs>
        <w:spacing/>
        <w:ind w:hanging="209" w:left="5875"/>
      </w:pPr>
      <w:rPr>
        <w:rFonts w:hint="default" w:ascii="Symbol" w:hAnsi="Symbol" w:cs="Symbol"/>
      </w:rPr>
      <w:start w:val="1"/>
      <w:suff w:val="tab"/>
    </w:lvl>
    <w:lvl w:ilvl="7">
      <w:isLgl w:val="false"/>
      <w:lvlJc w:val="left"/>
      <w:lvlText w:val=""/>
      <w:numFmt w:val="bullet"/>
      <w:pPr>
        <w:pBdr/>
        <w:tabs>
          <w:tab w:val="num" w:leader="none" w:pos="0"/>
        </w:tabs>
        <w:spacing/>
        <w:ind w:hanging="209" w:left="6828"/>
      </w:pPr>
      <w:rPr>
        <w:rFonts w:hint="default" w:ascii="Symbol" w:hAnsi="Symbol" w:cs="Symbol"/>
      </w:rPr>
      <w:start w:val="1"/>
      <w:suff w:val="tab"/>
    </w:lvl>
    <w:lvl w:ilvl="8">
      <w:isLgl w:val="false"/>
      <w:lvlJc w:val="left"/>
      <w:lvlText w:val=""/>
      <w:numFmt w:val="bullet"/>
      <w:pPr>
        <w:pBdr/>
        <w:tabs>
          <w:tab w:val="num" w:leader="none" w:pos="0"/>
        </w:tabs>
        <w:spacing/>
        <w:ind w:hanging="209" w:left="7781"/>
      </w:pPr>
      <w:rPr>
        <w:rFonts w:hint="default" w:ascii="Symbol" w:hAnsi="Symbol" w:cs="Symbol"/>
      </w:rPr>
      <w:start w:val="1"/>
      <w:suff w:val="tab"/>
    </w:lvl>
  </w:abstractNum>
  <w:abstractNum w:abstractNumId="32">
    <w:lvl w:ilvl="0">
      <w:isLgl w:val="false"/>
      <w:lvlJc w:val="left"/>
      <w:lvlText w:val="%1."/>
      <w:numFmt w:val="decimal"/>
      <w:pPr>
        <w:pBdr/>
        <w:tabs>
          <w:tab w:val="num" w:leader="none" w:pos="720"/>
        </w:tabs>
        <w:spacing/>
        <w:ind w:hanging="720" w:left="720"/>
      </w:pPr>
      <w:pStyle w:val="12438"/>
      <w:rPr/>
      <w:start w:val="1"/>
      <w:suff w:val="tab"/>
    </w:lvl>
    <w:lvl w:ilvl="1">
      <w:isLgl w:val="false"/>
      <w:lvlJc w:val="left"/>
      <w:lvlText w:val="%2."/>
      <w:numFmt w:val="decimal"/>
      <w:pPr>
        <w:pBdr/>
        <w:tabs>
          <w:tab w:val="num" w:leader="none" w:pos="1440"/>
        </w:tabs>
        <w:spacing/>
        <w:ind w:hanging="720" w:left="1440"/>
      </w:pPr>
      <w:rPr/>
      <w:start w:val="1"/>
      <w:suff w:val="tab"/>
    </w:lvl>
    <w:lvl w:ilvl="2">
      <w:isLgl w:val="false"/>
      <w:lvlJc w:val="left"/>
      <w:lvlText w:val="%3."/>
      <w:numFmt w:val="decimal"/>
      <w:pPr>
        <w:pBdr/>
        <w:tabs>
          <w:tab w:val="num" w:leader="none" w:pos="2160"/>
        </w:tabs>
        <w:spacing/>
        <w:ind w:hanging="720" w:left="2160"/>
      </w:pPr>
      <w:rPr/>
      <w:start w:val="1"/>
      <w:suff w:val="tab"/>
    </w:lvl>
    <w:lvl w:ilvl="3">
      <w:isLgl w:val="false"/>
      <w:lvlJc w:val="left"/>
      <w:lvlText w:val="%4."/>
      <w:numFmt w:val="decimal"/>
      <w:pPr>
        <w:pBdr/>
        <w:tabs>
          <w:tab w:val="num" w:leader="none" w:pos="2880"/>
        </w:tabs>
        <w:spacing/>
        <w:ind w:hanging="720" w:left="2880"/>
      </w:pPr>
      <w:rPr/>
      <w:start w:val="1"/>
      <w:suff w:val="tab"/>
    </w:lvl>
    <w:lvl w:ilvl="4">
      <w:isLgl w:val="false"/>
      <w:lvlJc w:val="left"/>
      <w:lvlText w:val="%5."/>
      <w:numFmt w:val="decimal"/>
      <w:pPr>
        <w:pBdr/>
        <w:tabs>
          <w:tab w:val="num" w:leader="none" w:pos="3600"/>
        </w:tabs>
        <w:spacing/>
        <w:ind w:hanging="720" w:left="3600"/>
      </w:pPr>
      <w:rPr/>
      <w:start w:val="1"/>
      <w:suff w:val="tab"/>
    </w:lvl>
    <w:lvl w:ilvl="5">
      <w:isLgl w:val="false"/>
      <w:lvlJc w:val="left"/>
      <w:lvlText w:val="%6."/>
      <w:numFmt w:val="decimal"/>
      <w:pPr>
        <w:pBdr/>
        <w:tabs>
          <w:tab w:val="num" w:leader="none" w:pos="4320"/>
        </w:tabs>
        <w:spacing/>
        <w:ind w:hanging="720" w:left="4320"/>
      </w:pPr>
      <w:rPr/>
      <w:start w:val="1"/>
      <w:suff w:val="tab"/>
    </w:lvl>
    <w:lvl w:ilvl="6">
      <w:isLgl w:val="false"/>
      <w:lvlJc w:val="left"/>
      <w:lvlText w:val="%7."/>
      <w:numFmt w:val="decimal"/>
      <w:pPr>
        <w:pBdr/>
        <w:tabs>
          <w:tab w:val="num" w:leader="none" w:pos="5040"/>
        </w:tabs>
        <w:spacing/>
        <w:ind w:hanging="720" w:left="5040"/>
      </w:pPr>
      <w:rPr/>
      <w:start w:val="1"/>
      <w:suff w:val="tab"/>
    </w:lvl>
    <w:lvl w:ilvl="7">
      <w:isLgl w:val="false"/>
      <w:lvlJc w:val="left"/>
      <w:lvlText w:val="%8."/>
      <w:numFmt w:val="decimal"/>
      <w:pPr>
        <w:pBdr/>
        <w:tabs>
          <w:tab w:val="num" w:leader="none" w:pos="5760"/>
        </w:tabs>
        <w:spacing/>
        <w:ind w:hanging="720" w:left="5760"/>
      </w:pPr>
      <w:rPr/>
      <w:start w:val="1"/>
      <w:suff w:val="tab"/>
    </w:lvl>
    <w:lvl w:ilvl="8">
      <w:isLgl w:val="false"/>
      <w:lvlJc w:val="left"/>
      <w:lvlText w:val="%9."/>
      <w:numFmt w:val="decimal"/>
      <w:pPr>
        <w:pBdr/>
        <w:tabs>
          <w:tab w:val="num" w:leader="none" w:pos="6480"/>
        </w:tabs>
        <w:spacing/>
        <w:ind w:hanging="720" w:left="6480"/>
      </w:pPr>
      <w:rPr/>
      <w:start w:val="1"/>
      <w:suff w:val="tab"/>
    </w:lvl>
  </w:abstractNum>
  <w:abstractNum w:abstractNumId="33">
    <w:lvl w:ilvl="0">
      <w:isLgl w:val="false"/>
      <w:lvlJc w:val="left"/>
      <w:lvlText w:val="%1."/>
      <w:numFmt w:val="decimal"/>
      <w:pPr>
        <w:pBdr/>
        <w:tabs>
          <w:tab w:val="num" w:leader="none" w:pos="0"/>
        </w:tabs>
        <w:spacing/>
        <w:ind w:hanging="360" w:left="360"/>
      </w:pPr>
      <w:pStyle w:val="12490"/>
      <w:rPr/>
      <w:start w:val="1"/>
      <w:suff w:val="tab"/>
    </w:lvl>
    <w:lvl w:ilvl="1">
      <w:isLgl w:val="false"/>
      <w:lvlJc w:val="left"/>
      <w:lvlText w:val="6.%2."/>
      <w:numFmt w:val="decimal"/>
      <w:pPr>
        <w:pBdr/>
        <w:tabs>
          <w:tab w:val="num" w:leader="none" w:pos="0"/>
        </w:tabs>
        <w:spacing/>
        <w:ind w:hanging="432" w:left="792"/>
      </w:pPr>
      <w:rPr/>
      <w:start w:val="1"/>
      <w:suff w:val="tab"/>
    </w:lvl>
    <w:lvl w:ilvl="2">
      <w:isLgl w:val="false"/>
      <w:lvlJc w:val="left"/>
      <w:lvlText w:val="%1.%2.%3."/>
      <w:numFmt w:val="decimal"/>
      <w:pPr>
        <w:pBdr/>
        <w:tabs>
          <w:tab w:val="num" w:leader="none" w:pos="0"/>
        </w:tabs>
        <w:spacing/>
        <w:ind w:hanging="504" w:left="1224"/>
      </w:pPr>
      <w:rPr/>
      <w:start w:val="1"/>
      <w:suff w:val="tab"/>
    </w:lvl>
    <w:lvl w:ilvl="3">
      <w:isLgl w:val="false"/>
      <w:lvlJc w:val="left"/>
      <w:lvlText w:val="%1.%2.%3.%4."/>
      <w:numFmt w:val="decimal"/>
      <w:pPr>
        <w:pBdr/>
        <w:tabs>
          <w:tab w:val="num" w:leader="none" w:pos="0"/>
        </w:tabs>
        <w:spacing/>
        <w:ind w:hanging="648" w:left="1728"/>
      </w:pPr>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4">
    <w:lvl w:ilvl="0">
      <w:isLgl w:val="false"/>
      <w:lvlJc w:val="left"/>
      <w:lvlText w:val="Таблица %1."/>
      <w:numFmt w:val="decimal"/>
      <w:pPr>
        <w:pBdr/>
        <w:tabs>
          <w:tab w:val="num" w:leader="none" w:pos="0"/>
        </w:tabs>
        <w:spacing/>
        <w:ind w:hanging="360" w:left="5039"/>
      </w:pPr>
      <w:pStyle w:val="12483"/>
      <w:rPr>
        <w:rFonts w:ascii="Times New Roman" w:hAnsi="Times New Roman" w:cs="Times New Roman"/>
        <w:b w:val="0"/>
        <w:bCs w:val="0"/>
        <w:i w:val="0"/>
        <w:iCs w:val="0"/>
        <w:caps w:val="0"/>
        <w:smallCaps w:val="0"/>
        <w:strike w:val="0"/>
        <w:vanish w:val="0"/>
        <w:color w:val="000000"/>
        <w:spacing w:val="0"/>
        <w:position w:val="0"/>
        <w:sz w:val="0"/>
        <w:szCs w:val="0"/>
        <w:u w:val="none"/>
        <w:shd w:val="clear" w:color="auto" w:fill="000000"/>
        <w:vertAlign w:val="baseline"/>
      </w:rPr>
      <w:start w:val="1"/>
      <w:suff w:val="tab"/>
    </w:lvl>
    <w:lvl w:ilvl="1">
      <w:isLgl w:val="false"/>
      <w:lvlJc w:val="left"/>
      <w:lvlText w:val="%2."/>
      <w:numFmt w:val="lowerLetter"/>
      <w:pPr>
        <w:pBdr/>
        <w:tabs>
          <w:tab w:val="num" w:leader="none" w:pos="0"/>
        </w:tabs>
        <w:spacing/>
        <w:ind w:hanging="360" w:left="2160"/>
      </w:pPr>
      <w:rPr/>
      <w:start w:val="1"/>
      <w:suff w:val="tab"/>
    </w:lvl>
    <w:lvl w:ilvl="2">
      <w:isLgl w:val="false"/>
      <w:lvlJc w:val="right"/>
      <w:lvlText w:val="%3."/>
      <w:numFmt w:val="lowerRoman"/>
      <w:pPr>
        <w:pBdr/>
        <w:tabs>
          <w:tab w:val="num" w:leader="none" w:pos="0"/>
        </w:tabs>
        <w:spacing/>
        <w:ind w:hanging="180" w:left="2880"/>
      </w:pPr>
      <w:rPr/>
      <w:start w:val="1"/>
      <w:suff w:val="tab"/>
    </w:lvl>
    <w:lvl w:ilvl="3">
      <w:isLgl w:val="false"/>
      <w:lvlJc w:val="left"/>
      <w:lvlText w:val="%4."/>
      <w:numFmt w:val="decimal"/>
      <w:pPr>
        <w:pBdr/>
        <w:tabs>
          <w:tab w:val="num" w:leader="none" w:pos="0"/>
        </w:tabs>
        <w:spacing/>
        <w:ind w:hanging="360" w:left="3600"/>
      </w:pPr>
      <w:rPr/>
      <w:start w:val="1"/>
      <w:suff w:val="tab"/>
    </w:lvl>
    <w:lvl w:ilvl="4">
      <w:isLgl w:val="false"/>
      <w:lvlJc w:val="left"/>
      <w:lvlText w:val="%5."/>
      <w:numFmt w:val="lowerLetter"/>
      <w:pPr>
        <w:pBdr/>
        <w:tabs>
          <w:tab w:val="num" w:leader="none" w:pos="0"/>
        </w:tabs>
        <w:spacing/>
        <w:ind w:hanging="360" w:left="4320"/>
      </w:pPr>
      <w:rPr/>
      <w:start w:val="1"/>
      <w:suff w:val="tab"/>
    </w:lvl>
    <w:lvl w:ilvl="5">
      <w:isLgl w:val="false"/>
      <w:lvlJc w:val="right"/>
      <w:lvlText w:val="%6."/>
      <w:numFmt w:val="lowerRoman"/>
      <w:pPr>
        <w:pBdr/>
        <w:tabs>
          <w:tab w:val="num" w:leader="none" w:pos="0"/>
        </w:tabs>
        <w:spacing/>
        <w:ind w:hanging="180" w:left="5040"/>
      </w:pPr>
      <w:rPr/>
      <w:start w:val="1"/>
      <w:suff w:val="tab"/>
    </w:lvl>
    <w:lvl w:ilvl="6">
      <w:isLgl w:val="false"/>
      <w:lvlJc w:val="left"/>
      <w:lvlText w:val="%7."/>
      <w:numFmt w:val="decimal"/>
      <w:pPr>
        <w:pBdr/>
        <w:tabs>
          <w:tab w:val="num" w:leader="none" w:pos="0"/>
        </w:tabs>
        <w:spacing/>
        <w:ind w:hanging="360" w:left="5760"/>
      </w:pPr>
      <w:rPr/>
      <w:start w:val="1"/>
      <w:suff w:val="tab"/>
    </w:lvl>
    <w:lvl w:ilvl="7">
      <w:isLgl w:val="false"/>
      <w:lvlJc w:val="left"/>
      <w:lvlText w:val="%8."/>
      <w:numFmt w:val="lowerLetter"/>
      <w:pPr>
        <w:pBdr/>
        <w:tabs>
          <w:tab w:val="num" w:leader="none" w:pos="0"/>
        </w:tabs>
        <w:spacing/>
        <w:ind w:hanging="360" w:left="6480"/>
      </w:pPr>
      <w:rPr/>
      <w:start w:val="1"/>
      <w:suff w:val="tab"/>
    </w:lvl>
    <w:lvl w:ilvl="8">
      <w:isLgl w:val="false"/>
      <w:lvlJc w:val="right"/>
      <w:lvlText w:val="%9."/>
      <w:numFmt w:val="lowerRoman"/>
      <w:pPr>
        <w:pBdr/>
        <w:tabs>
          <w:tab w:val="num" w:leader="none" w:pos="0"/>
        </w:tabs>
        <w:spacing/>
        <w:ind w:hanging="180" w:left="7200"/>
      </w:pPr>
      <w:rPr/>
      <w:start w:val="1"/>
      <w:suff w:val="tab"/>
    </w:lvl>
  </w:abstractNum>
  <w:abstractNum w:abstractNumId="35">
    <w:lvl w:ilvl="0">
      <w:isLgl w:val="false"/>
      <w:lvlJc w:val="left"/>
      <w:lvlText w:val="%1."/>
      <w:numFmt w:val="decimal"/>
      <w:pPr>
        <w:pBdr/>
        <w:tabs>
          <w:tab w:val="num" w:leader="none" w:pos="0"/>
        </w:tabs>
        <w:spacing/>
        <w:ind w:hanging="360" w:left="1440"/>
      </w:pPr>
      <w:pStyle w:val="12491"/>
      <w:rPr/>
      <w:start w:val="1"/>
      <w:suff w:val="tab"/>
    </w:lvl>
    <w:lvl w:ilvl="1">
      <w:isLgl w:val="false"/>
      <w:lvlJc w:val="left"/>
      <w:lvlText w:val="o"/>
      <w:numFmt w:val="bullet"/>
      <w:pPr>
        <w:pBdr/>
        <w:tabs>
          <w:tab w:val="num" w:leader="none" w:pos="0"/>
        </w:tabs>
        <w:spacing/>
        <w:ind w:hanging="360" w:left="2160"/>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880"/>
      </w:pPr>
      <w:rPr>
        <w:rFonts w:hint="default" w:ascii="Wingdings" w:hAnsi="Wingdings" w:cs="Wingdings"/>
      </w:rPr>
      <w:start w:val="1"/>
      <w:suff w:val="tab"/>
    </w:lvl>
    <w:lvl w:ilvl="3">
      <w:isLgl w:val="false"/>
      <w:lvlJc w:val="left"/>
      <w:lvlText w:val=""/>
      <w:numFmt w:val="bullet"/>
      <w:pPr>
        <w:pBdr/>
        <w:tabs>
          <w:tab w:val="num" w:leader="none" w:pos="0"/>
        </w:tabs>
        <w:spacing/>
        <w:ind w:hanging="360" w:left="3600"/>
      </w:pPr>
      <w:rPr>
        <w:rFonts w:hint="default" w:ascii="Symbol" w:hAnsi="Symbol" w:cs="Symbol"/>
      </w:rPr>
      <w:start w:val="1"/>
      <w:suff w:val="tab"/>
    </w:lvl>
    <w:lvl w:ilvl="4">
      <w:isLgl w:val="false"/>
      <w:lvlJc w:val="left"/>
      <w:lvlText w:val="o"/>
      <w:numFmt w:val="bullet"/>
      <w:pPr>
        <w:pBdr/>
        <w:tabs>
          <w:tab w:val="num" w:leader="none" w:pos="0"/>
        </w:tabs>
        <w:spacing/>
        <w:ind w:hanging="360" w:left="4320"/>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040"/>
      </w:pPr>
      <w:rPr>
        <w:rFonts w:hint="default" w:ascii="Wingdings" w:hAnsi="Wingdings" w:cs="Wingdings"/>
      </w:rPr>
      <w:start w:val="1"/>
      <w:suff w:val="tab"/>
    </w:lvl>
    <w:lvl w:ilvl="6">
      <w:isLgl w:val="false"/>
      <w:lvlJc w:val="left"/>
      <w:lvlText w:val=""/>
      <w:numFmt w:val="bullet"/>
      <w:pPr>
        <w:pBdr/>
        <w:tabs>
          <w:tab w:val="num" w:leader="none" w:pos="0"/>
        </w:tabs>
        <w:spacing/>
        <w:ind w:hanging="360" w:left="5760"/>
      </w:pPr>
      <w:rPr>
        <w:rFonts w:hint="default" w:ascii="Symbol" w:hAnsi="Symbol" w:cs="Symbol"/>
      </w:rPr>
      <w:start w:val="1"/>
      <w:suff w:val="tab"/>
    </w:lvl>
    <w:lvl w:ilvl="7">
      <w:isLgl w:val="false"/>
      <w:lvlJc w:val="left"/>
      <w:lvlText w:val="o"/>
      <w:numFmt w:val="bullet"/>
      <w:pPr>
        <w:pBdr/>
        <w:tabs>
          <w:tab w:val="num" w:leader="none" w:pos="0"/>
        </w:tabs>
        <w:spacing/>
        <w:ind w:hanging="360" w:left="6480"/>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200"/>
      </w:pPr>
      <w:rPr>
        <w:rFonts w:hint="default" w:ascii="Wingdings" w:hAnsi="Wingdings" w:cs="Wingdings"/>
      </w:rPr>
      <w:start w:val="1"/>
      <w:suff w:val="tab"/>
    </w:lvl>
  </w:abstractNum>
  <w:abstractNum w:abstractNumId="36">
    <w:lvl w:ilvl="0">
      <w:isLgl w:val="false"/>
      <w:lvlJc w:val="left"/>
      <w:lvlText w:val="%1."/>
      <w:numFmt w:val="decimal"/>
      <w:pPr>
        <w:pBdr/>
        <w:tabs>
          <w:tab w:val="num" w:leader="none" w:pos="0"/>
        </w:tabs>
        <w:spacing/>
        <w:ind w:hanging="360" w:left="360"/>
      </w:pPr>
      <w:pStyle w:val="12499"/>
      <w:rPr/>
      <w:start w:val="1"/>
      <w:suff w:val="tab"/>
    </w:lvl>
    <w:lvl w:ilvl="1">
      <w:isLgl w:val="false"/>
      <w:lvlJc w:val="left"/>
      <w:lvlText w:val="%1.%2."/>
      <w:numFmt w:val="decimal"/>
      <w:pPr>
        <w:pBdr/>
        <w:tabs>
          <w:tab w:val="num" w:leader="none" w:pos="0"/>
        </w:tabs>
        <w:spacing/>
        <w:ind w:hanging="432" w:left="792"/>
      </w:pPr>
      <w:rPr/>
      <w:start w:val="1"/>
      <w:suff w:val="tab"/>
    </w:lvl>
    <w:lvl w:ilvl="2">
      <w:isLgl w:val="false"/>
      <w:lvlJc w:val="left"/>
      <w:lvlText w:val="%1.%2.%3."/>
      <w:numFmt w:val="decimal"/>
      <w:pPr>
        <w:pBdr/>
        <w:tabs>
          <w:tab w:val="num" w:leader="none" w:pos="0"/>
        </w:tabs>
        <w:spacing/>
        <w:ind w:hanging="504" w:left="1224"/>
      </w:pPr>
      <w:rPr/>
      <w:start w:val="1"/>
      <w:suff w:val="tab"/>
    </w:lvl>
    <w:lvl w:ilvl="3">
      <w:isLgl w:val="false"/>
      <w:lvlJc w:val="left"/>
      <w:lvlText w:val="%1.%2.%3.%4."/>
      <w:numFmt w:val="decimal"/>
      <w:pPr>
        <w:pBdr/>
        <w:tabs>
          <w:tab w:val="num" w:leader="none" w:pos="0"/>
        </w:tabs>
        <w:spacing/>
        <w:ind w:hanging="648" w:left="1728"/>
      </w:pPr>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37">
    <w:lvl w:ilvl="0">
      <w:isLgl w:val="false"/>
      <w:lvlJc w:val="left"/>
      <w:lvlText w:val="%1)"/>
      <w:numFmt w:val="decimal"/>
      <w:pPr>
        <w:pBdr/>
        <w:tabs>
          <w:tab w:val="num" w:leader="none" w:pos="0"/>
        </w:tabs>
        <w:spacing/>
        <w:ind w:hanging="1170" w:left="1890"/>
      </w:pPr>
      <w:pStyle w:val="12501"/>
      <w:rPr/>
      <w:start w:val="1"/>
      <w:suff w:val="tab"/>
    </w:lvl>
    <w:lvl w:ilvl="1">
      <w:isLgl w:val="false"/>
      <w:lvlJc w:val="left"/>
      <w:lvlText w:val="%2."/>
      <w:numFmt w:val="lowerLetter"/>
      <w:pPr>
        <w:pBdr/>
        <w:tabs>
          <w:tab w:val="num" w:leader="none" w:pos="0"/>
        </w:tabs>
        <w:spacing/>
        <w:ind w:hanging="360" w:left="1800"/>
      </w:pPr>
      <w:rPr/>
      <w:start w:val="1"/>
      <w:suff w:val="tab"/>
    </w:lvl>
    <w:lvl w:ilvl="2">
      <w:isLgl w:val="false"/>
      <w:lvlJc w:val="right"/>
      <w:lvlText w:val="%3."/>
      <w:numFmt w:val="lowerRoman"/>
      <w:pPr>
        <w:pBdr/>
        <w:tabs>
          <w:tab w:val="num" w:leader="none" w:pos="0"/>
        </w:tabs>
        <w:spacing/>
        <w:ind w:hanging="180" w:left="2520"/>
      </w:pPr>
      <w:rPr/>
      <w:start w:val="1"/>
      <w:suff w:val="tab"/>
    </w:lvl>
    <w:lvl w:ilvl="3">
      <w:isLgl w:val="false"/>
      <w:lvlJc w:val="left"/>
      <w:lvlText w:val="%4."/>
      <w:numFmt w:val="decimal"/>
      <w:pPr>
        <w:pBdr/>
        <w:tabs>
          <w:tab w:val="num" w:leader="none" w:pos="0"/>
        </w:tabs>
        <w:spacing/>
        <w:ind w:hanging="360" w:left="3240"/>
      </w:pPr>
      <w:rPr/>
      <w:start w:val="1"/>
      <w:suff w:val="tab"/>
    </w:lvl>
    <w:lvl w:ilvl="4">
      <w:isLgl w:val="false"/>
      <w:lvlJc w:val="left"/>
      <w:lvlText w:val="%5."/>
      <w:numFmt w:val="lowerLetter"/>
      <w:pPr>
        <w:pBdr/>
        <w:tabs>
          <w:tab w:val="num" w:leader="none" w:pos="0"/>
        </w:tabs>
        <w:spacing/>
        <w:ind w:hanging="360" w:left="3960"/>
      </w:pPr>
      <w:rPr/>
      <w:start w:val="1"/>
      <w:suff w:val="tab"/>
    </w:lvl>
    <w:lvl w:ilvl="5">
      <w:isLgl w:val="false"/>
      <w:lvlJc w:val="right"/>
      <w:lvlText w:val="%6."/>
      <w:numFmt w:val="lowerRoman"/>
      <w:pPr>
        <w:pBdr/>
        <w:tabs>
          <w:tab w:val="num" w:leader="none" w:pos="0"/>
        </w:tabs>
        <w:spacing/>
        <w:ind w:hanging="180" w:left="4680"/>
      </w:pPr>
      <w:rPr/>
      <w:start w:val="1"/>
      <w:suff w:val="tab"/>
    </w:lvl>
    <w:lvl w:ilvl="6">
      <w:isLgl w:val="false"/>
      <w:lvlJc w:val="left"/>
      <w:lvlText w:val="%7."/>
      <w:numFmt w:val="decimal"/>
      <w:pPr>
        <w:pBdr/>
        <w:tabs>
          <w:tab w:val="num" w:leader="none" w:pos="0"/>
        </w:tabs>
        <w:spacing/>
        <w:ind w:hanging="360" w:left="5400"/>
      </w:pPr>
      <w:rPr/>
      <w:start w:val="1"/>
      <w:suff w:val="tab"/>
    </w:lvl>
    <w:lvl w:ilvl="7">
      <w:isLgl w:val="false"/>
      <w:lvlJc w:val="left"/>
      <w:lvlText w:val="%8."/>
      <w:numFmt w:val="lowerLetter"/>
      <w:pPr>
        <w:pBdr/>
        <w:tabs>
          <w:tab w:val="num" w:leader="none" w:pos="0"/>
        </w:tabs>
        <w:spacing/>
        <w:ind w:hanging="360" w:left="6120"/>
      </w:pPr>
      <w:rPr/>
      <w:start w:val="1"/>
      <w:suff w:val="tab"/>
    </w:lvl>
    <w:lvl w:ilvl="8">
      <w:isLgl w:val="false"/>
      <w:lvlJc w:val="right"/>
      <w:lvlText w:val="%9."/>
      <w:numFmt w:val="lowerRoman"/>
      <w:pPr>
        <w:pBdr/>
        <w:tabs>
          <w:tab w:val="num" w:leader="none" w:pos="0"/>
        </w:tabs>
        <w:spacing/>
        <w:ind w:hanging="180" w:left="6840"/>
      </w:pPr>
      <w:rPr/>
      <w:start w:val="1"/>
      <w:suff w:val="tab"/>
    </w:lvl>
  </w:abstractNum>
  <w:abstractNum w:abstractNumId="38">
    <w:lvl w:ilvl="0">
      <w:isLgl w:val="false"/>
      <w:lvlJc w:val="left"/>
      <w:lvlText w:val=""/>
      <w:numFmt w:val="bullet"/>
      <w:pPr>
        <w:pBdr/>
        <w:tabs>
          <w:tab w:val="num" w:leader="none" w:pos="0"/>
        </w:tabs>
        <w:spacing/>
        <w:ind w:hanging="360" w:left="827"/>
      </w:pPr>
      <w:rPr>
        <w:rFonts w:hint="default" w:ascii="Symbol" w:hAnsi="Symbol" w:cs="Symbol"/>
      </w:rPr>
      <w:start w:val="1"/>
      <w:suff w:val="tab"/>
    </w:lvl>
    <w:lvl w:ilvl="1">
      <w:isLgl w:val="false"/>
      <w:lvlJc w:val="left"/>
      <w:lvlText w:val="o"/>
      <w:numFmt w:val="bullet"/>
      <w:pPr>
        <w:pBdr/>
        <w:tabs>
          <w:tab w:val="num" w:leader="none" w:pos="0"/>
        </w:tabs>
        <w:spacing/>
        <w:ind w:hanging="360" w:left="1547"/>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267"/>
      </w:pPr>
      <w:rPr>
        <w:rFonts w:hint="default" w:ascii="Wingdings" w:hAnsi="Wingdings" w:cs="Wingdings"/>
      </w:rPr>
      <w:start w:val="1"/>
      <w:suff w:val="tab"/>
    </w:lvl>
    <w:lvl w:ilvl="3">
      <w:isLgl w:val="false"/>
      <w:lvlJc w:val="left"/>
      <w:lvlText w:val=""/>
      <w:numFmt w:val="bullet"/>
      <w:pPr>
        <w:pBdr/>
        <w:tabs>
          <w:tab w:val="num" w:leader="none" w:pos="0"/>
        </w:tabs>
        <w:spacing/>
        <w:ind w:hanging="360" w:left="2987"/>
      </w:pPr>
      <w:rPr>
        <w:rFonts w:hint="default" w:ascii="Symbol" w:hAnsi="Symbol" w:cs="Symbol"/>
      </w:rPr>
      <w:start w:val="1"/>
      <w:suff w:val="tab"/>
    </w:lvl>
    <w:lvl w:ilvl="4">
      <w:isLgl w:val="false"/>
      <w:lvlJc w:val="left"/>
      <w:lvlText w:val="o"/>
      <w:numFmt w:val="bullet"/>
      <w:pPr>
        <w:pBdr/>
        <w:tabs>
          <w:tab w:val="num" w:leader="none" w:pos="0"/>
        </w:tabs>
        <w:spacing/>
        <w:ind w:hanging="360" w:left="3707"/>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4427"/>
      </w:pPr>
      <w:rPr>
        <w:rFonts w:hint="default" w:ascii="Wingdings" w:hAnsi="Wingdings" w:cs="Wingdings"/>
      </w:rPr>
      <w:start w:val="1"/>
      <w:suff w:val="tab"/>
    </w:lvl>
    <w:lvl w:ilvl="6">
      <w:isLgl w:val="false"/>
      <w:lvlJc w:val="left"/>
      <w:lvlText w:val=""/>
      <w:numFmt w:val="bullet"/>
      <w:pPr>
        <w:pBdr/>
        <w:tabs>
          <w:tab w:val="num" w:leader="none" w:pos="0"/>
        </w:tabs>
        <w:spacing/>
        <w:ind w:hanging="360" w:left="5147"/>
      </w:pPr>
      <w:rPr>
        <w:rFonts w:hint="default" w:ascii="Symbol" w:hAnsi="Symbol" w:cs="Symbol"/>
      </w:rPr>
      <w:start w:val="1"/>
      <w:suff w:val="tab"/>
    </w:lvl>
    <w:lvl w:ilvl="7">
      <w:isLgl w:val="false"/>
      <w:lvlJc w:val="left"/>
      <w:lvlText w:val="o"/>
      <w:numFmt w:val="bullet"/>
      <w:pPr>
        <w:pBdr/>
        <w:tabs>
          <w:tab w:val="num" w:leader="none" w:pos="0"/>
        </w:tabs>
        <w:spacing/>
        <w:ind w:hanging="360" w:left="5867"/>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6587"/>
      </w:pPr>
      <w:rPr>
        <w:rFonts w:hint="default" w:ascii="Wingdings" w:hAnsi="Wingdings" w:cs="Wingdings"/>
      </w:rPr>
      <w:start w:val="1"/>
      <w:suff w:val="tab"/>
    </w:lvl>
  </w:abstractNum>
  <w:abstractNum w:abstractNumId="39">
    <w:lvl w:ilvl="0">
      <w:isLgl w:val="false"/>
      <w:lvlJc w:val="left"/>
      <w:lvlText w:val="Таблица %1. "/>
      <w:numFmt w:val="decimal"/>
      <w:pPr>
        <w:pBdr/>
        <w:tabs>
          <w:tab w:val="num" w:leader="none" w:pos="2291"/>
        </w:tabs>
        <w:spacing/>
        <w:ind w:firstLine="794" w:left="57"/>
      </w:pPr>
      <w:pStyle w:val="12612"/>
      <w:rPr>
        <w:rFonts w:ascii="Times New Roman" w:hAnsi="Times New Roman" w:cs="Times New Roman"/>
        <w:b/>
        <w:i w:val="0"/>
        <w:caps w:val="0"/>
        <w:smallCaps w:val="0"/>
        <w:strike w:val="0"/>
        <w:vanish w:val="0"/>
        <w:color w:val="000000"/>
        <w:position w:val="0"/>
        <w:sz w:val="24"/>
        <w:szCs w:val="24"/>
        <w:vertAlign w:val="baseline"/>
      </w:rPr>
      <w:start w:val="1"/>
      <w:suff w:val="tab"/>
    </w:lvl>
    <w:lvl w:ilvl="1">
      <w:isLgl w:val="false"/>
      <w:lvlJc w:val="left"/>
      <w:lvlText w:val="%2."/>
      <w:numFmt w:val="lowerLetter"/>
      <w:pPr>
        <w:pBdr/>
        <w:tabs>
          <w:tab w:val="num" w:leader="none" w:pos="1440"/>
        </w:tabs>
        <w:spacing/>
        <w:ind w:hanging="360" w:left="1440"/>
      </w:pPr>
      <w:rPr/>
      <w:start w:val="1"/>
      <w:suff w:val="tab"/>
    </w:lvl>
    <w:lvl w:ilvl="2">
      <w:isLgl w:val="false"/>
      <w:lvlJc w:val="right"/>
      <w:lvlText w:val="%3."/>
      <w:numFmt w:val="lowerRoman"/>
      <w:pPr>
        <w:pBdr/>
        <w:tabs>
          <w:tab w:val="num" w:leader="none" w:pos="2160"/>
        </w:tabs>
        <w:spacing/>
        <w:ind w:hanging="180" w:left="2160"/>
      </w:pPr>
      <w:rPr/>
      <w:start w:val="1"/>
      <w:suff w:val="tab"/>
    </w:lvl>
    <w:lvl w:ilvl="3">
      <w:isLgl w:val="false"/>
      <w:lvlJc w:val="left"/>
      <w:lvlText w:val="%4."/>
      <w:numFmt w:val="decimal"/>
      <w:pPr>
        <w:pBdr/>
        <w:tabs>
          <w:tab w:val="num" w:leader="none" w:pos="2880"/>
        </w:tabs>
        <w:spacing/>
        <w:ind w:hanging="360" w:left="2880"/>
      </w:pPr>
      <w:rPr/>
      <w:start w:val="1"/>
      <w:suff w:val="tab"/>
    </w:lvl>
    <w:lvl w:ilvl="4">
      <w:isLgl w:val="false"/>
      <w:lvlJc w:val="left"/>
      <w:lvlText w:val="%5."/>
      <w:numFmt w:val="lowerLetter"/>
      <w:pPr>
        <w:pBdr/>
        <w:tabs>
          <w:tab w:val="num" w:leader="none" w:pos="3600"/>
        </w:tabs>
        <w:spacing/>
        <w:ind w:hanging="360" w:left="3600"/>
      </w:pPr>
      <w:rPr/>
      <w:start w:val="1"/>
      <w:suff w:val="tab"/>
    </w:lvl>
    <w:lvl w:ilvl="5">
      <w:isLgl w:val="false"/>
      <w:lvlJc w:val="right"/>
      <w:lvlText w:val="%6."/>
      <w:numFmt w:val="lowerRoman"/>
      <w:pPr>
        <w:pBdr/>
        <w:tabs>
          <w:tab w:val="num" w:leader="none" w:pos="4320"/>
        </w:tabs>
        <w:spacing/>
        <w:ind w:hanging="180" w:left="4320"/>
      </w:pPr>
      <w:rPr/>
      <w:start w:val="1"/>
      <w:suff w:val="tab"/>
    </w:lvl>
    <w:lvl w:ilvl="6">
      <w:isLgl w:val="false"/>
      <w:lvlJc w:val="left"/>
      <w:lvlText w:val="%7."/>
      <w:numFmt w:val="decimal"/>
      <w:pPr>
        <w:pBdr/>
        <w:tabs>
          <w:tab w:val="num" w:leader="none" w:pos="5040"/>
        </w:tabs>
        <w:spacing/>
        <w:ind w:hanging="360" w:left="5040"/>
      </w:pPr>
      <w:rPr/>
      <w:start w:val="1"/>
      <w:suff w:val="tab"/>
    </w:lvl>
    <w:lvl w:ilvl="7">
      <w:isLgl w:val="false"/>
      <w:lvlJc w:val="left"/>
      <w:lvlText w:val="%8."/>
      <w:numFmt w:val="lowerLetter"/>
      <w:pPr>
        <w:pBdr/>
        <w:tabs>
          <w:tab w:val="num" w:leader="none" w:pos="5760"/>
        </w:tabs>
        <w:spacing/>
        <w:ind w:hanging="360" w:left="5760"/>
      </w:pPr>
      <w:rPr/>
      <w:start w:val="1"/>
      <w:suff w:val="tab"/>
    </w:lvl>
    <w:lvl w:ilvl="8">
      <w:isLgl w:val="false"/>
      <w:lvlJc w:val="right"/>
      <w:lvlText w:val="%9."/>
      <w:numFmt w:val="lowerRoman"/>
      <w:pPr>
        <w:pBdr/>
        <w:tabs>
          <w:tab w:val="num" w:leader="none" w:pos="6480"/>
        </w:tabs>
        <w:spacing/>
        <w:ind w:hanging="180" w:left="6480"/>
      </w:pPr>
      <w:rPr/>
      <w:start w:val="1"/>
      <w:suff w:val="tab"/>
    </w:lvl>
  </w:abstractNum>
  <w:abstractNum w:abstractNumId="40">
    <w:lvl w:ilvl="0">
      <w:isLgl w:val="false"/>
      <w:lvlJc w:val="left"/>
      <w:lvlText w:val="Рисунок %1."/>
      <w:numFmt w:val="decimal"/>
      <w:pPr>
        <w:pBdr/>
        <w:tabs>
          <w:tab w:val="num" w:leader="none" w:pos="0"/>
        </w:tabs>
        <w:spacing/>
        <w:ind w:hanging="360" w:left="720"/>
      </w:pPr>
      <w:pStyle w:val="12610"/>
      <w:rPr>
        <w:rFonts w:ascii="Times New Roman" w:hAnsi="Times New Roman" w:cs="Times New Roman"/>
        <w:b w:val="0"/>
        <w:bCs w:val="0"/>
        <w:i w:val="0"/>
        <w:iCs w:val="0"/>
        <w:caps w:val="0"/>
        <w:smallCaps w:val="0"/>
        <w:strike w:val="0"/>
        <w:vanish w:val="0"/>
        <w:color w:val="000000"/>
        <w:spacing w:val="0"/>
        <w:position w:val="0"/>
        <w:sz w:val="0"/>
        <w:szCs w:val="0"/>
        <w:u w:val="none"/>
        <w:shd w:val="clear" w:color="auto" w:fill="000000"/>
        <w:vertAlign w:val="baseline"/>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41">
    <w:lvl w:ilvl="0">
      <w:isLgl w:val="false"/>
      <w:lvlJc w:val="left"/>
      <w:lvlText w:val="%1."/>
      <w:numFmt w:val="decimal"/>
      <w:pPr>
        <w:pBdr/>
        <w:tabs>
          <w:tab w:val="num" w:leader="none" w:pos="0"/>
        </w:tabs>
        <w:spacing/>
        <w:ind w:hanging="360" w:left="1571"/>
      </w:pPr>
      <w:pStyle w:val="12613"/>
      <w:rPr/>
      <w:start w:val="1"/>
      <w:suff w:val="tab"/>
    </w:lvl>
    <w:lvl w:ilvl="1">
      <w:isLgl w:val="false"/>
      <w:lvlJc w:val="left"/>
      <w:lvlText w:val="%2."/>
      <w:numFmt w:val="lowerLetter"/>
      <w:pPr>
        <w:pBdr/>
        <w:tabs>
          <w:tab w:val="num" w:leader="none" w:pos="0"/>
        </w:tabs>
        <w:spacing/>
        <w:ind w:hanging="360" w:left="2291"/>
      </w:pPr>
      <w:rPr/>
      <w:start w:val="1"/>
      <w:suff w:val="tab"/>
    </w:lvl>
    <w:lvl w:ilvl="2">
      <w:isLgl w:val="false"/>
      <w:lvlJc w:val="right"/>
      <w:lvlText w:val="%3."/>
      <w:numFmt w:val="lowerRoman"/>
      <w:pPr>
        <w:pBdr/>
        <w:tabs>
          <w:tab w:val="num" w:leader="none" w:pos="0"/>
        </w:tabs>
        <w:spacing/>
        <w:ind w:hanging="180" w:left="3011"/>
      </w:pPr>
      <w:rPr/>
      <w:start w:val="1"/>
      <w:suff w:val="tab"/>
    </w:lvl>
    <w:lvl w:ilvl="3">
      <w:isLgl w:val="false"/>
      <w:lvlJc w:val="left"/>
      <w:lvlText w:val="%4."/>
      <w:numFmt w:val="decimal"/>
      <w:pPr>
        <w:pBdr/>
        <w:tabs>
          <w:tab w:val="num" w:leader="none" w:pos="0"/>
        </w:tabs>
        <w:spacing/>
        <w:ind w:hanging="360" w:left="3731"/>
      </w:pPr>
      <w:rPr/>
      <w:start w:val="1"/>
      <w:suff w:val="tab"/>
    </w:lvl>
    <w:lvl w:ilvl="4">
      <w:isLgl w:val="false"/>
      <w:lvlJc w:val="left"/>
      <w:lvlText w:val="%5."/>
      <w:numFmt w:val="lowerLetter"/>
      <w:pPr>
        <w:pBdr/>
        <w:tabs>
          <w:tab w:val="num" w:leader="none" w:pos="0"/>
        </w:tabs>
        <w:spacing/>
        <w:ind w:hanging="360" w:left="4451"/>
      </w:pPr>
      <w:rPr/>
      <w:start w:val="1"/>
      <w:suff w:val="tab"/>
    </w:lvl>
    <w:lvl w:ilvl="5">
      <w:isLgl w:val="false"/>
      <w:lvlJc w:val="right"/>
      <w:lvlText w:val="%6."/>
      <w:numFmt w:val="lowerRoman"/>
      <w:pPr>
        <w:pBdr/>
        <w:tabs>
          <w:tab w:val="num" w:leader="none" w:pos="0"/>
        </w:tabs>
        <w:spacing/>
        <w:ind w:hanging="180" w:left="5171"/>
      </w:pPr>
      <w:rPr/>
      <w:start w:val="1"/>
      <w:suff w:val="tab"/>
    </w:lvl>
    <w:lvl w:ilvl="6">
      <w:isLgl w:val="false"/>
      <w:lvlJc w:val="left"/>
      <w:lvlText w:val="%7."/>
      <w:numFmt w:val="decimal"/>
      <w:pPr>
        <w:pBdr/>
        <w:tabs>
          <w:tab w:val="num" w:leader="none" w:pos="0"/>
        </w:tabs>
        <w:spacing/>
        <w:ind w:hanging="360" w:left="5891"/>
      </w:pPr>
      <w:rPr/>
      <w:start w:val="1"/>
      <w:suff w:val="tab"/>
    </w:lvl>
    <w:lvl w:ilvl="7">
      <w:isLgl w:val="false"/>
      <w:lvlJc w:val="left"/>
      <w:lvlText w:val="%8."/>
      <w:numFmt w:val="lowerLetter"/>
      <w:pPr>
        <w:pBdr/>
        <w:tabs>
          <w:tab w:val="num" w:leader="none" w:pos="0"/>
        </w:tabs>
        <w:spacing/>
        <w:ind w:hanging="360" w:left="6611"/>
      </w:pPr>
      <w:rPr/>
      <w:start w:val="1"/>
      <w:suff w:val="tab"/>
    </w:lvl>
    <w:lvl w:ilvl="8">
      <w:isLgl w:val="false"/>
      <w:lvlJc w:val="right"/>
      <w:lvlText w:val="%9."/>
      <w:numFmt w:val="lowerRoman"/>
      <w:pPr>
        <w:pBdr/>
        <w:tabs>
          <w:tab w:val="num" w:leader="none" w:pos="0"/>
        </w:tabs>
        <w:spacing/>
        <w:ind w:hanging="180" w:left="7331"/>
      </w:pPr>
      <w:rPr/>
      <w:start w:val="1"/>
      <w:suff w:val="tab"/>
    </w:lvl>
  </w:abstractNum>
  <w:abstractNum w:abstractNumId="42">
    <w:lvl w:ilvl="0">
      <w:isLgl w:val="false"/>
      <w:lvlJc w:val="left"/>
      <w:lvlText w:val="%1)"/>
      <w:numFmt w:val="decimal"/>
      <w:pPr>
        <w:pBdr/>
        <w:tabs>
          <w:tab w:val="num" w:leader="none" w:pos="1276"/>
        </w:tabs>
        <w:spacing/>
        <w:ind w:firstLine="710" w:left="567"/>
      </w:pPr>
      <w:rPr/>
      <w:start w:val="1"/>
      <w:suff w:val="tab"/>
    </w:lvl>
    <w:lvl w:ilvl="1">
      <w:isLgl w:val="false"/>
      <w:lvlJc w:val="left"/>
      <w:lvlText w:val="%2)"/>
      <w:numFmt w:val="decimal"/>
      <w:pPr>
        <w:pBdr/>
        <w:tabs>
          <w:tab w:val="num" w:leader="none" w:pos="1260"/>
        </w:tabs>
        <w:spacing/>
        <w:ind w:hanging="360" w:left="1260"/>
      </w:pPr>
      <w:rPr/>
      <w:start w:val="1"/>
      <w:suff w:val="tab"/>
    </w:lvl>
    <w:lvl w:ilvl="2">
      <w:isLgl w:val="false"/>
      <w:lvlJc w:val="left"/>
      <w:lvlText w:val="%3)"/>
      <w:numFmt w:val="decimal"/>
      <w:pPr>
        <w:pBdr/>
        <w:tabs>
          <w:tab w:val="num" w:leader="none" w:pos="2907"/>
        </w:tabs>
        <w:spacing/>
        <w:ind w:hanging="360" w:left="2907"/>
      </w:pPr>
      <w:rPr/>
      <w:start w:val="1"/>
      <w:suff w:val="tab"/>
    </w:lvl>
    <w:lvl w:ilvl="3">
      <w:isLgl w:val="false"/>
      <w:lvlJc w:val="left"/>
      <w:lvlText w:val="%4."/>
      <w:numFmt w:val="decimal"/>
      <w:pPr>
        <w:pBdr/>
        <w:tabs>
          <w:tab w:val="num" w:leader="none" w:pos="3447"/>
        </w:tabs>
        <w:spacing/>
        <w:ind w:hanging="360" w:left="3447"/>
      </w:pPr>
      <w:rPr/>
      <w:start w:val="1"/>
      <w:suff w:val="tab"/>
    </w:lvl>
    <w:lvl w:ilvl="4">
      <w:isLgl w:val="false"/>
      <w:lvlJc w:val="left"/>
      <w:lvlText w:val="%5."/>
      <w:numFmt w:val="lowerLetter"/>
      <w:pPr>
        <w:pBdr/>
        <w:tabs>
          <w:tab w:val="num" w:leader="none" w:pos="4167"/>
        </w:tabs>
        <w:spacing/>
        <w:ind w:hanging="360" w:left="4167"/>
      </w:pPr>
      <w:rPr/>
      <w:start w:val="1"/>
      <w:suff w:val="tab"/>
    </w:lvl>
    <w:lvl w:ilvl="5">
      <w:isLgl w:val="false"/>
      <w:lvlJc w:val="right"/>
      <w:lvlText w:val="%6."/>
      <w:numFmt w:val="lowerRoman"/>
      <w:pPr>
        <w:pBdr/>
        <w:tabs>
          <w:tab w:val="num" w:leader="none" w:pos="4887"/>
        </w:tabs>
        <w:spacing/>
        <w:ind w:hanging="180" w:left="4887"/>
      </w:pPr>
      <w:rPr/>
      <w:start w:val="1"/>
      <w:suff w:val="tab"/>
    </w:lvl>
    <w:lvl w:ilvl="6">
      <w:isLgl w:val="false"/>
      <w:lvlJc w:val="left"/>
      <w:lvlText w:val="%7."/>
      <w:numFmt w:val="decimal"/>
      <w:pPr>
        <w:pBdr/>
        <w:tabs>
          <w:tab w:val="num" w:leader="none" w:pos="5607"/>
        </w:tabs>
        <w:spacing/>
        <w:ind w:hanging="360" w:left="5607"/>
      </w:pPr>
      <w:rPr/>
      <w:start w:val="1"/>
      <w:suff w:val="tab"/>
    </w:lvl>
    <w:lvl w:ilvl="7">
      <w:isLgl w:val="false"/>
      <w:lvlJc w:val="left"/>
      <w:lvlText w:val="%8."/>
      <w:numFmt w:val="lowerLetter"/>
      <w:pPr>
        <w:pBdr/>
        <w:tabs>
          <w:tab w:val="num" w:leader="none" w:pos="6327"/>
        </w:tabs>
        <w:spacing/>
        <w:ind w:hanging="360" w:left="6327"/>
      </w:pPr>
      <w:rPr/>
      <w:start w:val="1"/>
      <w:suff w:val="tab"/>
    </w:lvl>
    <w:lvl w:ilvl="8">
      <w:isLgl w:val="false"/>
      <w:lvlJc w:val="right"/>
      <w:lvlText w:val="%9."/>
      <w:numFmt w:val="lowerRoman"/>
      <w:pPr>
        <w:pBdr/>
        <w:tabs>
          <w:tab w:val="num" w:leader="none" w:pos="7047"/>
        </w:tabs>
        <w:spacing/>
        <w:ind w:hanging="180" w:left="7047"/>
      </w:pPr>
      <w:rPr/>
      <w:start w:val="1"/>
      <w:suff w:val="tab"/>
    </w:lvl>
  </w:abstractNum>
  <w:abstractNum w:abstractNumId="43">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44">
    <w:lvl w:ilvl="0">
      <w:isLgl w:val="false"/>
      <w:lvlJc w:val="left"/>
      <w:lvlText w:val="Часть"/>
      <w:numFmt w:val="none"/>
      <w:pPr>
        <w:pBdr/>
        <w:tabs>
          <w:tab w:val="num" w:leader="none" w:pos="0"/>
        </w:tabs>
        <w:spacing/>
        <w:ind w:firstLine="0" w:left="1418"/>
      </w:pPr>
      <w:rPr>
        <w:rFonts w:ascii="Times New Roman" w:hAnsi="Times New Roman"/>
        <w:b/>
        <w:i w:val="0"/>
        <w:caps/>
        <w:strike w:val="0"/>
        <w:vanish w:val="0"/>
        <w:spacing w:val="20"/>
        <w:position w:val="0"/>
        <w:sz w:val="28"/>
        <w:u w:val="none"/>
        <w:vertAlign w:val="baseline"/>
      </w:rPr>
      <w:start w:val="1"/>
      <w:suff w:val="nothing"/>
    </w:lvl>
    <w:lvl w:ilvl="1">
      <w:isLgl w:val="false"/>
      <w:lvlJc w:val="left"/>
      <w:lvlText w:val="ГЛАВА%2."/>
      <w:numFmt w:val="decimal"/>
      <w:pPr>
        <w:pBdr/>
        <w:tabs>
          <w:tab w:val="num" w:leader="none" w:pos="0"/>
        </w:tabs>
        <w:spacing/>
        <w:ind w:firstLine="709" w:left="0"/>
      </w:pPr>
      <w:pStyle w:val="12927"/>
      <w:rPr>
        <w:rFonts w:ascii="Times New Roman" w:hAnsi="Times New Roman"/>
        <w:b/>
        <w:i w:val="0"/>
        <w:smallCaps/>
        <w:strike w:val="0"/>
        <w:vanish w:val="0"/>
        <w:color w:val="auto"/>
        <w:spacing w:val="20"/>
        <w:position w:val="0"/>
        <w:sz w:val="26"/>
        <w:szCs w:val="26"/>
        <w:u w:val="none"/>
        <w:vertAlign w:val="baseline"/>
      </w:rPr>
      <w:start w:val="1"/>
      <w:suff w:val="space"/>
    </w:lvl>
    <w:lvl w:ilvl="2">
      <w:isLgl w:val="false"/>
      <w:lvlJc w:val="left"/>
      <w:lvlText w:val="%2.%3."/>
      <w:numFmt w:val="decimal"/>
      <w:pPr>
        <w:pBdr/>
        <w:tabs>
          <w:tab w:val="num" w:leader="none" w:pos="0"/>
        </w:tabs>
        <w:spacing/>
        <w:ind w:firstLine="709" w:left="0"/>
      </w:pPr>
      <w:pStyle w:val="12928"/>
      <w:rPr>
        <w:rFonts w:ascii="Times New Roman" w:hAnsi="Times New Roman"/>
        <w:b/>
        <w:i w:val="0"/>
        <w:caps w:val="0"/>
        <w:smallCaps w:val="0"/>
        <w:strike w:val="0"/>
        <w:vanish w:val="0"/>
        <w:color w:val="auto"/>
        <w:spacing w:val="20"/>
        <w:position w:val="0"/>
        <w:sz w:val="26"/>
        <w:szCs w:val="26"/>
        <w:u w:val="none"/>
        <w:vertAlign w:val="baseline"/>
      </w:rPr>
      <w:start w:val="1"/>
      <w:suff w:val="space"/>
    </w:lvl>
    <w:lvl w:ilvl="3">
      <w:isLgl w:val="false"/>
      <w:lvlJc w:val="left"/>
      <w:lvlText w:val="%2.%3.%4."/>
      <w:numFmt w:val="decimal"/>
      <w:pPr>
        <w:pBdr/>
        <w:tabs>
          <w:tab w:val="num" w:leader="none" w:pos="0"/>
        </w:tabs>
        <w:spacing/>
        <w:ind w:firstLine="709" w:left="426"/>
      </w:pPr>
      <w:pStyle w:val="12929"/>
      <w:rPr>
        <w:rFonts w:ascii="Times New Roman" w:hAnsi="Times New Roman"/>
        <w:b/>
        <w:i w:val="0"/>
        <w:caps w:val="0"/>
        <w:smallCaps w:val="0"/>
        <w:strike w:val="0"/>
        <w:vanish w:val="0"/>
        <w:color w:val="auto"/>
        <w:spacing w:val="10"/>
        <w:position w:val="0"/>
        <w:sz w:val="26"/>
        <w:szCs w:val="26"/>
        <w:u w:val="none"/>
        <w:vertAlign w:val="baseline"/>
      </w:rPr>
      <w:start w:val="1"/>
      <w:suff w:val="space"/>
    </w:lvl>
    <w:lvl w:ilvl="4">
      <w:isLgl w:val="false"/>
      <w:lvlJc w:val="left"/>
      <w:lvlText w:val="%2.%3.%4.%5."/>
      <w:numFmt w:val="decimal"/>
      <w:pPr>
        <w:pBdr/>
        <w:tabs>
          <w:tab w:val="num" w:leader="none" w:pos="0"/>
        </w:tabs>
        <w:spacing/>
        <w:ind w:firstLine="709" w:left="0"/>
      </w:pPr>
      <w:pStyle w:val="12930"/>
      <w:rPr>
        <w:rFonts w:ascii="Times New Roman" w:hAnsi="Times New Roman"/>
        <w:b/>
        <w:i/>
        <w:caps w:val="0"/>
        <w:smallCaps w:val="0"/>
        <w:strike w:val="0"/>
        <w:vanish w:val="0"/>
        <w:color w:val="auto"/>
        <w:spacing w:val="20"/>
        <w:position w:val="0"/>
        <w:sz w:val="26"/>
        <w:szCs w:val="26"/>
        <w:u w:val="none"/>
        <w:vertAlign w:val="baseline"/>
      </w:rPr>
      <w:start w:val="1"/>
      <w:suff w:val="space"/>
    </w:lvl>
    <w:lvl w:ilvl="5">
      <w:isLgl w:val="false"/>
      <w:lvlJc w:val="left"/>
      <w:lvlText w:val="%2.%3.%4.%5.%6"/>
      <w:numFmt w:val="decimal"/>
      <w:pPr>
        <w:pBdr/>
        <w:tabs>
          <w:tab w:val="num" w:leader="none" w:pos="0"/>
        </w:tabs>
        <w:spacing/>
        <w:ind w:firstLine="709" w:left="0"/>
      </w:pPr>
      <w:pStyle w:val="12931"/>
      <w:rPr>
        <w:rFonts w:ascii="Times New Roman" w:hAnsi="Times New Roman"/>
        <w:b w:val="0"/>
        <w:i/>
        <w:caps w:val="0"/>
        <w:smallCaps w:val="0"/>
        <w:strike w:val="0"/>
        <w:vanish w:val="0"/>
        <w:spacing w:val="20"/>
        <w:position w:val="0"/>
        <w:sz w:val="28"/>
        <w:u w:val="none"/>
        <w:vertAlign w:val="baseline"/>
      </w:rPr>
      <w:start w:val="1"/>
      <w:suff w:val="space"/>
    </w:lvl>
    <w:lvl w:ilvl="6">
      <w:isLgl w:val="false"/>
      <w:lvlJc w:val="left"/>
      <w:lvlText w:val="Рисунок %2.%7."/>
      <w:numFmt w:val="decimal"/>
      <w:pPr>
        <w:pBdr/>
        <w:tabs>
          <w:tab w:val="num" w:leader="none" w:pos="0"/>
        </w:tabs>
        <w:spacing/>
        <w:ind w:firstLine="0" w:left="0"/>
      </w:pPr>
      <w:rPr>
        <w:rFonts w:ascii="Times New Roman" w:hAnsi="Times New Roman"/>
        <w:b/>
        <w:i w:val="0"/>
        <w:caps w:val="0"/>
        <w:smallCaps w:val="0"/>
        <w:strike w:val="0"/>
        <w:vanish w:val="0"/>
        <w:color w:val="auto"/>
        <w:spacing w:val="10"/>
        <w:position w:val="0"/>
        <w:sz w:val="26"/>
        <w:szCs w:val="26"/>
        <w:u w:val="none"/>
        <w:vertAlign w:val="baseline"/>
      </w:rPr>
      <w:start w:val="1"/>
      <w:suff w:val="space"/>
    </w:lvl>
    <w:lvl w:ilvl="7">
      <w:isLgl w:val="false"/>
      <w:lvlJc w:val="left"/>
      <w:lvlText w:val="Таблица "/>
      <w:numFmt w:val="none"/>
      <w:pPr>
        <w:pBdr/>
        <w:tabs>
          <w:tab w:val="num" w:leader="none" w:pos="0"/>
        </w:tabs>
        <w:spacing/>
        <w:ind w:firstLine="0" w:left="0"/>
      </w:pPr>
      <w:rPr>
        <w:rFonts w:ascii="Times New Roman" w:hAnsi="Times New Roman"/>
        <w:b/>
        <w:i w:val="0"/>
        <w:caps w:val="0"/>
        <w:smallCaps w:val="0"/>
        <w:strike w:val="0"/>
        <w:vanish w:val="0"/>
        <w:color w:val="auto"/>
        <w:spacing w:val="10"/>
        <w:position w:val="0"/>
        <w:sz w:val="24"/>
        <w:szCs w:val="26"/>
        <w:u w:val="none"/>
        <w:vertAlign w:val="baseline"/>
      </w:rPr>
      <w:start w:val="1"/>
      <w:suff w:val="nothing"/>
    </w:lvl>
    <w:lvl w:ilvl="8">
      <w:isLgl w:val="false"/>
      <w:lvlJc w:val="left"/>
      <w:lvlText w:val=""/>
      <w:numFmt w:val="none"/>
      <w:pPr>
        <w:pBdr/>
        <w:tabs>
          <w:tab w:val="num" w:leader="none" w:pos="709"/>
        </w:tabs>
        <w:spacing/>
        <w:ind w:hanging="425" w:left="1134"/>
      </w:pPr>
      <w:pStyle w:val="12934"/>
      <w:rPr>
        <w:rFonts w:ascii="Calibri" w:hAnsi="Calibri"/>
        <w:b w:val="0"/>
        <w:i w:val="0"/>
        <w:caps w:val="0"/>
        <w:smallCaps w:val="0"/>
        <w:strike w:val="0"/>
        <w:vanish w:val="0"/>
        <w:position w:val="0"/>
        <w:sz w:val="28"/>
        <w:u w:val="none"/>
        <w:vertAlign w:val="baseline"/>
      </w:rPr>
      <w:start w:val="1"/>
      <w:suff w:val="nothing"/>
    </w:lvl>
  </w:abstractNum>
  <w:abstractNum w:abstractNumId="45">
    <w:lvl w:ilvl="0">
      <w:isLgl w:val="false"/>
      <w:lvlJc w:val="right"/>
      <w:lvlText w:val="Таблица %1."/>
      <w:numFmt w:val="decimal"/>
      <w:pPr>
        <w:pBdr/>
        <w:tabs>
          <w:tab w:val="num" w:leader="none" w:pos="0"/>
        </w:tabs>
        <w:spacing/>
        <w:ind w:hanging="360" w:left="1287"/>
      </w:pPr>
      <w:pStyle w:val="12940"/>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46">
    <w:lvl w:ilvl="0">
      <w:isLgl w:val="false"/>
      <w:lvlJc w:val="right"/>
      <w:lvlText w:val="Рис. %1."/>
      <w:numFmt w:val="decimal"/>
      <w:pPr>
        <w:pBdr/>
        <w:tabs>
          <w:tab w:val="num" w:leader="none" w:pos="0"/>
        </w:tabs>
        <w:spacing/>
        <w:ind w:hanging="360" w:left="1287"/>
      </w:pPr>
      <w:pStyle w:val="12942"/>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47">
    <w:lvl w:ilvl="0">
      <w:isLgl w:val="false"/>
      <w:lvlJc w:val="left"/>
      <w:lvlText w:val="Приложение %1"/>
      <w:numFmt w:val="decimal"/>
      <w:pPr>
        <w:pBdr/>
        <w:tabs>
          <w:tab w:val="num" w:leader="none" w:pos="0"/>
        </w:tabs>
        <w:spacing/>
        <w:ind w:hanging="360" w:left="2421"/>
      </w:pPr>
      <w:pStyle w:val="12943"/>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48">
    <w:lvl w:ilvl="0">
      <w:isLgl w:val="false"/>
      <w:lvlJc w:val="left"/>
      <w:lvlText w:val=""/>
      <w:numFmt w:val="bullet"/>
      <w:pPr>
        <w:pBdr/>
        <w:tabs>
          <w:tab w:val="num" w:leader="none" w:pos="0"/>
        </w:tabs>
        <w:spacing/>
        <w:ind w:hanging="360" w:left="1287"/>
      </w:pPr>
      <w:pStyle w:val="12959"/>
      <w:rPr>
        <w:rFonts w:hint="default" w:ascii="Symbol" w:hAnsi="Symbol" w:cs="Symbol"/>
      </w:rPr>
      <w:start w:val="1"/>
      <w:suff w:val="tab"/>
    </w:lvl>
    <w:lvl w:ilvl="1">
      <w:isLgl w:val="false"/>
      <w:lvlJc w:val="left"/>
      <w:lvlText w:val="o"/>
      <w:numFmt w:val="bullet"/>
      <w:pPr>
        <w:pBdr/>
        <w:tabs>
          <w:tab w:val="num" w:leader="none" w:pos="0"/>
        </w:tabs>
        <w:spacing/>
        <w:ind w:hanging="360" w:left="2007"/>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727"/>
      </w:pPr>
      <w:rPr>
        <w:rFonts w:hint="default" w:ascii="Wingdings" w:hAnsi="Wingdings" w:cs="Wingdings"/>
      </w:rPr>
      <w:start w:val="1"/>
      <w:suff w:val="tab"/>
    </w:lvl>
    <w:lvl w:ilvl="3">
      <w:isLgl w:val="false"/>
      <w:lvlJc w:val="left"/>
      <w:lvlText w:val=""/>
      <w:numFmt w:val="bullet"/>
      <w:pPr>
        <w:pBdr/>
        <w:tabs>
          <w:tab w:val="num" w:leader="none" w:pos="0"/>
        </w:tabs>
        <w:spacing/>
        <w:ind w:hanging="360" w:left="3447"/>
      </w:pPr>
      <w:rPr>
        <w:rFonts w:hint="default" w:ascii="Symbol" w:hAnsi="Symbol" w:cs="Symbol"/>
      </w:rPr>
      <w:start w:val="1"/>
      <w:suff w:val="tab"/>
    </w:lvl>
    <w:lvl w:ilvl="4">
      <w:isLgl w:val="false"/>
      <w:lvlJc w:val="left"/>
      <w:lvlText w:val="o"/>
      <w:numFmt w:val="bullet"/>
      <w:pPr>
        <w:pBdr/>
        <w:tabs>
          <w:tab w:val="num" w:leader="none" w:pos="0"/>
        </w:tabs>
        <w:spacing/>
        <w:ind w:hanging="360" w:left="4167"/>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4887"/>
      </w:pPr>
      <w:rPr>
        <w:rFonts w:hint="default" w:ascii="Wingdings" w:hAnsi="Wingdings" w:cs="Wingdings"/>
      </w:rPr>
      <w:start w:val="1"/>
      <w:suff w:val="tab"/>
    </w:lvl>
    <w:lvl w:ilvl="6">
      <w:isLgl w:val="false"/>
      <w:lvlJc w:val="left"/>
      <w:lvlText w:val=""/>
      <w:numFmt w:val="bullet"/>
      <w:pPr>
        <w:pBdr/>
        <w:tabs>
          <w:tab w:val="num" w:leader="none" w:pos="0"/>
        </w:tabs>
        <w:spacing/>
        <w:ind w:hanging="360" w:left="5607"/>
      </w:pPr>
      <w:rPr>
        <w:rFonts w:hint="default" w:ascii="Symbol" w:hAnsi="Symbol" w:cs="Symbol"/>
      </w:rPr>
      <w:start w:val="1"/>
      <w:suff w:val="tab"/>
    </w:lvl>
    <w:lvl w:ilvl="7">
      <w:isLgl w:val="false"/>
      <w:lvlJc w:val="left"/>
      <w:lvlText w:val="o"/>
      <w:numFmt w:val="bullet"/>
      <w:pPr>
        <w:pBdr/>
        <w:tabs>
          <w:tab w:val="num" w:leader="none" w:pos="0"/>
        </w:tabs>
        <w:spacing/>
        <w:ind w:hanging="360" w:left="6327"/>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047"/>
      </w:pPr>
      <w:rPr>
        <w:rFonts w:hint="default" w:ascii="Wingdings" w:hAnsi="Wingdings" w:cs="Wingdings"/>
      </w:rPr>
      <w:start w:val="1"/>
      <w:suff w:val="tab"/>
    </w:lvl>
  </w:abstractNum>
  <w:abstractNum w:abstractNumId="49">
    <w:lvl w:ilvl="0">
      <w:isLgl w:val="false"/>
      <w:lvlJc w:val="left"/>
      <w:lvlText w:val="Раздел %1."/>
      <w:numFmt w:val="decimal"/>
      <w:pPr>
        <w:pBdr/>
        <w:tabs>
          <w:tab w:val="num" w:leader="none" w:pos="0"/>
        </w:tabs>
        <w:spacing/>
        <w:ind w:hanging="360" w:left="1495"/>
      </w:pPr>
      <w:pStyle w:val="12961"/>
      <w:rPr/>
      <w:start w:val="1"/>
      <w:suff w:val="tab"/>
    </w:lvl>
    <w:lvl w:ilvl="1">
      <w:isLgl w:val="true"/>
      <w:lvlJc w:val="left"/>
      <w:lvlText w:val="%1.%2"/>
      <w:numFmt w:val="decimal"/>
      <w:pPr>
        <w:pBdr/>
        <w:tabs>
          <w:tab w:val="num" w:leader="none" w:pos="0"/>
        </w:tabs>
        <w:spacing/>
        <w:ind w:hanging="360" w:left="502"/>
      </w:pPr>
      <w:rPr>
        <w:b/>
      </w:rPr>
      <w:start w:val="1"/>
      <w:suff w:val="tab"/>
    </w:lvl>
    <w:lvl w:ilvl="2">
      <w:isLgl w:val="false"/>
      <w:lvlJc w:val="left"/>
      <w:lvlText w:val="1.3.%3"/>
      <w:numFmt w:val="decimal"/>
      <w:pPr>
        <w:pBdr/>
        <w:tabs>
          <w:tab w:val="num" w:leader="none" w:pos="0"/>
        </w:tabs>
        <w:spacing/>
        <w:ind w:hanging="720" w:left="1287"/>
      </w:pPr>
      <w:rPr/>
      <w:start w:val="1"/>
      <w:suff w:val="tab"/>
    </w:lvl>
    <w:lvl w:ilvl="3">
      <w:isLgl w:val="true"/>
      <w:lvlJc w:val="left"/>
      <w:lvlText w:val="%1.%2.%3.%4"/>
      <w:numFmt w:val="decimal"/>
      <w:pPr>
        <w:pBdr/>
        <w:tabs>
          <w:tab w:val="num" w:leader="none" w:pos="0"/>
        </w:tabs>
        <w:spacing/>
        <w:ind w:hanging="720" w:left="1287"/>
      </w:pPr>
      <w:rPr/>
      <w:start w:val="1"/>
      <w:suff w:val="tab"/>
    </w:lvl>
    <w:lvl w:ilvl="4">
      <w:isLgl w:val="true"/>
      <w:lvlJc w:val="left"/>
      <w:lvlText w:val="%1.%2.%3.%4.%5"/>
      <w:numFmt w:val="decimal"/>
      <w:pPr>
        <w:pBdr/>
        <w:tabs>
          <w:tab w:val="num" w:leader="none" w:pos="0"/>
        </w:tabs>
        <w:spacing/>
        <w:ind w:hanging="1080" w:left="1647"/>
      </w:pPr>
      <w:rPr/>
      <w:start w:val="1"/>
      <w:suff w:val="tab"/>
    </w:lvl>
    <w:lvl w:ilvl="5">
      <w:isLgl w:val="true"/>
      <w:lvlJc w:val="left"/>
      <w:lvlText w:val="%1.%2.%3.%4.%5.%6"/>
      <w:numFmt w:val="decimal"/>
      <w:pPr>
        <w:pBdr/>
        <w:tabs>
          <w:tab w:val="num" w:leader="none" w:pos="0"/>
        </w:tabs>
        <w:spacing/>
        <w:ind w:hanging="1440" w:left="2007"/>
      </w:pPr>
      <w:rPr/>
      <w:start w:val="1"/>
      <w:suff w:val="tab"/>
    </w:lvl>
    <w:lvl w:ilvl="6">
      <w:isLgl w:val="true"/>
      <w:lvlJc w:val="left"/>
      <w:lvlText w:val="%1.%2.%3.%4.%5.%6.%7"/>
      <w:numFmt w:val="decimal"/>
      <w:pPr>
        <w:pBdr/>
        <w:tabs>
          <w:tab w:val="num" w:leader="none" w:pos="0"/>
        </w:tabs>
        <w:spacing/>
        <w:ind w:hanging="1440" w:left="2007"/>
      </w:pPr>
      <w:rPr/>
      <w:start w:val="1"/>
      <w:suff w:val="tab"/>
    </w:lvl>
    <w:lvl w:ilvl="7">
      <w:isLgl w:val="true"/>
      <w:lvlJc w:val="left"/>
      <w:lvlText w:val="%1.%2.%3.%4.%5.%6.%7.%8"/>
      <w:numFmt w:val="decimal"/>
      <w:pPr>
        <w:pBdr/>
        <w:tabs>
          <w:tab w:val="num" w:leader="none" w:pos="0"/>
        </w:tabs>
        <w:spacing/>
        <w:ind w:hanging="1800" w:left="2367"/>
      </w:pPr>
      <w:rPr/>
      <w:start w:val="1"/>
      <w:suff w:val="tab"/>
    </w:lvl>
    <w:lvl w:ilvl="8">
      <w:isLgl w:val="true"/>
      <w:lvlJc w:val="left"/>
      <w:lvlText w:val="%1.%2.%3.%4.%5.%6.%7.%8.%9"/>
      <w:numFmt w:val="decimal"/>
      <w:pPr>
        <w:pBdr/>
        <w:tabs>
          <w:tab w:val="num" w:leader="none" w:pos="0"/>
        </w:tabs>
        <w:spacing/>
        <w:ind w:hanging="1800" w:left="2367"/>
      </w:pPr>
      <w:rPr/>
      <w:start w:val="1"/>
      <w:suff w:val="tab"/>
    </w:lvl>
  </w:abstractNum>
  <w:abstractNum w:abstractNumId="50">
    <w:lvl w:ilvl="0">
      <w:isLgl w:val="false"/>
      <w:lvlJc w:val="left"/>
      <w:lvlText w:val="Глава %1."/>
      <w:numFmt w:val="decimal"/>
      <w:pPr>
        <w:pBdr/>
        <w:tabs>
          <w:tab w:val="num" w:leader="none" w:pos="0"/>
        </w:tabs>
        <w:spacing/>
        <w:ind w:hanging="360" w:left="360"/>
      </w:pPr>
      <w:pStyle w:val="12945"/>
      <w:rPr/>
      <w:start w:val="1"/>
      <w:suff w:val="tab"/>
    </w:lvl>
    <w:lvl w:ilvl="1">
      <w:isLgl w:val="false"/>
      <w:lvlJc w:val="left"/>
      <w:lvlText w:val="Часть %2."/>
      <w:numFmt w:val="decimal"/>
      <w:pPr>
        <w:pBdr/>
        <w:tabs>
          <w:tab w:val="num" w:leader="none" w:pos="0"/>
        </w:tabs>
        <w:spacing/>
        <w:ind w:hanging="432" w:left="792"/>
      </w:pPr>
      <w:rPr>
        <w:lang w:val="ru-RU"/>
      </w:rPr>
      <w:start w:val="1"/>
      <w:suff w:val="tab"/>
    </w:lvl>
    <w:lvl w:ilvl="2">
      <w:isLgl w:val="false"/>
      <w:lvlJc w:val="left"/>
      <w:lvlText w:val="%1.%3."/>
      <w:numFmt w:val="decimal"/>
      <w:pPr>
        <w:pBdr/>
        <w:tabs>
          <w:tab w:val="num" w:leader="none" w:pos="0"/>
        </w:tabs>
        <w:spacing/>
        <w:ind w:hanging="504" w:left="1224"/>
      </w:pPr>
      <w:rPr/>
      <w:start w:val="1"/>
      <w:suff w:val="tab"/>
    </w:lvl>
    <w:lvl w:ilvl="3">
      <w:isLgl w:val="false"/>
      <w:lvlJc w:val="left"/>
      <w:lvlText w:val="%4."/>
      <w:numFmt w:val="decimal"/>
      <w:pPr>
        <w:pBdr/>
        <w:tabs>
          <w:tab w:val="num" w:leader="none" w:pos="0"/>
        </w:tabs>
        <w:spacing/>
        <w:ind w:hanging="648" w:left="1728"/>
      </w:pPr>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1">
    <w:lvl w:ilvl="0">
      <w:isLgl w:val="false"/>
      <w:lvlJc w:val="left"/>
      <w:lvlText w:val=""/>
      <w:numFmt w:val="bullet"/>
      <w:pPr>
        <w:pBdr/>
        <w:tabs>
          <w:tab w:val="num" w:leader="none" w:pos="0"/>
        </w:tabs>
        <w:spacing/>
        <w:ind w:hanging="360" w:left="1429"/>
      </w:pPr>
      <w:pStyle w:val="12971"/>
      <w:rPr>
        <w:rFonts w:hint="default" w:ascii="Symbol" w:hAnsi="Symbol" w:cs="Symbol"/>
      </w:rPr>
      <w:start w:val="1"/>
      <w:suff w:val="tab"/>
    </w:lvl>
    <w:lvl w:ilvl="1">
      <w:isLgl w:val="false"/>
      <w:lvlJc w:val="left"/>
      <w:lvlText w:val="o"/>
      <w:numFmt w:val="bullet"/>
      <w:pPr>
        <w:pBdr/>
        <w:tabs>
          <w:tab w:val="num" w:leader="none" w:pos="0"/>
        </w:tabs>
        <w:spacing/>
        <w:ind w:hanging="360" w:left="2149"/>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869"/>
      </w:pPr>
      <w:rPr>
        <w:rFonts w:hint="default" w:ascii="Wingdings" w:hAnsi="Wingdings" w:cs="Wingdings"/>
      </w:rPr>
      <w:start w:val="1"/>
      <w:suff w:val="tab"/>
    </w:lvl>
    <w:lvl w:ilvl="3">
      <w:isLgl w:val="false"/>
      <w:lvlJc w:val="left"/>
      <w:lvlText w:val=""/>
      <w:numFmt w:val="bullet"/>
      <w:pPr>
        <w:pBdr/>
        <w:tabs>
          <w:tab w:val="num" w:leader="none" w:pos="0"/>
        </w:tabs>
        <w:spacing/>
        <w:ind w:hanging="360" w:left="3589"/>
      </w:pPr>
      <w:rPr>
        <w:rFonts w:hint="default" w:ascii="Symbol" w:hAnsi="Symbol" w:cs="Symbol"/>
      </w:rPr>
      <w:start w:val="1"/>
      <w:suff w:val="tab"/>
    </w:lvl>
    <w:lvl w:ilvl="4">
      <w:isLgl w:val="false"/>
      <w:lvlJc w:val="left"/>
      <w:lvlText w:val="o"/>
      <w:numFmt w:val="bullet"/>
      <w:pPr>
        <w:pBdr/>
        <w:tabs>
          <w:tab w:val="num" w:leader="none" w:pos="0"/>
        </w:tabs>
        <w:spacing/>
        <w:ind w:hanging="360" w:left="4309"/>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029"/>
      </w:pPr>
      <w:rPr>
        <w:rFonts w:hint="default" w:ascii="Wingdings" w:hAnsi="Wingdings" w:cs="Wingdings"/>
      </w:rPr>
      <w:start w:val="1"/>
      <w:suff w:val="tab"/>
    </w:lvl>
    <w:lvl w:ilvl="6">
      <w:isLgl w:val="false"/>
      <w:lvlJc w:val="left"/>
      <w:lvlText w:val=""/>
      <w:numFmt w:val="bullet"/>
      <w:pPr>
        <w:pBdr/>
        <w:tabs>
          <w:tab w:val="num" w:leader="none" w:pos="0"/>
        </w:tabs>
        <w:spacing/>
        <w:ind w:hanging="360" w:left="5749"/>
      </w:pPr>
      <w:rPr>
        <w:rFonts w:hint="default" w:ascii="Symbol" w:hAnsi="Symbol" w:cs="Symbol"/>
      </w:rPr>
      <w:start w:val="1"/>
      <w:suff w:val="tab"/>
    </w:lvl>
    <w:lvl w:ilvl="7">
      <w:isLgl w:val="false"/>
      <w:lvlJc w:val="left"/>
      <w:lvlText w:val="o"/>
      <w:numFmt w:val="bullet"/>
      <w:pPr>
        <w:pBdr/>
        <w:tabs>
          <w:tab w:val="num" w:leader="none" w:pos="0"/>
        </w:tabs>
        <w:spacing/>
        <w:ind w:hanging="360" w:left="6469"/>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189"/>
      </w:pPr>
      <w:rPr>
        <w:rFonts w:hint="default" w:ascii="Wingdings" w:hAnsi="Wingdings" w:cs="Wingdings"/>
      </w:rPr>
      <w:start w:val="1"/>
      <w:suff w:val="tab"/>
    </w:lvl>
  </w:abstractNum>
  <w:abstractNum w:abstractNumId="52">
    <w:lvl w:ilvl="0">
      <w:isLgl w:val="false"/>
      <w:lvlJc w:val="left"/>
      <w:lvlText w:val="%1."/>
      <w:numFmt w:val="decimal"/>
      <w:pPr>
        <w:pBdr/>
        <w:tabs>
          <w:tab w:val="num" w:leader="none" w:pos="0"/>
        </w:tabs>
        <w:spacing/>
        <w:ind w:hanging="360" w:left="720"/>
      </w:pPr>
      <w:pStyle w:val="12972"/>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53">
    <w:lvl w:ilvl="0">
      <w:isLgl w:val="false"/>
      <w:lvlJc w:val="left"/>
      <w:lvlText w:val="%1."/>
      <w:numFmt w:val="decimal"/>
      <w:pPr>
        <w:pBdr/>
        <w:tabs>
          <w:tab w:val="num" w:leader="none" w:pos="0"/>
        </w:tabs>
        <w:spacing/>
        <w:ind w:hanging="360" w:left="1211"/>
      </w:pPr>
      <w:pStyle w:val="12967"/>
      <w:rPr/>
      <w:start w:val="1"/>
      <w:suff w:val="tab"/>
    </w:lvl>
    <w:lvl w:ilvl="1">
      <w:isLgl w:val="true"/>
      <w:lvlJc w:val="left"/>
      <w:lvlText w:val="%1.%2."/>
      <w:numFmt w:val="decimal"/>
      <w:pPr>
        <w:pBdr/>
        <w:tabs>
          <w:tab w:val="num" w:leader="none" w:pos="0"/>
        </w:tabs>
        <w:spacing/>
        <w:ind w:hanging="720" w:left="1931"/>
      </w:pPr>
      <w:pStyle w:val="12968"/>
      <w:rPr/>
      <w:start w:val="1"/>
      <w:suff w:val="tab"/>
    </w:lvl>
    <w:lvl w:ilvl="2">
      <w:isLgl w:val="true"/>
      <w:lvlJc w:val="left"/>
      <w:lvlText w:val="%1.%2.%3."/>
      <w:numFmt w:val="decimal"/>
      <w:pPr>
        <w:pBdr/>
        <w:tabs>
          <w:tab w:val="num" w:leader="none" w:pos="0"/>
        </w:tabs>
        <w:spacing/>
        <w:ind w:hanging="720" w:left="2291"/>
      </w:pPr>
      <w:rPr/>
      <w:start w:val="1"/>
      <w:suff w:val="tab"/>
    </w:lvl>
    <w:lvl w:ilvl="3">
      <w:isLgl w:val="true"/>
      <w:lvlJc w:val="left"/>
      <w:lvlText w:val="%1.%2.%3.%4."/>
      <w:numFmt w:val="decimal"/>
      <w:pPr>
        <w:pBdr/>
        <w:tabs>
          <w:tab w:val="num" w:leader="none" w:pos="0"/>
        </w:tabs>
        <w:spacing/>
        <w:ind w:hanging="1080" w:left="3011"/>
      </w:pPr>
      <w:rPr/>
      <w:start w:val="1"/>
      <w:suff w:val="tab"/>
    </w:lvl>
    <w:lvl w:ilvl="4">
      <w:isLgl w:val="true"/>
      <w:lvlJc w:val="left"/>
      <w:lvlText w:val="%1.%2.%3.%4.%5."/>
      <w:numFmt w:val="decimal"/>
      <w:pPr>
        <w:pBdr/>
        <w:tabs>
          <w:tab w:val="num" w:leader="none" w:pos="0"/>
        </w:tabs>
        <w:spacing/>
        <w:ind w:hanging="1080" w:left="3371"/>
      </w:pPr>
      <w:rPr/>
      <w:start w:val="1"/>
      <w:suff w:val="tab"/>
    </w:lvl>
    <w:lvl w:ilvl="5">
      <w:isLgl w:val="true"/>
      <w:lvlJc w:val="left"/>
      <w:lvlText w:val="%1.%2.%3.%4.%5.%6."/>
      <w:numFmt w:val="decimal"/>
      <w:pPr>
        <w:pBdr/>
        <w:tabs>
          <w:tab w:val="num" w:leader="none" w:pos="0"/>
        </w:tabs>
        <w:spacing/>
        <w:ind w:hanging="1440" w:left="4091"/>
      </w:pPr>
      <w:rPr/>
      <w:start w:val="1"/>
      <w:suff w:val="tab"/>
    </w:lvl>
    <w:lvl w:ilvl="6">
      <w:isLgl w:val="true"/>
      <w:lvlJc w:val="left"/>
      <w:lvlText w:val="%1.%2.%3.%4.%5.%6.%7."/>
      <w:numFmt w:val="decimal"/>
      <w:pPr>
        <w:pBdr/>
        <w:tabs>
          <w:tab w:val="num" w:leader="none" w:pos="0"/>
        </w:tabs>
        <w:spacing/>
        <w:ind w:hanging="1440" w:left="4451"/>
      </w:pPr>
      <w:rPr/>
      <w:start w:val="1"/>
      <w:suff w:val="tab"/>
    </w:lvl>
    <w:lvl w:ilvl="7">
      <w:isLgl w:val="true"/>
      <w:lvlJc w:val="left"/>
      <w:lvlText w:val="%1.%2.%3.%4.%5.%6.%7.%8."/>
      <w:numFmt w:val="decimal"/>
      <w:pPr>
        <w:pBdr/>
        <w:tabs>
          <w:tab w:val="num" w:leader="none" w:pos="0"/>
        </w:tabs>
        <w:spacing/>
        <w:ind w:hanging="1800" w:left="5171"/>
      </w:pPr>
      <w:rPr/>
      <w:start w:val="1"/>
      <w:suff w:val="tab"/>
    </w:lvl>
    <w:lvl w:ilvl="8">
      <w:isLgl w:val="true"/>
      <w:lvlJc w:val="left"/>
      <w:lvlText w:val="%1.%2.%3.%4.%5.%6.%7.%8.%9."/>
      <w:numFmt w:val="decimal"/>
      <w:pPr>
        <w:pBdr/>
        <w:tabs>
          <w:tab w:val="num" w:leader="none" w:pos="0"/>
        </w:tabs>
        <w:spacing/>
        <w:ind w:hanging="1800" w:left="5531"/>
      </w:pPr>
      <w:rPr/>
      <w:start w:val="1"/>
      <w:suff w:val="tab"/>
    </w:lvl>
  </w:abstractNum>
  <w:abstractNum w:abstractNumId="54">
    <w:lvl w:ilvl="0">
      <w:isLgl w:val="false"/>
      <w:lvlJc w:val="left"/>
      <w:lvlText w:val="-"/>
      <w:numFmt w:val="bullet"/>
      <w:pPr>
        <w:pBdr/>
        <w:tabs>
          <w:tab w:val="num" w:leader="none" w:pos="0"/>
        </w:tabs>
        <w:spacing/>
        <w:ind w:firstLine="709" w:left="0"/>
      </w:pPr>
      <w:pStyle w:val="12975"/>
      <w:rPr>
        <w:rFonts w:hint="default" w:ascii="Times New Roman" w:hAnsi="Times New Roman" w:cs="Times New Roman"/>
        <w:b w:val="0"/>
        <w:i w:val="0"/>
        <w:caps w:val="0"/>
        <w:smallCaps w:val="0"/>
        <w:strike w:val="0"/>
        <w:vanish w:val="0"/>
        <w:color w:val="auto"/>
        <w:position w:val="0"/>
        <w:sz w:val="28"/>
        <w:u w:val="none"/>
        <w:vertAlign w:val="baseline"/>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55">
    <w:lvl w:ilvl="0">
      <w:isLgl w:val="false"/>
      <w:lvlJc w:val="left"/>
      <w:lvlText w:val="%1."/>
      <w:numFmt w:val="decimal"/>
      <w:pPr>
        <w:pBdr/>
        <w:tabs>
          <w:tab w:val="num" w:leader="none" w:pos="0"/>
        </w:tabs>
        <w:spacing/>
        <w:ind w:hanging="360" w:left="360"/>
      </w:pPr>
      <w:rPr/>
      <w:start w:val="1"/>
      <w:suff w:val="tab"/>
    </w:lvl>
    <w:lvl w:ilvl="1">
      <w:isLgl w:val="false"/>
      <w:lvlJc w:val="left"/>
      <w:lvlText w:val="%1.%2."/>
      <w:numFmt w:val="decimal"/>
      <w:pPr>
        <w:pBdr/>
        <w:tabs>
          <w:tab w:val="num" w:leader="none" w:pos="0"/>
        </w:tabs>
        <w:spacing/>
        <w:ind w:hanging="432" w:left="792"/>
      </w:pPr>
      <w:pStyle w:val="13010"/>
      <w:rPr/>
      <w:start w:val="1"/>
      <w:suff w:val="tab"/>
    </w:lvl>
    <w:lvl w:ilvl="2">
      <w:isLgl w:val="false"/>
      <w:lvlJc w:val="left"/>
      <w:lvlText w:val="%1.%2.%3."/>
      <w:numFmt w:val="decimal"/>
      <w:pPr>
        <w:pBdr/>
        <w:tabs>
          <w:tab w:val="num" w:leader="none" w:pos="0"/>
        </w:tabs>
        <w:spacing/>
        <w:ind w:hanging="504" w:left="1224"/>
      </w:pPr>
      <w:rPr/>
      <w:start w:val="1"/>
      <w:suff w:val="tab"/>
    </w:lvl>
    <w:lvl w:ilvl="3">
      <w:isLgl w:val="false"/>
      <w:lvlJc w:val="left"/>
      <w:lvlText w:val="%1.%2.%3.%4."/>
      <w:numFmt w:val="decimal"/>
      <w:pPr>
        <w:pBdr/>
        <w:tabs>
          <w:tab w:val="num" w:leader="none" w:pos="0"/>
        </w:tabs>
        <w:spacing/>
        <w:ind w:hanging="648" w:left="1728"/>
      </w:pPr>
      <w:rPr/>
      <w:start w:val="1"/>
      <w:suff w:val="tab"/>
    </w:lvl>
    <w:lvl w:ilvl="4">
      <w:isLgl w:val="false"/>
      <w:lvlJc w:val="left"/>
      <w:lvlText w:val="%1.%2.%3.%4.%5."/>
      <w:numFmt w:val="decimal"/>
      <w:pPr>
        <w:pBdr/>
        <w:tabs>
          <w:tab w:val="num" w:leader="none" w:pos="0"/>
        </w:tabs>
        <w:spacing/>
        <w:ind w:hanging="792" w:left="2232"/>
      </w:pPr>
      <w:rPr/>
      <w:start w:val="1"/>
      <w:suff w:val="tab"/>
    </w:lvl>
    <w:lvl w:ilvl="5">
      <w:isLgl w:val="false"/>
      <w:lvlJc w:val="left"/>
      <w:lvlText w:val="%1.%2.%3.%4.%5.%6."/>
      <w:numFmt w:val="decimal"/>
      <w:pPr>
        <w:pBdr/>
        <w:tabs>
          <w:tab w:val="num" w:leader="none" w:pos="0"/>
        </w:tabs>
        <w:spacing/>
        <w:ind w:hanging="936" w:left="2736"/>
      </w:pPr>
      <w:rPr/>
      <w:start w:val="1"/>
      <w:suff w:val="tab"/>
    </w:lvl>
    <w:lvl w:ilvl="6">
      <w:isLgl w:val="false"/>
      <w:lvlJc w:val="left"/>
      <w:lvlText w:val="%1.%2.%3.%4.%5.%6.%7."/>
      <w:numFmt w:val="decimal"/>
      <w:pPr>
        <w:pBdr/>
        <w:tabs>
          <w:tab w:val="num" w:leader="none" w:pos="0"/>
        </w:tabs>
        <w:spacing/>
        <w:ind w:hanging="1080" w:left="3240"/>
      </w:pPr>
      <w:rPr/>
      <w:start w:val="1"/>
      <w:suff w:val="tab"/>
    </w:lvl>
    <w:lvl w:ilvl="7">
      <w:isLgl w:val="false"/>
      <w:lvlJc w:val="left"/>
      <w:lvlText w:val="%1.%2.%3.%4.%5.%6.%7.%8."/>
      <w:numFmt w:val="decimal"/>
      <w:pPr>
        <w:pBdr/>
        <w:tabs>
          <w:tab w:val="num" w:leader="none" w:pos="0"/>
        </w:tabs>
        <w:spacing/>
        <w:ind w:hanging="1224" w:left="3744"/>
      </w:pPr>
      <w:rPr/>
      <w:start w:val="1"/>
      <w:suff w:val="tab"/>
    </w:lvl>
    <w:lvl w:ilvl="8">
      <w:isLgl w:val="false"/>
      <w:lvlJc w:val="left"/>
      <w:lvlText w:val="%1.%2.%3.%4.%5.%6.%7.%8.%9."/>
      <w:numFmt w:val="decimal"/>
      <w:pPr>
        <w:pBdr/>
        <w:tabs>
          <w:tab w:val="num" w:leader="none" w:pos="0"/>
        </w:tabs>
        <w:spacing/>
        <w:ind w:hanging="1440" w:left="4320"/>
      </w:pPr>
      <w:rPr/>
      <w:start w:val="1"/>
      <w:suff w:val="tab"/>
    </w:lvl>
  </w:abstractNum>
  <w:abstractNum w:abstractNumId="56">
    <w:lvl w:ilvl="0">
      <w:isLgl w:val="false"/>
      <w:lvlJc w:val="left"/>
      <w:lvlText w:val=""/>
      <w:numFmt w:val="none"/>
      <w:pPr>
        <w:pBdr/>
        <w:tabs>
          <w:tab w:val="num" w:leader="none" w:pos="0"/>
        </w:tabs>
        <w:spacing/>
        <w:ind w:hanging="360" w:left="1429"/>
      </w:pPr>
      <w:rPr/>
      <w:start w:val="1"/>
      <w:suff w:val="nothing"/>
    </w:lvl>
    <w:lvl w:ilvl="1">
      <w:isLgl w:val="false"/>
      <w:lvlJc w:val="left"/>
      <w:lvlText w:val="%2)"/>
      <w:numFmt w:val="decimal"/>
      <w:pPr>
        <w:pBdr/>
        <w:tabs>
          <w:tab w:val="num" w:leader="none" w:pos="0"/>
        </w:tabs>
        <w:spacing/>
        <w:ind w:hanging="360" w:left="2149"/>
      </w:pPr>
      <w:rPr/>
      <w:start w:val="1"/>
      <w:suff w:val="tab"/>
    </w:lvl>
    <w:lvl w:ilvl="2">
      <w:isLgl w:val="false"/>
      <w:lvlJc w:val="right"/>
      <w:lvlText w:val="%3."/>
      <w:numFmt w:val="lowerRoman"/>
      <w:pPr>
        <w:pBdr/>
        <w:tabs>
          <w:tab w:val="num" w:leader="none" w:pos="0"/>
        </w:tabs>
        <w:spacing/>
        <w:ind w:hanging="180" w:left="2869"/>
      </w:pPr>
      <w:rPr/>
      <w:start w:val="1"/>
      <w:suff w:val="tab"/>
    </w:lvl>
    <w:lvl w:ilvl="3">
      <w:isLgl w:val="false"/>
      <w:lvlJc w:val="left"/>
      <w:lvlText w:val="%4."/>
      <w:numFmt w:val="decimal"/>
      <w:pPr>
        <w:pBdr/>
        <w:tabs>
          <w:tab w:val="num" w:leader="none" w:pos="0"/>
        </w:tabs>
        <w:spacing/>
        <w:ind w:hanging="360" w:left="3589"/>
      </w:pPr>
      <w:rPr/>
      <w:start w:val="1"/>
      <w:suff w:val="tab"/>
    </w:lvl>
    <w:lvl w:ilvl="4">
      <w:isLgl w:val="false"/>
      <w:lvlJc w:val="left"/>
      <w:lvlText w:val="%5."/>
      <w:numFmt w:val="lowerLetter"/>
      <w:pPr>
        <w:pBdr/>
        <w:tabs>
          <w:tab w:val="num" w:leader="none" w:pos="0"/>
        </w:tabs>
        <w:spacing/>
        <w:ind w:hanging="360" w:left="4309"/>
      </w:pPr>
      <w:rPr/>
      <w:start w:val="1"/>
      <w:suff w:val="tab"/>
    </w:lvl>
    <w:lvl w:ilvl="5">
      <w:isLgl w:val="false"/>
      <w:lvlJc w:val="right"/>
      <w:lvlText w:val="%6."/>
      <w:numFmt w:val="lowerRoman"/>
      <w:pPr>
        <w:pBdr/>
        <w:tabs>
          <w:tab w:val="num" w:leader="none" w:pos="0"/>
        </w:tabs>
        <w:spacing/>
        <w:ind w:hanging="180" w:left="5029"/>
      </w:pPr>
      <w:rPr/>
      <w:start w:val="1"/>
      <w:suff w:val="tab"/>
    </w:lvl>
    <w:lvl w:ilvl="6">
      <w:isLgl w:val="false"/>
      <w:lvlJc w:val="left"/>
      <w:lvlText w:val="%7."/>
      <w:numFmt w:val="decimal"/>
      <w:pPr>
        <w:pBdr/>
        <w:tabs>
          <w:tab w:val="num" w:leader="none" w:pos="0"/>
        </w:tabs>
        <w:spacing/>
        <w:ind w:hanging="360" w:left="5749"/>
      </w:pPr>
      <w:rPr/>
      <w:start w:val="1"/>
      <w:suff w:val="tab"/>
    </w:lvl>
    <w:lvl w:ilvl="7">
      <w:isLgl w:val="false"/>
      <w:lvlJc w:val="left"/>
      <w:lvlText w:val="%8."/>
      <w:numFmt w:val="lowerLetter"/>
      <w:pPr>
        <w:pBdr/>
        <w:tabs>
          <w:tab w:val="num" w:leader="none" w:pos="0"/>
        </w:tabs>
        <w:spacing/>
        <w:ind w:hanging="360" w:left="6469"/>
      </w:pPr>
      <w:rPr/>
      <w:start w:val="1"/>
      <w:suff w:val="tab"/>
    </w:lvl>
    <w:lvl w:ilvl="8">
      <w:isLgl w:val="false"/>
      <w:lvlJc w:val="right"/>
      <w:lvlText w:val="%9."/>
      <w:numFmt w:val="lowerRoman"/>
      <w:pPr>
        <w:pBdr/>
        <w:tabs>
          <w:tab w:val="num" w:leader="none" w:pos="0"/>
        </w:tabs>
        <w:spacing/>
        <w:ind w:hanging="180" w:left="7189"/>
      </w:pPr>
      <w:rPr/>
      <w:start w:val="1"/>
      <w:suff w:val="tab"/>
    </w:lvl>
  </w:abstractNum>
  <w:abstractNum w:abstractNumId="57">
    <w:lvl w:ilvl="0">
      <w:isLgl w:val="false"/>
      <w:lvlJc w:val="left"/>
      <w:lvlText w:val="%1."/>
      <w:numFmt w:val="decimal"/>
      <w:pPr>
        <w:pBdr/>
        <w:tabs>
          <w:tab w:val="num" w:leader="none" w:pos="0"/>
        </w:tabs>
        <w:spacing/>
        <w:ind w:hanging="1200" w:left="1909"/>
      </w:pPr>
      <w:rPr/>
      <w:start w:val="1"/>
      <w:suff w:val="tab"/>
    </w:lvl>
    <w:lvl w:ilvl="1">
      <w:isLgl w:val="false"/>
      <w:lvlJc w:val="left"/>
      <w:lvlText w:val="%2."/>
      <w:numFmt w:val="lowerLetter"/>
      <w:pPr>
        <w:pBdr/>
        <w:tabs>
          <w:tab w:val="num" w:leader="none" w:pos="0"/>
        </w:tabs>
        <w:spacing/>
        <w:ind w:hanging="360" w:left="1789"/>
      </w:pPr>
      <w:rPr/>
      <w:start w:val="1"/>
      <w:suff w:val="tab"/>
    </w:lvl>
    <w:lvl w:ilvl="2">
      <w:isLgl w:val="false"/>
      <w:lvlJc w:val="right"/>
      <w:lvlText w:val="%3."/>
      <w:numFmt w:val="lowerRoman"/>
      <w:pPr>
        <w:pBdr/>
        <w:tabs>
          <w:tab w:val="num" w:leader="none" w:pos="0"/>
        </w:tabs>
        <w:spacing/>
        <w:ind w:hanging="180" w:left="2509"/>
      </w:pPr>
      <w:rPr/>
      <w:start w:val="1"/>
      <w:suff w:val="tab"/>
    </w:lvl>
    <w:lvl w:ilvl="3">
      <w:isLgl w:val="false"/>
      <w:lvlJc w:val="left"/>
      <w:lvlText w:val="%4."/>
      <w:numFmt w:val="decimal"/>
      <w:pPr>
        <w:pBdr/>
        <w:tabs>
          <w:tab w:val="num" w:leader="none" w:pos="0"/>
        </w:tabs>
        <w:spacing/>
        <w:ind w:hanging="360" w:left="3229"/>
      </w:pPr>
      <w:rPr/>
      <w:start w:val="1"/>
      <w:suff w:val="tab"/>
    </w:lvl>
    <w:lvl w:ilvl="4">
      <w:isLgl w:val="false"/>
      <w:lvlJc w:val="left"/>
      <w:lvlText w:val="%5."/>
      <w:numFmt w:val="lowerLetter"/>
      <w:pPr>
        <w:pBdr/>
        <w:tabs>
          <w:tab w:val="num" w:leader="none" w:pos="0"/>
        </w:tabs>
        <w:spacing/>
        <w:ind w:hanging="360" w:left="3949"/>
      </w:pPr>
      <w:rPr/>
      <w:start w:val="1"/>
      <w:suff w:val="tab"/>
    </w:lvl>
    <w:lvl w:ilvl="5">
      <w:isLgl w:val="false"/>
      <w:lvlJc w:val="right"/>
      <w:lvlText w:val="%6."/>
      <w:numFmt w:val="lowerRoman"/>
      <w:pPr>
        <w:pBdr/>
        <w:tabs>
          <w:tab w:val="num" w:leader="none" w:pos="0"/>
        </w:tabs>
        <w:spacing/>
        <w:ind w:hanging="180" w:left="4669"/>
      </w:pPr>
      <w:rPr/>
      <w:start w:val="1"/>
      <w:suff w:val="tab"/>
    </w:lvl>
    <w:lvl w:ilvl="6">
      <w:isLgl w:val="false"/>
      <w:lvlJc w:val="left"/>
      <w:lvlText w:val="%7."/>
      <w:numFmt w:val="decimal"/>
      <w:pPr>
        <w:pBdr/>
        <w:tabs>
          <w:tab w:val="num" w:leader="none" w:pos="0"/>
        </w:tabs>
        <w:spacing/>
        <w:ind w:hanging="360" w:left="5389"/>
      </w:pPr>
      <w:rPr/>
      <w:start w:val="1"/>
      <w:suff w:val="tab"/>
    </w:lvl>
    <w:lvl w:ilvl="7">
      <w:isLgl w:val="false"/>
      <w:lvlJc w:val="left"/>
      <w:lvlText w:val="%8."/>
      <w:numFmt w:val="lowerLetter"/>
      <w:pPr>
        <w:pBdr/>
        <w:tabs>
          <w:tab w:val="num" w:leader="none" w:pos="0"/>
        </w:tabs>
        <w:spacing/>
        <w:ind w:hanging="360" w:left="6109"/>
      </w:pPr>
      <w:rPr/>
      <w:start w:val="1"/>
      <w:suff w:val="tab"/>
    </w:lvl>
    <w:lvl w:ilvl="8">
      <w:isLgl w:val="false"/>
      <w:lvlJc w:val="right"/>
      <w:lvlText w:val="%9."/>
      <w:numFmt w:val="lowerRoman"/>
      <w:pPr>
        <w:pBdr/>
        <w:tabs>
          <w:tab w:val="num" w:leader="none" w:pos="0"/>
        </w:tabs>
        <w:spacing/>
        <w:ind w:hanging="180" w:left="6829"/>
      </w:pPr>
      <w:rPr/>
      <w:start w:val="1"/>
      <w:suff w:val="tab"/>
    </w:lvl>
  </w:abstractNum>
  <w:abstractNum w:abstractNumId="58">
    <w:lvl w:ilvl="0">
      <w:isLgl w:val="false"/>
      <w:lvlJc w:val="left"/>
      <w:lvlText w:val="%1)"/>
      <w:numFmt w:val="decimal"/>
      <w:pPr>
        <w:pBdr/>
        <w:tabs>
          <w:tab w:val="num" w:leader="none" w:pos="0"/>
        </w:tabs>
        <w:spacing/>
        <w:ind w:hanging="360" w:left="720"/>
      </w:pPr>
      <w:pStyle w:val="12998"/>
      <w:rPr/>
      <w:start w:val="1"/>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59">
    <w:lvl w:ilvl="0">
      <w:isLgl w:val="false"/>
      <w:lvlJc w:val="left"/>
      <w:lvlText w:val="%1)"/>
      <w:numFmt w:val="russianLower"/>
      <w:pPr>
        <w:pBdr/>
        <w:tabs>
          <w:tab w:val="num" w:leader="none" w:pos="0"/>
        </w:tabs>
        <w:spacing/>
        <w:ind w:hanging="360" w:left="2138"/>
      </w:pPr>
      <w:pStyle w:val="12999"/>
      <w:rPr/>
      <w:start w:val="1"/>
      <w:suff w:val="tab"/>
    </w:lvl>
    <w:lvl w:ilvl="1">
      <w:isLgl w:val="false"/>
      <w:lvlJc w:val="left"/>
      <w:lvlText w:val="%2."/>
      <w:numFmt w:val="lowerLetter"/>
      <w:pPr>
        <w:pBdr/>
        <w:tabs>
          <w:tab w:val="num" w:leader="none" w:pos="0"/>
        </w:tabs>
        <w:spacing/>
        <w:ind w:hanging="360" w:left="2858"/>
      </w:pPr>
      <w:rPr/>
      <w:start w:val="1"/>
      <w:suff w:val="tab"/>
    </w:lvl>
    <w:lvl w:ilvl="2">
      <w:isLgl w:val="false"/>
      <w:lvlJc w:val="right"/>
      <w:lvlText w:val="%3."/>
      <w:numFmt w:val="lowerRoman"/>
      <w:pPr>
        <w:pBdr/>
        <w:tabs>
          <w:tab w:val="num" w:leader="none" w:pos="0"/>
        </w:tabs>
        <w:spacing/>
        <w:ind w:hanging="180" w:left="3578"/>
      </w:pPr>
      <w:rPr/>
      <w:start w:val="1"/>
      <w:suff w:val="tab"/>
    </w:lvl>
    <w:lvl w:ilvl="3">
      <w:isLgl w:val="false"/>
      <w:lvlJc w:val="left"/>
      <w:lvlText w:val="%4."/>
      <w:numFmt w:val="decimal"/>
      <w:pPr>
        <w:pBdr/>
        <w:tabs>
          <w:tab w:val="num" w:leader="none" w:pos="0"/>
        </w:tabs>
        <w:spacing/>
        <w:ind w:hanging="360" w:left="4298"/>
      </w:pPr>
      <w:rPr/>
      <w:start w:val="1"/>
      <w:suff w:val="tab"/>
    </w:lvl>
    <w:lvl w:ilvl="4">
      <w:isLgl w:val="false"/>
      <w:lvlJc w:val="left"/>
      <w:lvlText w:val="%5."/>
      <w:numFmt w:val="lowerLetter"/>
      <w:pPr>
        <w:pBdr/>
        <w:tabs>
          <w:tab w:val="num" w:leader="none" w:pos="0"/>
        </w:tabs>
        <w:spacing/>
        <w:ind w:hanging="360" w:left="5018"/>
      </w:pPr>
      <w:rPr/>
      <w:start w:val="1"/>
      <w:suff w:val="tab"/>
    </w:lvl>
    <w:lvl w:ilvl="5">
      <w:isLgl w:val="false"/>
      <w:lvlJc w:val="right"/>
      <w:lvlText w:val="%6."/>
      <w:numFmt w:val="lowerRoman"/>
      <w:pPr>
        <w:pBdr/>
        <w:tabs>
          <w:tab w:val="num" w:leader="none" w:pos="0"/>
        </w:tabs>
        <w:spacing/>
        <w:ind w:hanging="180" w:left="5738"/>
      </w:pPr>
      <w:rPr/>
      <w:start w:val="1"/>
      <w:suff w:val="tab"/>
    </w:lvl>
    <w:lvl w:ilvl="6">
      <w:isLgl w:val="false"/>
      <w:lvlJc w:val="left"/>
      <w:lvlText w:val="%7."/>
      <w:numFmt w:val="decimal"/>
      <w:pPr>
        <w:pBdr/>
        <w:tabs>
          <w:tab w:val="num" w:leader="none" w:pos="0"/>
        </w:tabs>
        <w:spacing/>
        <w:ind w:hanging="360" w:left="6458"/>
      </w:pPr>
      <w:rPr/>
      <w:start w:val="1"/>
      <w:suff w:val="tab"/>
    </w:lvl>
    <w:lvl w:ilvl="7">
      <w:isLgl w:val="false"/>
      <w:lvlJc w:val="left"/>
      <w:lvlText w:val="%8."/>
      <w:numFmt w:val="lowerLetter"/>
      <w:pPr>
        <w:pBdr/>
        <w:tabs>
          <w:tab w:val="num" w:leader="none" w:pos="0"/>
        </w:tabs>
        <w:spacing/>
        <w:ind w:hanging="360" w:left="7178"/>
      </w:pPr>
      <w:rPr/>
      <w:start w:val="1"/>
      <w:suff w:val="tab"/>
    </w:lvl>
    <w:lvl w:ilvl="8">
      <w:isLgl w:val="false"/>
      <w:lvlJc w:val="right"/>
      <w:lvlText w:val="%9."/>
      <w:numFmt w:val="lowerRoman"/>
      <w:pPr>
        <w:pBdr/>
        <w:tabs>
          <w:tab w:val="num" w:leader="none" w:pos="0"/>
        </w:tabs>
        <w:spacing/>
        <w:ind w:hanging="180" w:left="7898"/>
      </w:pPr>
      <w:rPr/>
      <w:start w:val="1"/>
      <w:suff w:val="tab"/>
    </w:lvl>
  </w:abstractNum>
  <w:abstractNum w:abstractNumId="60">
    <w:lvl w:ilvl="0">
      <w:isLgl w:val="false"/>
      <w:lvlJc w:val="left"/>
      <w:lvlText w:val="˗"/>
      <w:numFmt w:val="bullet"/>
      <w:pPr>
        <w:pBdr/>
        <w:tabs>
          <w:tab w:val="num" w:leader="none" w:pos="0"/>
        </w:tabs>
        <w:spacing/>
        <w:ind w:hanging="360" w:left="1212"/>
      </w:pPr>
      <w:rPr>
        <w:rFonts w:hint="default" w:ascii="Times New Roman" w:hAnsi="Times New Roman" w:cs="Times New Roman"/>
        <w:sz w:val="28"/>
        <w:szCs w:val="28"/>
      </w:rPr>
      <w:start w:val="0"/>
      <w:suff w:val="tab"/>
    </w:lvl>
    <w:lvl w:ilvl="1">
      <w:isLgl w:val="false"/>
      <w:lvlJc w:val="left"/>
      <w:lvlText w:val="o"/>
      <w:numFmt w:val="bullet"/>
      <w:pPr>
        <w:pBdr/>
        <w:tabs>
          <w:tab w:val="num" w:leader="none" w:pos="0"/>
        </w:tabs>
        <w:spacing/>
        <w:ind w:hanging="360" w:left="2575"/>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3295"/>
      </w:pPr>
      <w:rPr>
        <w:rFonts w:hint="default" w:ascii="Wingdings" w:hAnsi="Wingdings" w:cs="Wingdings"/>
      </w:rPr>
      <w:start w:val="1"/>
      <w:suff w:val="tab"/>
    </w:lvl>
    <w:lvl w:ilvl="3">
      <w:isLgl w:val="false"/>
      <w:lvlJc w:val="left"/>
      <w:lvlText w:val=""/>
      <w:numFmt w:val="bullet"/>
      <w:pPr>
        <w:pBdr/>
        <w:tabs>
          <w:tab w:val="num" w:leader="none" w:pos="0"/>
        </w:tabs>
        <w:spacing/>
        <w:ind w:hanging="360" w:left="4015"/>
      </w:pPr>
      <w:rPr>
        <w:rFonts w:hint="default" w:ascii="Symbol" w:hAnsi="Symbol" w:cs="Symbol"/>
      </w:rPr>
      <w:start w:val="1"/>
      <w:suff w:val="tab"/>
    </w:lvl>
    <w:lvl w:ilvl="4">
      <w:isLgl w:val="false"/>
      <w:lvlJc w:val="left"/>
      <w:lvlText w:val="o"/>
      <w:numFmt w:val="bullet"/>
      <w:pPr>
        <w:pBdr/>
        <w:tabs>
          <w:tab w:val="num" w:leader="none" w:pos="0"/>
        </w:tabs>
        <w:spacing/>
        <w:ind w:hanging="360" w:left="4735"/>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455"/>
      </w:pPr>
      <w:rPr>
        <w:rFonts w:hint="default" w:ascii="Wingdings" w:hAnsi="Wingdings" w:cs="Wingdings"/>
      </w:rPr>
      <w:start w:val="1"/>
      <w:suff w:val="tab"/>
    </w:lvl>
    <w:lvl w:ilvl="6">
      <w:isLgl w:val="false"/>
      <w:lvlJc w:val="left"/>
      <w:lvlText w:val=""/>
      <w:numFmt w:val="bullet"/>
      <w:pPr>
        <w:pBdr/>
        <w:tabs>
          <w:tab w:val="num" w:leader="none" w:pos="0"/>
        </w:tabs>
        <w:spacing/>
        <w:ind w:hanging="360" w:left="6175"/>
      </w:pPr>
      <w:rPr>
        <w:rFonts w:hint="default" w:ascii="Symbol" w:hAnsi="Symbol" w:cs="Symbol"/>
      </w:rPr>
      <w:start w:val="1"/>
      <w:suff w:val="tab"/>
    </w:lvl>
    <w:lvl w:ilvl="7">
      <w:isLgl w:val="false"/>
      <w:lvlJc w:val="left"/>
      <w:lvlText w:val="o"/>
      <w:numFmt w:val="bullet"/>
      <w:pPr>
        <w:pBdr/>
        <w:tabs>
          <w:tab w:val="num" w:leader="none" w:pos="0"/>
        </w:tabs>
        <w:spacing/>
        <w:ind w:hanging="360" w:left="6895"/>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615"/>
      </w:pPr>
      <w:rPr>
        <w:rFonts w:hint="default" w:ascii="Wingdings" w:hAnsi="Wingdings" w:cs="Wingdings"/>
      </w:rPr>
      <w:start w:val="1"/>
      <w:suff w:val="tab"/>
    </w:lvl>
  </w:abstractNum>
  <w:abstractNum w:abstractNumId="61">
    <w:lvl w:ilvl="0">
      <w:isLgl w:val="false"/>
      <w:lvlJc w:val="left"/>
      <w:lvlText w:val="%1. "/>
      <w:numFmt w:val="decimal"/>
      <w:pPr>
        <w:pBdr/>
        <w:tabs>
          <w:tab w:val="num" w:leader="none" w:pos="0"/>
        </w:tabs>
        <w:spacing/>
        <w:ind w:hanging="360" w:left="1287"/>
      </w:pPr>
      <w:rPr/>
      <w:start w:val="1"/>
      <w:suff w:val="tab"/>
    </w:lvl>
    <w:lvl w:ilvl="1">
      <w:isLgl w:val="false"/>
      <w:lvlJc w:val="left"/>
      <w:lvlText w:val="%2."/>
      <w:numFmt w:val="lowerLetter"/>
      <w:pPr>
        <w:pBdr/>
        <w:tabs>
          <w:tab w:val="num" w:leader="none" w:pos="0"/>
        </w:tabs>
        <w:spacing/>
        <w:ind w:hanging="360" w:left="2007"/>
      </w:pPr>
      <w:rPr/>
      <w:start w:val="1"/>
      <w:suff w:val="tab"/>
    </w:lvl>
    <w:lvl w:ilvl="2">
      <w:isLgl w:val="false"/>
      <w:lvlJc w:val="right"/>
      <w:lvlText w:val="%3."/>
      <w:numFmt w:val="lowerRoman"/>
      <w:pPr>
        <w:pBdr/>
        <w:tabs>
          <w:tab w:val="num" w:leader="none" w:pos="0"/>
        </w:tabs>
        <w:spacing/>
        <w:ind w:hanging="180" w:left="2727"/>
      </w:pPr>
      <w:rPr/>
      <w:start w:val="1"/>
      <w:suff w:val="tab"/>
    </w:lvl>
    <w:lvl w:ilvl="3">
      <w:isLgl w:val="false"/>
      <w:lvlJc w:val="left"/>
      <w:lvlText w:val="%4."/>
      <w:numFmt w:val="decimal"/>
      <w:pPr>
        <w:pBdr/>
        <w:tabs>
          <w:tab w:val="num" w:leader="none" w:pos="0"/>
        </w:tabs>
        <w:spacing/>
        <w:ind w:hanging="360" w:left="3447"/>
      </w:pPr>
      <w:rPr/>
      <w:start w:val="1"/>
      <w:suff w:val="tab"/>
    </w:lvl>
    <w:lvl w:ilvl="4">
      <w:isLgl w:val="false"/>
      <w:lvlJc w:val="left"/>
      <w:lvlText w:val="%5."/>
      <w:numFmt w:val="lowerLetter"/>
      <w:pPr>
        <w:pBdr/>
        <w:tabs>
          <w:tab w:val="num" w:leader="none" w:pos="0"/>
        </w:tabs>
        <w:spacing/>
        <w:ind w:hanging="360" w:left="4167"/>
      </w:pPr>
      <w:rPr/>
      <w:start w:val="1"/>
      <w:suff w:val="tab"/>
    </w:lvl>
    <w:lvl w:ilvl="5">
      <w:isLgl w:val="false"/>
      <w:lvlJc w:val="right"/>
      <w:lvlText w:val="%6."/>
      <w:numFmt w:val="lowerRoman"/>
      <w:pPr>
        <w:pBdr/>
        <w:tabs>
          <w:tab w:val="num" w:leader="none" w:pos="0"/>
        </w:tabs>
        <w:spacing/>
        <w:ind w:hanging="180" w:left="4887"/>
      </w:pPr>
      <w:rPr/>
      <w:start w:val="1"/>
      <w:suff w:val="tab"/>
    </w:lvl>
    <w:lvl w:ilvl="6">
      <w:isLgl w:val="false"/>
      <w:lvlJc w:val="left"/>
      <w:lvlText w:val="%7."/>
      <w:numFmt w:val="decimal"/>
      <w:pPr>
        <w:pBdr/>
        <w:tabs>
          <w:tab w:val="num" w:leader="none" w:pos="0"/>
        </w:tabs>
        <w:spacing/>
        <w:ind w:hanging="360" w:left="5607"/>
      </w:pPr>
      <w:rPr/>
      <w:start w:val="1"/>
      <w:suff w:val="tab"/>
    </w:lvl>
    <w:lvl w:ilvl="7">
      <w:isLgl w:val="false"/>
      <w:lvlJc w:val="left"/>
      <w:lvlText w:val="%8."/>
      <w:numFmt w:val="lowerLetter"/>
      <w:pPr>
        <w:pBdr/>
        <w:tabs>
          <w:tab w:val="num" w:leader="none" w:pos="0"/>
        </w:tabs>
        <w:spacing/>
        <w:ind w:hanging="360" w:left="6327"/>
      </w:pPr>
      <w:rPr/>
      <w:start w:val="1"/>
      <w:suff w:val="tab"/>
    </w:lvl>
    <w:lvl w:ilvl="8">
      <w:isLgl w:val="false"/>
      <w:lvlJc w:val="right"/>
      <w:lvlText w:val="%9."/>
      <w:numFmt w:val="lowerRoman"/>
      <w:pPr>
        <w:pBdr/>
        <w:tabs>
          <w:tab w:val="num" w:leader="none" w:pos="0"/>
        </w:tabs>
        <w:spacing/>
        <w:ind w:hanging="180" w:left="7047"/>
      </w:pPr>
      <w:rPr/>
      <w:start w:val="1"/>
      <w:suff w:val="tab"/>
    </w:lvl>
  </w:abstractNum>
  <w:abstractNum w:abstractNumId="62">
    <w:lvl w:ilvl="0">
      <w:isLgl w:val="false"/>
      <w:lvlJc w:val="left"/>
      <w:lvlText w:val="%1. "/>
      <w:numFmt w:val="decimal"/>
      <w:pPr>
        <w:pBdr/>
        <w:tabs>
          <w:tab w:val="num" w:leader="none" w:pos="0"/>
        </w:tabs>
        <w:spacing/>
        <w:ind w:hanging="360" w:left="1287"/>
      </w:pPr>
      <w:rPr/>
      <w:start w:val="1"/>
      <w:suff w:val="tab"/>
    </w:lvl>
    <w:lvl w:ilvl="1">
      <w:isLgl w:val="false"/>
      <w:lvlJc w:val="left"/>
      <w:lvlText w:val="%2."/>
      <w:numFmt w:val="lowerLetter"/>
      <w:pPr>
        <w:pBdr/>
        <w:tabs>
          <w:tab w:val="num" w:leader="none" w:pos="0"/>
        </w:tabs>
        <w:spacing/>
        <w:ind w:hanging="360" w:left="2007"/>
      </w:pPr>
      <w:rPr/>
      <w:start w:val="1"/>
      <w:suff w:val="tab"/>
    </w:lvl>
    <w:lvl w:ilvl="2">
      <w:isLgl w:val="false"/>
      <w:lvlJc w:val="right"/>
      <w:lvlText w:val="%3."/>
      <w:numFmt w:val="lowerRoman"/>
      <w:pPr>
        <w:pBdr/>
        <w:tabs>
          <w:tab w:val="num" w:leader="none" w:pos="0"/>
        </w:tabs>
        <w:spacing/>
        <w:ind w:hanging="180" w:left="2727"/>
      </w:pPr>
      <w:rPr/>
      <w:start w:val="1"/>
      <w:suff w:val="tab"/>
    </w:lvl>
    <w:lvl w:ilvl="3">
      <w:isLgl w:val="false"/>
      <w:lvlJc w:val="left"/>
      <w:lvlText w:val="%4."/>
      <w:numFmt w:val="decimal"/>
      <w:pPr>
        <w:pBdr/>
        <w:tabs>
          <w:tab w:val="num" w:leader="none" w:pos="0"/>
        </w:tabs>
        <w:spacing/>
        <w:ind w:hanging="360" w:left="3447"/>
      </w:pPr>
      <w:rPr/>
      <w:start w:val="1"/>
      <w:suff w:val="tab"/>
    </w:lvl>
    <w:lvl w:ilvl="4">
      <w:isLgl w:val="false"/>
      <w:lvlJc w:val="left"/>
      <w:lvlText w:val="%5."/>
      <w:numFmt w:val="lowerLetter"/>
      <w:pPr>
        <w:pBdr/>
        <w:tabs>
          <w:tab w:val="num" w:leader="none" w:pos="0"/>
        </w:tabs>
        <w:spacing/>
        <w:ind w:hanging="360" w:left="4167"/>
      </w:pPr>
      <w:rPr/>
      <w:start w:val="1"/>
      <w:suff w:val="tab"/>
    </w:lvl>
    <w:lvl w:ilvl="5">
      <w:isLgl w:val="false"/>
      <w:lvlJc w:val="right"/>
      <w:lvlText w:val="%6."/>
      <w:numFmt w:val="lowerRoman"/>
      <w:pPr>
        <w:pBdr/>
        <w:tabs>
          <w:tab w:val="num" w:leader="none" w:pos="0"/>
        </w:tabs>
        <w:spacing/>
        <w:ind w:hanging="180" w:left="4887"/>
      </w:pPr>
      <w:rPr/>
      <w:start w:val="1"/>
      <w:suff w:val="tab"/>
    </w:lvl>
    <w:lvl w:ilvl="6">
      <w:isLgl w:val="false"/>
      <w:lvlJc w:val="left"/>
      <w:lvlText w:val="%7."/>
      <w:numFmt w:val="decimal"/>
      <w:pPr>
        <w:pBdr/>
        <w:tabs>
          <w:tab w:val="num" w:leader="none" w:pos="0"/>
        </w:tabs>
        <w:spacing/>
        <w:ind w:hanging="360" w:left="5607"/>
      </w:pPr>
      <w:rPr/>
      <w:start w:val="1"/>
      <w:suff w:val="tab"/>
    </w:lvl>
    <w:lvl w:ilvl="7">
      <w:isLgl w:val="false"/>
      <w:lvlJc w:val="left"/>
      <w:lvlText w:val="%8."/>
      <w:numFmt w:val="lowerLetter"/>
      <w:pPr>
        <w:pBdr/>
        <w:tabs>
          <w:tab w:val="num" w:leader="none" w:pos="0"/>
        </w:tabs>
        <w:spacing/>
        <w:ind w:hanging="360" w:left="6327"/>
      </w:pPr>
      <w:rPr/>
      <w:start w:val="1"/>
      <w:suff w:val="tab"/>
    </w:lvl>
    <w:lvl w:ilvl="8">
      <w:isLgl w:val="false"/>
      <w:lvlJc w:val="right"/>
      <w:lvlText w:val="%9."/>
      <w:numFmt w:val="lowerRoman"/>
      <w:pPr>
        <w:pBdr/>
        <w:tabs>
          <w:tab w:val="num" w:leader="none" w:pos="0"/>
        </w:tabs>
        <w:spacing/>
        <w:ind w:hanging="180" w:left="7047"/>
      </w:pPr>
      <w:rPr/>
      <w:start w:val="1"/>
      <w:suff w:val="tab"/>
    </w:lvl>
  </w:abstractNum>
  <w:abstractNum w:abstractNumId="63">
    <w:lvl w:ilvl="0">
      <w:isLgl w:val="false"/>
      <w:lvlJc w:val="left"/>
      <w:lvlText w:val="%1. "/>
      <w:numFmt w:val="decimal"/>
      <w:pPr>
        <w:pBdr/>
        <w:tabs>
          <w:tab w:val="num" w:leader="none" w:pos="0"/>
        </w:tabs>
        <w:spacing/>
        <w:ind w:hanging="360" w:left="1287"/>
      </w:pPr>
      <w:rPr/>
      <w:start w:val="1"/>
      <w:suff w:val="tab"/>
    </w:lvl>
    <w:lvl w:ilvl="1">
      <w:isLgl w:val="false"/>
      <w:lvlJc w:val="left"/>
      <w:lvlText w:val="%2."/>
      <w:numFmt w:val="lowerLetter"/>
      <w:pPr>
        <w:pBdr/>
        <w:tabs>
          <w:tab w:val="num" w:leader="none" w:pos="0"/>
        </w:tabs>
        <w:spacing/>
        <w:ind w:hanging="360" w:left="2007"/>
      </w:pPr>
      <w:rPr/>
      <w:start w:val="1"/>
      <w:suff w:val="tab"/>
    </w:lvl>
    <w:lvl w:ilvl="2">
      <w:isLgl w:val="false"/>
      <w:lvlJc w:val="right"/>
      <w:lvlText w:val="%3."/>
      <w:numFmt w:val="lowerRoman"/>
      <w:pPr>
        <w:pBdr/>
        <w:tabs>
          <w:tab w:val="num" w:leader="none" w:pos="0"/>
        </w:tabs>
        <w:spacing/>
        <w:ind w:hanging="180" w:left="2727"/>
      </w:pPr>
      <w:rPr/>
      <w:start w:val="1"/>
      <w:suff w:val="tab"/>
    </w:lvl>
    <w:lvl w:ilvl="3">
      <w:isLgl w:val="false"/>
      <w:lvlJc w:val="left"/>
      <w:lvlText w:val="%4."/>
      <w:numFmt w:val="decimal"/>
      <w:pPr>
        <w:pBdr/>
        <w:tabs>
          <w:tab w:val="num" w:leader="none" w:pos="0"/>
        </w:tabs>
        <w:spacing/>
        <w:ind w:hanging="360" w:left="3447"/>
      </w:pPr>
      <w:rPr/>
      <w:start w:val="1"/>
      <w:suff w:val="tab"/>
    </w:lvl>
    <w:lvl w:ilvl="4">
      <w:isLgl w:val="false"/>
      <w:lvlJc w:val="left"/>
      <w:lvlText w:val="%5."/>
      <w:numFmt w:val="lowerLetter"/>
      <w:pPr>
        <w:pBdr/>
        <w:tabs>
          <w:tab w:val="num" w:leader="none" w:pos="0"/>
        </w:tabs>
        <w:spacing/>
        <w:ind w:hanging="360" w:left="4167"/>
      </w:pPr>
      <w:rPr/>
      <w:start w:val="1"/>
      <w:suff w:val="tab"/>
    </w:lvl>
    <w:lvl w:ilvl="5">
      <w:isLgl w:val="false"/>
      <w:lvlJc w:val="right"/>
      <w:lvlText w:val="%6."/>
      <w:numFmt w:val="lowerRoman"/>
      <w:pPr>
        <w:pBdr/>
        <w:tabs>
          <w:tab w:val="num" w:leader="none" w:pos="0"/>
        </w:tabs>
        <w:spacing/>
        <w:ind w:hanging="180" w:left="4887"/>
      </w:pPr>
      <w:rPr/>
      <w:start w:val="1"/>
      <w:suff w:val="tab"/>
    </w:lvl>
    <w:lvl w:ilvl="6">
      <w:isLgl w:val="false"/>
      <w:lvlJc w:val="left"/>
      <w:lvlText w:val="%7."/>
      <w:numFmt w:val="decimal"/>
      <w:pPr>
        <w:pBdr/>
        <w:tabs>
          <w:tab w:val="num" w:leader="none" w:pos="0"/>
        </w:tabs>
        <w:spacing/>
        <w:ind w:hanging="360" w:left="5607"/>
      </w:pPr>
      <w:rPr/>
      <w:start w:val="1"/>
      <w:suff w:val="tab"/>
    </w:lvl>
    <w:lvl w:ilvl="7">
      <w:isLgl w:val="false"/>
      <w:lvlJc w:val="left"/>
      <w:lvlText w:val="%8."/>
      <w:numFmt w:val="lowerLetter"/>
      <w:pPr>
        <w:pBdr/>
        <w:tabs>
          <w:tab w:val="num" w:leader="none" w:pos="0"/>
        </w:tabs>
        <w:spacing/>
        <w:ind w:hanging="360" w:left="6327"/>
      </w:pPr>
      <w:rPr/>
      <w:start w:val="1"/>
      <w:suff w:val="tab"/>
    </w:lvl>
    <w:lvl w:ilvl="8">
      <w:isLgl w:val="false"/>
      <w:lvlJc w:val="right"/>
      <w:lvlText w:val="%9."/>
      <w:numFmt w:val="lowerRoman"/>
      <w:pPr>
        <w:pBdr/>
        <w:tabs>
          <w:tab w:val="num" w:leader="none" w:pos="0"/>
        </w:tabs>
        <w:spacing/>
        <w:ind w:hanging="180" w:left="7047"/>
      </w:pPr>
      <w:rPr/>
      <w:start w:val="1"/>
      <w:suff w:val="tab"/>
    </w:lvl>
  </w:abstractNum>
  <w:abstractNum w:abstractNumId="64">
    <w:lvl w:ilvl="0">
      <w:isLgl w:val="false"/>
      <w:lvlJc w:val="left"/>
      <w:lvlText w:val="%1."/>
      <w:numFmt w:val="decimal"/>
      <w:pPr>
        <w:pBdr/>
        <w:tabs>
          <w:tab w:val="num" w:leader="none" w:pos="0"/>
        </w:tabs>
        <w:spacing/>
        <w:ind w:hanging="360" w:left="1353"/>
      </w:pPr>
      <w:rPr/>
      <w:start w:val="1"/>
      <w:suff w:val="tab"/>
    </w:lvl>
    <w:lvl w:ilvl="1">
      <w:isLgl w:val="false"/>
      <w:lvlJc w:val="left"/>
      <w:lvlText w:val="%2."/>
      <w:numFmt w:val="lowerLetter"/>
      <w:pPr>
        <w:pBdr/>
        <w:tabs>
          <w:tab w:val="num" w:leader="none" w:pos="0"/>
        </w:tabs>
        <w:spacing/>
        <w:ind w:hanging="360" w:left="2073"/>
      </w:pPr>
      <w:rPr/>
      <w:start w:val="1"/>
      <w:suff w:val="tab"/>
    </w:lvl>
    <w:lvl w:ilvl="2">
      <w:isLgl w:val="false"/>
      <w:lvlJc w:val="right"/>
      <w:lvlText w:val="%3."/>
      <w:numFmt w:val="lowerRoman"/>
      <w:pPr>
        <w:pBdr/>
        <w:tabs>
          <w:tab w:val="num" w:leader="none" w:pos="0"/>
        </w:tabs>
        <w:spacing/>
        <w:ind w:hanging="180" w:left="2793"/>
      </w:pPr>
      <w:rPr/>
      <w:start w:val="1"/>
      <w:suff w:val="tab"/>
    </w:lvl>
    <w:lvl w:ilvl="3">
      <w:isLgl w:val="false"/>
      <w:lvlJc w:val="left"/>
      <w:lvlText w:val="%4."/>
      <w:numFmt w:val="decimal"/>
      <w:pPr>
        <w:pBdr/>
        <w:tabs>
          <w:tab w:val="num" w:leader="none" w:pos="0"/>
        </w:tabs>
        <w:spacing/>
        <w:ind w:hanging="360" w:left="3513"/>
      </w:pPr>
      <w:rPr/>
      <w:start w:val="1"/>
      <w:suff w:val="tab"/>
    </w:lvl>
    <w:lvl w:ilvl="4">
      <w:isLgl w:val="false"/>
      <w:lvlJc w:val="left"/>
      <w:lvlText w:val="%5."/>
      <w:numFmt w:val="lowerLetter"/>
      <w:pPr>
        <w:pBdr/>
        <w:tabs>
          <w:tab w:val="num" w:leader="none" w:pos="0"/>
        </w:tabs>
        <w:spacing/>
        <w:ind w:hanging="360" w:left="4233"/>
      </w:pPr>
      <w:rPr/>
      <w:start w:val="1"/>
      <w:suff w:val="tab"/>
    </w:lvl>
    <w:lvl w:ilvl="5">
      <w:isLgl w:val="false"/>
      <w:lvlJc w:val="right"/>
      <w:lvlText w:val="%6."/>
      <w:numFmt w:val="lowerRoman"/>
      <w:pPr>
        <w:pBdr/>
        <w:tabs>
          <w:tab w:val="num" w:leader="none" w:pos="0"/>
        </w:tabs>
        <w:spacing/>
        <w:ind w:hanging="180" w:left="4953"/>
      </w:pPr>
      <w:rPr/>
      <w:start w:val="1"/>
      <w:suff w:val="tab"/>
    </w:lvl>
    <w:lvl w:ilvl="6">
      <w:isLgl w:val="false"/>
      <w:lvlJc w:val="left"/>
      <w:lvlText w:val="%7."/>
      <w:numFmt w:val="decimal"/>
      <w:pPr>
        <w:pBdr/>
        <w:tabs>
          <w:tab w:val="num" w:leader="none" w:pos="0"/>
        </w:tabs>
        <w:spacing/>
        <w:ind w:hanging="360" w:left="5673"/>
      </w:pPr>
      <w:rPr/>
      <w:start w:val="1"/>
      <w:suff w:val="tab"/>
    </w:lvl>
    <w:lvl w:ilvl="7">
      <w:isLgl w:val="false"/>
      <w:lvlJc w:val="left"/>
      <w:lvlText w:val="%8."/>
      <w:numFmt w:val="lowerLetter"/>
      <w:pPr>
        <w:pBdr/>
        <w:tabs>
          <w:tab w:val="num" w:leader="none" w:pos="0"/>
        </w:tabs>
        <w:spacing/>
        <w:ind w:hanging="360" w:left="6393"/>
      </w:pPr>
      <w:rPr/>
      <w:start w:val="1"/>
      <w:suff w:val="tab"/>
    </w:lvl>
    <w:lvl w:ilvl="8">
      <w:isLgl w:val="false"/>
      <w:lvlJc w:val="right"/>
      <w:lvlText w:val="%9."/>
      <w:numFmt w:val="lowerRoman"/>
      <w:pPr>
        <w:pBdr/>
        <w:tabs>
          <w:tab w:val="num" w:leader="none" w:pos="0"/>
        </w:tabs>
        <w:spacing/>
        <w:ind w:hanging="180" w:left="7113"/>
      </w:pPr>
      <w:rPr/>
      <w:start w:val="1"/>
      <w:suff w:val="tab"/>
    </w:lvl>
  </w:abstractNum>
  <w:abstractNum w:abstractNumId="65">
    <w:lvl w:ilvl="0">
      <w:isLgl w:val="false"/>
      <w:lvlJc w:val="left"/>
      <w:lvlText w:val="%1."/>
      <w:numFmt w:val="decimal"/>
      <w:pPr>
        <w:pBdr/>
        <w:tabs>
          <w:tab w:val="num" w:leader="none" w:pos="0"/>
        </w:tabs>
        <w:spacing/>
        <w:ind w:hanging="360" w:left="1353"/>
      </w:pPr>
      <w:rPr/>
      <w:start w:val="1"/>
      <w:suff w:val="tab"/>
    </w:lvl>
    <w:lvl w:ilvl="1">
      <w:isLgl w:val="false"/>
      <w:lvlJc w:val="left"/>
      <w:lvlText w:val="%2."/>
      <w:numFmt w:val="lowerLetter"/>
      <w:pPr>
        <w:pBdr/>
        <w:tabs>
          <w:tab w:val="num" w:leader="none" w:pos="0"/>
        </w:tabs>
        <w:spacing/>
        <w:ind w:hanging="360" w:left="2073"/>
      </w:pPr>
      <w:rPr/>
      <w:start w:val="1"/>
      <w:suff w:val="tab"/>
    </w:lvl>
    <w:lvl w:ilvl="2">
      <w:isLgl w:val="false"/>
      <w:lvlJc w:val="right"/>
      <w:lvlText w:val="%3."/>
      <w:numFmt w:val="lowerRoman"/>
      <w:pPr>
        <w:pBdr/>
        <w:tabs>
          <w:tab w:val="num" w:leader="none" w:pos="0"/>
        </w:tabs>
        <w:spacing/>
        <w:ind w:hanging="180" w:left="2793"/>
      </w:pPr>
      <w:rPr/>
      <w:start w:val="1"/>
      <w:suff w:val="tab"/>
    </w:lvl>
    <w:lvl w:ilvl="3">
      <w:isLgl w:val="false"/>
      <w:lvlJc w:val="left"/>
      <w:lvlText w:val="%4."/>
      <w:numFmt w:val="decimal"/>
      <w:pPr>
        <w:pBdr/>
        <w:tabs>
          <w:tab w:val="num" w:leader="none" w:pos="0"/>
        </w:tabs>
        <w:spacing/>
        <w:ind w:hanging="360" w:left="3513"/>
      </w:pPr>
      <w:rPr/>
      <w:start w:val="1"/>
      <w:suff w:val="tab"/>
    </w:lvl>
    <w:lvl w:ilvl="4">
      <w:isLgl w:val="false"/>
      <w:lvlJc w:val="left"/>
      <w:lvlText w:val="%5."/>
      <w:numFmt w:val="lowerLetter"/>
      <w:pPr>
        <w:pBdr/>
        <w:tabs>
          <w:tab w:val="num" w:leader="none" w:pos="0"/>
        </w:tabs>
        <w:spacing/>
        <w:ind w:hanging="360" w:left="4233"/>
      </w:pPr>
      <w:rPr/>
      <w:start w:val="1"/>
      <w:suff w:val="tab"/>
    </w:lvl>
    <w:lvl w:ilvl="5">
      <w:isLgl w:val="false"/>
      <w:lvlJc w:val="right"/>
      <w:lvlText w:val="%6."/>
      <w:numFmt w:val="lowerRoman"/>
      <w:pPr>
        <w:pBdr/>
        <w:tabs>
          <w:tab w:val="num" w:leader="none" w:pos="0"/>
        </w:tabs>
        <w:spacing/>
        <w:ind w:hanging="180" w:left="4953"/>
      </w:pPr>
      <w:rPr/>
      <w:start w:val="1"/>
      <w:suff w:val="tab"/>
    </w:lvl>
    <w:lvl w:ilvl="6">
      <w:isLgl w:val="false"/>
      <w:lvlJc w:val="left"/>
      <w:lvlText w:val="%7."/>
      <w:numFmt w:val="decimal"/>
      <w:pPr>
        <w:pBdr/>
        <w:tabs>
          <w:tab w:val="num" w:leader="none" w:pos="0"/>
        </w:tabs>
        <w:spacing/>
        <w:ind w:hanging="360" w:left="5673"/>
      </w:pPr>
      <w:rPr/>
      <w:start w:val="1"/>
      <w:suff w:val="tab"/>
    </w:lvl>
    <w:lvl w:ilvl="7">
      <w:isLgl w:val="false"/>
      <w:lvlJc w:val="left"/>
      <w:lvlText w:val="%8."/>
      <w:numFmt w:val="lowerLetter"/>
      <w:pPr>
        <w:pBdr/>
        <w:tabs>
          <w:tab w:val="num" w:leader="none" w:pos="0"/>
        </w:tabs>
        <w:spacing/>
        <w:ind w:hanging="360" w:left="6393"/>
      </w:pPr>
      <w:rPr/>
      <w:start w:val="1"/>
      <w:suff w:val="tab"/>
    </w:lvl>
    <w:lvl w:ilvl="8">
      <w:isLgl w:val="false"/>
      <w:lvlJc w:val="right"/>
      <w:lvlText w:val="%9."/>
      <w:numFmt w:val="lowerRoman"/>
      <w:pPr>
        <w:pBdr/>
        <w:tabs>
          <w:tab w:val="num" w:leader="none" w:pos="0"/>
        </w:tabs>
        <w:spacing/>
        <w:ind w:hanging="180" w:left="7113"/>
      </w:pPr>
      <w:rPr/>
      <w:start w:val="1"/>
      <w:suff w:val="tab"/>
    </w:lvl>
  </w:abstractNum>
  <w:abstractNum w:abstractNumId="66">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67">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68">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69">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0">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1">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2">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3">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4">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5">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6">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7">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8">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79">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0">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1">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2">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3">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4">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5">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6">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7">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8">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89">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90">
    <w:lvl w:ilvl="0">
      <w:isLgl w:val="false"/>
      <w:lvlJc w:val="left"/>
      <w:lvlText w:val="%1)"/>
      <w:numFmt w:val="decimal"/>
      <w:pPr>
        <w:pBdr/>
        <w:tabs>
          <w:tab w:val="num" w:leader="none" w:pos="0"/>
        </w:tabs>
        <w:spacing/>
        <w:ind w:hanging="291" w:left="102"/>
      </w:pPr>
      <w:rPr>
        <w:rFonts w:ascii="Times New Roman" w:hAnsi="Times New Roman" w:eastAsia="Times New Roman" w:cs="Times New Roman"/>
        <w:sz w:val="24"/>
        <w:szCs w:val="24"/>
        <w:lang w:val="ru-RU" w:eastAsia="en-US" w:bidi="ar-SA"/>
      </w:rPr>
      <w:start w:val="1"/>
      <w:suff w:val="tab"/>
    </w:lvl>
    <w:lvl w:ilvl="1">
      <w:isLgl w:val="false"/>
      <w:lvlJc w:val="left"/>
      <w:lvlText w:val="%2)"/>
      <w:numFmt w:val="decimal"/>
      <w:pPr>
        <w:pBdr/>
        <w:tabs>
          <w:tab w:val="num" w:leader="none" w:pos="0"/>
        </w:tabs>
        <w:spacing/>
        <w:ind w:hanging="305" w:left="122"/>
      </w:pPr>
      <w:rPr>
        <w:lang w:val="ru-RU" w:eastAsia="en-US" w:bidi="ar-SA"/>
      </w:rPr>
      <w:start w:val="1"/>
      <w:suff w:val="tab"/>
    </w:lvl>
    <w:lvl w:ilvl="2">
      <w:isLgl w:val="false"/>
      <w:lvlJc w:val="left"/>
      <w:lvlText w:val=""/>
      <w:numFmt w:val="bullet"/>
      <w:pPr>
        <w:pBdr/>
        <w:tabs>
          <w:tab w:val="num" w:leader="none" w:pos="0"/>
        </w:tabs>
        <w:spacing/>
        <w:ind w:hanging="305" w:left="1187"/>
      </w:pPr>
      <w:rPr>
        <w:rFonts w:hint="default" w:ascii="Symbol" w:hAnsi="Symbol" w:cs="Symbol"/>
        <w:lang w:val="ru-RU" w:eastAsia="en-US" w:bidi="ar-SA"/>
      </w:rPr>
      <w:start w:val="0"/>
      <w:suff w:val="tab"/>
    </w:lvl>
    <w:lvl w:ilvl="3">
      <w:isLgl w:val="false"/>
      <w:lvlJc w:val="left"/>
      <w:lvlText w:val=""/>
      <w:numFmt w:val="bullet"/>
      <w:pPr>
        <w:pBdr/>
        <w:tabs>
          <w:tab w:val="num" w:leader="none" w:pos="0"/>
        </w:tabs>
        <w:spacing/>
        <w:ind w:hanging="305" w:left="2254"/>
      </w:pPr>
      <w:rPr>
        <w:rFonts w:hint="default" w:ascii="Symbol" w:hAnsi="Symbol" w:cs="Symbol"/>
        <w:lang w:val="ru-RU" w:eastAsia="en-US" w:bidi="ar-SA"/>
      </w:rPr>
      <w:start w:val="0"/>
      <w:suff w:val="tab"/>
    </w:lvl>
    <w:lvl w:ilvl="4">
      <w:isLgl w:val="false"/>
      <w:lvlJc w:val="left"/>
      <w:lvlText w:val=""/>
      <w:numFmt w:val="bullet"/>
      <w:pPr>
        <w:pBdr/>
        <w:tabs>
          <w:tab w:val="num" w:leader="none" w:pos="0"/>
        </w:tabs>
        <w:spacing/>
        <w:ind w:hanging="305" w:left="3322"/>
      </w:pPr>
      <w:rPr>
        <w:rFonts w:hint="default" w:ascii="Symbol" w:hAnsi="Symbol" w:cs="Symbol"/>
        <w:lang w:val="ru-RU" w:eastAsia="en-US" w:bidi="ar-SA"/>
      </w:rPr>
      <w:start w:val="0"/>
      <w:suff w:val="tab"/>
    </w:lvl>
    <w:lvl w:ilvl="5">
      <w:isLgl w:val="false"/>
      <w:lvlJc w:val="left"/>
      <w:lvlText w:val=""/>
      <w:numFmt w:val="bullet"/>
      <w:pPr>
        <w:pBdr/>
        <w:tabs>
          <w:tab w:val="num" w:leader="none" w:pos="0"/>
        </w:tabs>
        <w:spacing/>
        <w:ind w:hanging="305" w:left="4389"/>
      </w:pPr>
      <w:rPr>
        <w:rFonts w:hint="default" w:ascii="Symbol" w:hAnsi="Symbol" w:cs="Symbol"/>
        <w:lang w:val="ru-RU" w:eastAsia="en-US" w:bidi="ar-SA"/>
      </w:rPr>
      <w:start w:val="0"/>
      <w:suff w:val="tab"/>
    </w:lvl>
    <w:lvl w:ilvl="6">
      <w:isLgl w:val="false"/>
      <w:lvlJc w:val="left"/>
      <w:lvlText w:val=""/>
      <w:numFmt w:val="bullet"/>
      <w:pPr>
        <w:pBdr/>
        <w:tabs>
          <w:tab w:val="num" w:leader="none" w:pos="0"/>
        </w:tabs>
        <w:spacing/>
        <w:ind w:hanging="305" w:left="5456"/>
      </w:pPr>
      <w:rPr>
        <w:rFonts w:hint="default" w:ascii="Symbol" w:hAnsi="Symbol" w:cs="Symbol"/>
        <w:lang w:val="ru-RU" w:eastAsia="en-US" w:bidi="ar-SA"/>
      </w:rPr>
      <w:start w:val="0"/>
      <w:suff w:val="tab"/>
    </w:lvl>
    <w:lvl w:ilvl="7">
      <w:isLgl w:val="false"/>
      <w:lvlJc w:val="left"/>
      <w:lvlText w:val=""/>
      <w:numFmt w:val="bullet"/>
      <w:pPr>
        <w:pBdr/>
        <w:tabs>
          <w:tab w:val="num" w:leader="none" w:pos="0"/>
        </w:tabs>
        <w:spacing/>
        <w:ind w:hanging="305" w:left="6524"/>
      </w:pPr>
      <w:rPr>
        <w:rFonts w:hint="default" w:ascii="Symbol" w:hAnsi="Symbol" w:cs="Symbol"/>
        <w:lang w:val="ru-RU" w:eastAsia="en-US" w:bidi="ar-SA"/>
      </w:rPr>
      <w:start w:val="0"/>
      <w:suff w:val="tab"/>
    </w:lvl>
    <w:lvl w:ilvl="8">
      <w:isLgl w:val="false"/>
      <w:lvlJc w:val="left"/>
      <w:lvlText w:val=""/>
      <w:numFmt w:val="bullet"/>
      <w:pPr>
        <w:pBdr/>
        <w:tabs>
          <w:tab w:val="num" w:leader="none" w:pos="0"/>
        </w:tabs>
        <w:spacing/>
        <w:ind w:hanging="305" w:left="7591"/>
      </w:pPr>
      <w:rPr>
        <w:rFonts w:hint="default" w:ascii="Symbol" w:hAnsi="Symbol" w:cs="Symbol"/>
        <w:lang w:val="ru-RU" w:eastAsia="en-US" w:bidi="ar-SA"/>
      </w:rPr>
      <w:start w:val="0"/>
      <w:suff w:val="tab"/>
    </w:lvl>
  </w:abstractNum>
  <w:abstractNum w:abstractNumId="91">
    <w:lvl w:ilvl="0">
      <w:isLgl w:val="false"/>
      <w:lvlJc w:val="left"/>
      <w:lvlText w:val="-"/>
      <w:numFmt w:val="bullet"/>
      <w:pPr>
        <w:pBdr/>
        <w:tabs>
          <w:tab w:val="num" w:leader="none" w:pos="0"/>
        </w:tabs>
        <w:spacing/>
        <w:ind w:hanging="140" w:left="102"/>
      </w:pPr>
      <w:rPr>
        <w:rFonts w:hint="default" w:ascii="Times New Roman" w:hAnsi="Times New Roman" w:cs="Times New Roman"/>
        <w:sz w:val="24"/>
        <w:szCs w:val="24"/>
        <w:lang w:val="ru-RU" w:eastAsia="en-US" w:bidi="ar-SA"/>
      </w:rPr>
      <w:start w:val="0"/>
      <w:suff w:val="tab"/>
    </w:lvl>
    <w:lvl w:ilvl="1">
      <w:isLgl w:val="false"/>
      <w:lvlJc w:val="left"/>
      <w:lvlText w:val="-"/>
      <w:numFmt w:val="bullet"/>
      <w:pPr>
        <w:pBdr/>
        <w:tabs>
          <w:tab w:val="num" w:leader="none" w:pos="0"/>
        </w:tabs>
        <w:spacing/>
        <w:ind w:hanging="140" w:left="102"/>
      </w:pPr>
      <w:rPr>
        <w:rFonts w:hint="default" w:ascii="Times New Roman" w:hAnsi="Times New Roman" w:cs="Times New Roman"/>
        <w:sz w:val="24"/>
        <w:szCs w:val="24"/>
        <w:lang w:val="ru-RU" w:eastAsia="en-US" w:bidi="ar-SA"/>
      </w:rPr>
      <w:start w:val="0"/>
      <w:suff w:val="tab"/>
    </w:lvl>
    <w:lvl w:ilvl="2">
      <w:isLgl w:val="false"/>
      <w:lvlJc w:val="left"/>
      <w:lvlText w:val=""/>
      <w:numFmt w:val="bullet"/>
      <w:pPr>
        <w:pBdr/>
        <w:tabs>
          <w:tab w:val="num" w:leader="none" w:pos="0"/>
        </w:tabs>
        <w:spacing/>
        <w:ind w:hanging="140" w:left="1993"/>
      </w:pPr>
      <w:rPr>
        <w:rFonts w:hint="default" w:ascii="Symbol" w:hAnsi="Symbol" w:cs="Symbol"/>
        <w:lang w:val="ru-RU" w:eastAsia="en-US" w:bidi="ar-SA"/>
      </w:rPr>
      <w:start w:val="0"/>
      <w:suff w:val="tab"/>
    </w:lvl>
    <w:lvl w:ilvl="3">
      <w:isLgl w:val="false"/>
      <w:lvlJc w:val="left"/>
      <w:lvlText w:val=""/>
      <w:numFmt w:val="bullet"/>
      <w:pPr>
        <w:pBdr/>
        <w:tabs>
          <w:tab w:val="num" w:leader="none" w:pos="0"/>
        </w:tabs>
        <w:spacing/>
        <w:ind w:hanging="140" w:left="2939"/>
      </w:pPr>
      <w:rPr>
        <w:rFonts w:hint="default" w:ascii="Symbol" w:hAnsi="Symbol" w:cs="Symbol"/>
        <w:lang w:val="ru-RU" w:eastAsia="en-US" w:bidi="ar-SA"/>
      </w:rPr>
      <w:start w:val="0"/>
      <w:suff w:val="tab"/>
    </w:lvl>
    <w:lvl w:ilvl="4">
      <w:isLgl w:val="false"/>
      <w:lvlJc w:val="left"/>
      <w:lvlText w:val=""/>
      <w:numFmt w:val="bullet"/>
      <w:pPr>
        <w:pBdr/>
        <w:tabs>
          <w:tab w:val="num" w:leader="none" w:pos="0"/>
        </w:tabs>
        <w:spacing/>
        <w:ind w:hanging="140" w:left="3886"/>
      </w:pPr>
      <w:rPr>
        <w:rFonts w:hint="default" w:ascii="Symbol" w:hAnsi="Symbol" w:cs="Symbol"/>
        <w:lang w:val="ru-RU" w:eastAsia="en-US" w:bidi="ar-SA"/>
      </w:rPr>
      <w:start w:val="0"/>
      <w:suff w:val="tab"/>
    </w:lvl>
    <w:lvl w:ilvl="5">
      <w:isLgl w:val="false"/>
      <w:lvlJc w:val="left"/>
      <w:lvlText w:val=""/>
      <w:numFmt w:val="bullet"/>
      <w:pPr>
        <w:pBdr/>
        <w:tabs>
          <w:tab w:val="num" w:leader="none" w:pos="0"/>
        </w:tabs>
        <w:spacing/>
        <w:ind w:hanging="140" w:left="4833"/>
      </w:pPr>
      <w:rPr>
        <w:rFonts w:hint="default" w:ascii="Symbol" w:hAnsi="Symbol" w:cs="Symbol"/>
        <w:lang w:val="ru-RU" w:eastAsia="en-US" w:bidi="ar-SA"/>
      </w:rPr>
      <w:start w:val="0"/>
      <w:suff w:val="tab"/>
    </w:lvl>
    <w:lvl w:ilvl="6">
      <w:isLgl w:val="false"/>
      <w:lvlJc w:val="left"/>
      <w:lvlText w:val=""/>
      <w:numFmt w:val="bullet"/>
      <w:pPr>
        <w:pBdr/>
        <w:tabs>
          <w:tab w:val="num" w:leader="none" w:pos="0"/>
        </w:tabs>
        <w:spacing/>
        <w:ind w:hanging="140" w:left="5779"/>
      </w:pPr>
      <w:rPr>
        <w:rFonts w:hint="default" w:ascii="Symbol" w:hAnsi="Symbol" w:cs="Symbol"/>
        <w:lang w:val="ru-RU" w:eastAsia="en-US" w:bidi="ar-SA"/>
      </w:rPr>
      <w:start w:val="0"/>
      <w:suff w:val="tab"/>
    </w:lvl>
    <w:lvl w:ilvl="7">
      <w:isLgl w:val="false"/>
      <w:lvlJc w:val="left"/>
      <w:lvlText w:val=""/>
      <w:numFmt w:val="bullet"/>
      <w:pPr>
        <w:pBdr/>
        <w:tabs>
          <w:tab w:val="num" w:leader="none" w:pos="0"/>
        </w:tabs>
        <w:spacing/>
        <w:ind w:hanging="140" w:left="6726"/>
      </w:pPr>
      <w:rPr>
        <w:rFonts w:hint="default" w:ascii="Symbol" w:hAnsi="Symbol" w:cs="Symbol"/>
        <w:lang w:val="ru-RU" w:eastAsia="en-US" w:bidi="ar-SA"/>
      </w:rPr>
      <w:start w:val="0"/>
      <w:suff w:val="tab"/>
    </w:lvl>
    <w:lvl w:ilvl="8">
      <w:isLgl w:val="false"/>
      <w:lvlJc w:val="left"/>
      <w:lvlText w:val=""/>
      <w:numFmt w:val="bullet"/>
      <w:pPr>
        <w:pBdr/>
        <w:tabs>
          <w:tab w:val="num" w:leader="none" w:pos="0"/>
        </w:tabs>
        <w:spacing/>
        <w:ind w:hanging="140" w:left="7673"/>
      </w:pPr>
      <w:rPr>
        <w:rFonts w:hint="default" w:ascii="Symbol" w:hAnsi="Symbol" w:cs="Symbol"/>
        <w:lang w:val="ru-RU" w:eastAsia="en-US" w:bidi="ar-SA"/>
      </w:rPr>
      <w:start w:val="0"/>
      <w:suff w:val="tab"/>
    </w:lvl>
  </w:abstractNum>
  <w:abstractNum w:abstractNumId="92">
    <w:lvl w:ilvl="0">
      <w:isLgl w:val="false"/>
      <w:lvlJc w:val="left"/>
      <w:lvlText w:val="-"/>
      <w:numFmt w:val="bullet"/>
      <w:pPr>
        <w:pBdr/>
        <w:tabs>
          <w:tab w:val="num" w:leader="none" w:pos="0"/>
        </w:tabs>
        <w:spacing/>
        <w:ind w:hanging="360" w:left="1429"/>
      </w:pPr>
      <w:rPr>
        <w:rFonts w:hint="default" w:ascii="Courier New" w:hAnsi="Courier New" w:cs="Courier New"/>
      </w:rPr>
      <w:start w:val="1"/>
      <w:suff w:val="tab"/>
    </w:lvl>
    <w:lvl w:ilvl="1">
      <w:isLgl w:val="false"/>
      <w:lvlJc w:val="left"/>
      <w:lvlText w:val="o"/>
      <w:numFmt w:val="bullet"/>
      <w:pPr>
        <w:pBdr/>
        <w:tabs>
          <w:tab w:val="num" w:leader="none" w:pos="0"/>
        </w:tabs>
        <w:spacing/>
        <w:ind w:hanging="360" w:left="2149"/>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869"/>
      </w:pPr>
      <w:rPr>
        <w:rFonts w:hint="default" w:ascii="Wingdings" w:hAnsi="Wingdings" w:cs="Wingdings"/>
      </w:rPr>
      <w:start w:val="1"/>
      <w:suff w:val="tab"/>
    </w:lvl>
    <w:lvl w:ilvl="3">
      <w:isLgl w:val="false"/>
      <w:lvlJc w:val="left"/>
      <w:lvlText w:val=""/>
      <w:numFmt w:val="bullet"/>
      <w:pPr>
        <w:pBdr/>
        <w:tabs>
          <w:tab w:val="num" w:leader="none" w:pos="0"/>
        </w:tabs>
        <w:spacing/>
        <w:ind w:hanging="360" w:left="3589"/>
      </w:pPr>
      <w:rPr>
        <w:rFonts w:hint="default" w:ascii="Symbol" w:hAnsi="Symbol" w:cs="Symbol"/>
      </w:rPr>
      <w:start w:val="1"/>
      <w:suff w:val="tab"/>
    </w:lvl>
    <w:lvl w:ilvl="4">
      <w:isLgl w:val="false"/>
      <w:lvlJc w:val="left"/>
      <w:lvlText w:val="o"/>
      <w:numFmt w:val="bullet"/>
      <w:pPr>
        <w:pBdr/>
        <w:tabs>
          <w:tab w:val="num" w:leader="none" w:pos="0"/>
        </w:tabs>
        <w:spacing/>
        <w:ind w:hanging="360" w:left="4309"/>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029"/>
      </w:pPr>
      <w:rPr>
        <w:rFonts w:hint="default" w:ascii="Wingdings" w:hAnsi="Wingdings" w:cs="Wingdings"/>
      </w:rPr>
      <w:start w:val="1"/>
      <w:suff w:val="tab"/>
    </w:lvl>
    <w:lvl w:ilvl="6">
      <w:isLgl w:val="false"/>
      <w:lvlJc w:val="left"/>
      <w:lvlText w:val=""/>
      <w:numFmt w:val="bullet"/>
      <w:pPr>
        <w:pBdr/>
        <w:tabs>
          <w:tab w:val="num" w:leader="none" w:pos="0"/>
        </w:tabs>
        <w:spacing/>
        <w:ind w:hanging="360" w:left="5749"/>
      </w:pPr>
      <w:rPr>
        <w:rFonts w:hint="default" w:ascii="Symbol" w:hAnsi="Symbol" w:cs="Symbol"/>
      </w:rPr>
      <w:start w:val="1"/>
      <w:suff w:val="tab"/>
    </w:lvl>
    <w:lvl w:ilvl="7">
      <w:isLgl w:val="false"/>
      <w:lvlJc w:val="left"/>
      <w:lvlText w:val="o"/>
      <w:numFmt w:val="bullet"/>
      <w:pPr>
        <w:pBdr/>
        <w:tabs>
          <w:tab w:val="num" w:leader="none" w:pos="0"/>
        </w:tabs>
        <w:spacing/>
        <w:ind w:hanging="360" w:left="6469"/>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189"/>
      </w:pPr>
      <w:rPr>
        <w:rFonts w:hint="default" w:ascii="Wingdings" w:hAnsi="Wingdings" w:cs="Wingdings"/>
      </w:rPr>
      <w:start w:val="1"/>
      <w:suff w:val="tab"/>
    </w:lvl>
  </w:abstractNum>
  <w:abstractNum w:abstractNumId="93">
    <w:lvl w:ilvl="0">
      <w:isLgl w:val="false"/>
      <w:lvlJc w:val="left"/>
      <w:lvlText w:val="-"/>
      <w:numFmt w:val="bullet"/>
      <w:pPr>
        <w:pBdr/>
        <w:tabs>
          <w:tab w:val="num" w:leader="none" w:pos="0"/>
        </w:tabs>
        <w:spacing/>
        <w:ind w:hanging="360" w:left="1429"/>
      </w:pPr>
      <w:rPr>
        <w:rFonts w:hint="default" w:ascii="Courier New" w:hAnsi="Courier New" w:cs="Courier New"/>
      </w:rPr>
      <w:start w:val="1"/>
      <w:suff w:val="tab"/>
    </w:lvl>
    <w:lvl w:ilvl="1">
      <w:isLgl w:val="false"/>
      <w:lvlJc w:val="left"/>
      <w:lvlText w:val="o"/>
      <w:numFmt w:val="bullet"/>
      <w:pPr>
        <w:pBdr/>
        <w:tabs>
          <w:tab w:val="num" w:leader="none" w:pos="0"/>
        </w:tabs>
        <w:spacing/>
        <w:ind w:hanging="360" w:left="2149"/>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869"/>
      </w:pPr>
      <w:rPr>
        <w:rFonts w:hint="default" w:ascii="Wingdings" w:hAnsi="Wingdings" w:cs="Wingdings"/>
      </w:rPr>
      <w:start w:val="1"/>
      <w:suff w:val="tab"/>
    </w:lvl>
    <w:lvl w:ilvl="3">
      <w:isLgl w:val="false"/>
      <w:lvlJc w:val="left"/>
      <w:lvlText w:val=""/>
      <w:numFmt w:val="bullet"/>
      <w:pPr>
        <w:pBdr/>
        <w:tabs>
          <w:tab w:val="num" w:leader="none" w:pos="0"/>
        </w:tabs>
        <w:spacing/>
        <w:ind w:hanging="360" w:left="3589"/>
      </w:pPr>
      <w:rPr>
        <w:rFonts w:hint="default" w:ascii="Symbol" w:hAnsi="Symbol" w:cs="Symbol"/>
      </w:rPr>
      <w:start w:val="1"/>
      <w:suff w:val="tab"/>
    </w:lvl>
    <w:lvl w:ilvl="4">
      <w:isLgl w:val="false"/>
      <w:lvlJc w:val="left"/>
      <w:lvlText w:val="o"/>
      <w:numFmt w:val="bullet"/>
      <w:pPr>
        <w:pBdr/>
        <w:tabs>
          <w:tab w:val="num" w:leader="none" w:pos="0"/>
        </w:tabs>
        <w:spacing/>
        <w:ind w:hanging="360" w:left="4309"/>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029"/>
      </w:pPr>
      <w:rPr>
        <w:rFonts w:hint="default" w:ascii="Wingdings" w:hAnsi="Wingdings" w:cs="Wingdings"/>
      </w:rPr>
      <w:start w:val="1"/>
      <w:suff w:val="tab"/>
    </w:lvl>
    <w:lvl w:ilvl="6">
      <w:isLgl w:val="false"/>
      <w:lvlJc w:val="left"/>
      <w:lvlText w:val=""/>
      <w:numFmt w:val="bullet"/>
      <w:pPr>
        <w:pBdr/>
        <w:tabs>
          <w:tab w:val="num" w:leader="none" w:pos="0"/>
        </w:tabs>
        <w:spacing/>
        <w:ind w:hanging="360" w:left="5749"/>
      </w:pPr>
      <w:rPr>
        <w:rFonts w:hint="default" w:ascii="Symbol" w:hAnsi="Symbol" w:cs="Symbol"/>
      </w:rPr>
      <w:start w:val="1"/>
      <w:suff w:val="tab"/>
    </w:lvl>
    <w:lvl w:ilvl="7">
      <w:isLgl w:val="false"/>
      <w:lvlJc w:val="left"/>
      <w:lvlText w:val="o"/>
      <w:numFmt w:val="bullet"/>
      <w:pPr>
        <w:pBdr/>
        <w:tabs>
          <w:tab w:val="num" w:leader="none" w:pos="0"/>
        </w:tabs>
        <w:spacing/>
        <w:ind w:hanging="360" w:left="6469"/>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189"/>
      </w:pPr>
      <w:rPr>
        <w:rFonts w:hint="default" w:ascii="Wingdings" w:hAnsi="Wingdings" w:cs="Wingdings"/>
      </w:rPr>
      <w:start w:val="1"/>
      <w:suff w:val="tab"/>
    </w:lvl>
  </w:abstractNum>
  <w:abstractNum w:abstractNumId="94">
    <w:lvl w:ilvl="0">
      <w:isLgl w:val="false"/>
      <w:lvlJc w:val="left"/>
      <w:lvlText w:val="-"/>
      <w:numFmt w:val="bullet"/>
      <w:pPr>
        <w:pBdr/>
        <w:tabs>
          <w:tab w:val="num" w:leader="none" w:pos="0"/>
        </w:tabs>
        <w:spacing/>
        <w:ind w:hanging="360" w:left="1429"/>
      </w:pPr>
      <w:rPr>
        <w:rFonts w:hint="default" w:ascii="Courier New" w:hAnsi="Courier New" w:cs="Courier New"/>
      </w:rPr>
      <w:start w:val="1"/>
      <w:suff w:val="tab"/>
    </w:lvl>
    <w:lvl w:ilvl="1">
      <w:isLgl w:val="false"/>
      <w:lvlJc w:val="left"/>
      <w:lvlText w:val="o"/>
      <w:numFmt w:val="bullet"/>
      <w:pPr>
        <w:pBdr/>
        <w:tabs>
          <w:tab w:val="num" w:leader="none" w:pos="0"/>
        </w:tabs>
        <w:spacing/>
        <w:ind w:hanging="360" w:left="2149"/>
      </w:pPr>
      <w:rPr>
        <w:rFonts w:hint="default" w:ascii="Courier New" w:hAnsi="Courier New" w:cs="Courier New"/>
      </w:rPr>
      <w:start w:val="1"/>
      <w:suff w:val="tab"/>
    </w:lvl>
    <w:lvl w:ilvl="2">
      <w:isLgl w:val="false"/>
      <w:lvlJc w:val="left"/>
      <w:lvlText w:val=""/>
      <w:numFmt w:val="bullet"/>
      <w:pPr>
        <w:pBdr/>
        <w:tabs>
          <w:tab w:val="num" w:leader="none" w:pos="0"/>
        </w:tabs>
        <w:spacing/>
        <w:ind w:hanging="360" w:left="2869"/>
      </w:pPr>
      <w:rPr>
        <w:rFonts w:hint="default" w:ascii="Wingdings" w:hAnsi="Wingdings" w:cs="Wingdings"/>
      </w:rPr>
      <w:start w:val="1"/>
      <w:suff w:val="tab"/>
    </w:lvl>
    <w:lvl w:ilvl="3">
      <w:isLgl w:val="false"/>
      <w:lvlJc w:val="left"/>
      <w:lvlText w:val=""/>
      <w:numFmt w:val="bullet"/>
      <w:pPr>
        <w:pBdr/>
        <w:tabs>
          <w:tab w:val="num" w:leader="none" w:pos="0"/>
        </w:tabs>
        <w:spacing/>
        <w:ind w:hanging="360" w:left="3589"/>
      </w:pPr>
      <w:rPr>
        <w:rFonts w:hint="default" w:ascii="Symbol" w:hAnsi="Symbol" w:cs="Symbol"/>
      </w:rPr>
      <w:start w:val="1"/>
      <w:suff w:val="tab"/>
    </w:lvl>
    <w:lvl w:ilvl="4">
      <w:isLgl w:val="false"/>
      <w:lvlJc w:val="left"/>
      <w:lvlText w:val="o"/>
      <w:numFmt w:val="bullet"/>
      <w:pPr>
        <w:pBdr/>
        <w:tabs>
          <w:tab w:val="num" w:leader="none" w:pos="0"/>
        </w:tabs>
        <w:spacing/>
        <w:ind w:hanging="360" w:left="4309"/>
      </w:pPr>
      <w:rPr>
        <w:rFonts w:hint="default" w:ascii="Courier New" w:hAnsi="Courier New" w:cs="Courier New"/>
      </w:rPr>
      <w:start w:val="1"/>
      <w:suff w:val="tab"/>
    </w:lvl>
    <w:lvl w:ilvl="5">
      <w:isLgl w:val="false"/>
      <w:lvlJc w:val="left"/>
      <w:lvlText w:val=""/>
      <w:numFmt w:val="bullet"/>
      <w:pPr>
        <w:pBdr/>
        <w:tabs>
          <w:tab w:val="num" w:leader="none" w:pos="0"/>
        </w:tabs>
        <w:spacing/>
        <w:ind w:hanging="360" w:left="5029"/>
      </w:pPr>
      <w:rPr>
        <w:rFonts w:hint="default" w:ascii="Wingdings" w:hAnsi="Wingdings" w:cs="Wingdings"/>
      </w:rPr>
      <w:start w:val="1"/>
      <w:suff w:val="tab"/>
    </w:lvl>
    <w:lvl w:ilvl="6">
      <w:isLgl w:val="false"/>
      <w:lvlJc w:val="left"/>
      <w:lvlText w:val=""/>
      <w:numFmt w:val="bullet"/>
      <w:pPr>
        <w:pBdr/>
        <w:tabs>
          <w:tab w:val="num" w:leader="none" w:pos="0"/>
        </w:tabs>
        <w:spacing/>
        <w:ind w:hanging="360" w:left="5749"/>
      </w:pPr>
      <w:rPr>
        <w:rFonts w:hint="default" w:ascii="Symbol" w:hAnsi="Symbol" w:cs="Symbol"/>
      </w:rPr>
      <w:start w:val="1"/>
      <w:suff w:val="tab"/>
    </w:lvl>
    <w:lvl w:ilvl="7">
      <w:isLgl w:val="false"/>
      <w:lvlJc w:val="left"/>
      <w:lvlText w:val="o"/>
      <w:numFmt w:val="bullet"/>
      <w:pPr>
        <w:pBdr/>
        <w:tabs>
          <w:tab w:val="num" w:leader="none" w:pos="0"/>
        </w:tabs>
        <w:spacing/>
        <w:ind w:hanging="360" w:left="6469"/>
      </w:pPr>
      <w:rPr>
        <w:rFonts w:hint="default" w:ascii="Courier New" w:hAnsi="Courier New" w:cs="Courier New"/>
      </w:rPr>
      <w:start w:val="1"/>
      <w:suff w:val="tab"/>
    </w:lvl>
    <w:lvl w:ilvl="8">
      <w:isLgl w:val="false"/>
      <w:lvlJc w:val="left"/>
      <w:lvlText w:val=""/>
      <w:numFmt w:val="bullet"/>
      <w:pPr>
        <w:pBdr/>
        <w:tabs>
          <w:tab w:val="num" w:leader="none" w:pos="0"/>
        </w:tabs>
        <w:spacing/>
        <w:ind w:hanging="360" w:left="7189"/>
      </w:pPr>
      <w:rPr>
        <w:rFonts w:hint="default" w:ascii="Wingdings" w:hAnsi="Wingdings" w:cs="Wingdings"/>
      </w:rPr>
      <w:start w:val="1"/>
      <w:suff w:val="tab"/>
    </w:lvl>
  </w:abstractNum>
  <w:abstractNum w:abstractNumId="95">
    <w:lvl w:ilvl="0">
      <w:isLgl w:val="false"/>
      <w:lvlJc w:val="left"/>
      <w:lvlText w:val="%1."/>
      <w:numFmt w:val="decimal"/>
      <w:pPr>
        <w:pBdr/>
        <w:tabs>
          <w:tab w:val="num" w:leader="none" w:pos="0"/>
        </w:tabs>
        <w:spacing/>
        <w:ind w:hanging="360" w:left="1069"/>
      </w:pPr>
      <w:rPr/>
      <w:start w:val="1"/>
      <w:suff w:val="tab"/>
    </w:lvl>
    <w:lvl w:ilvl="1">
      <w:isLgl w:val="false"/>
      <w:lvlJc w:val="left"/>
      <w:lvlText w:val="%2."/>
      <w:numFmt w:val="lowerLetter"/>
      <w:pPr>
        <w:pBdr/>
        <w:tabs>
          <w:tab w:val="num" w:leader="none" w:pos="0"/>
        </w:tabs>
        <w:spacing/>
        <w:ind w:hanging="360" w:left="1789"/>
      </w:pPr>
      <w:rPr/>
      <w:start w:val="1"/>
      <w:suff w:val="tab"/>
    </w:lvl>
    <w:lvl w:ilvl="2">
      <w:isLgl w:val="false"/>
      <w:lvlJc w:val="right"/>
      <w:lvlText w:val="%3."/>
      <w:numFmt w:val="lowerRoman"/>
      <w:pPr>
        <w:pBdr/>
        <w:tabs>
          <w:tab w:val="num" w:leader="none" w:pos="0"/>
        </w:tabs>
        <w:spacing/>
        <w:ind w:hanging="180" w:left="2509"/>
      </w:pPr>
      <w:rPr/>
      <w:start w:val="1"/>
      <w:suff w:val="tab"/>
    </w:lvl>
    <w:lvl w:ilvl="3">
      <w:isLgl w:val="false"/>
      <w:lvlJc w:val="left"/>
      <w:lvlText w:val="%4."/>
      <w:numFmt w:val="decimal"/>
      <w:pPr>
        <w:pBdr/>
        <w:tabs>
          <w:tab w:val="num" w:leader="none" w:pos="0"/>
        </w:tabs>
        <w:spacing/>
        <w:ind w:hanging="360" w:left="3229"/>
      </w:pPr>
      <w:rPr/>
      <w:start w:val="1"/>
      <w:suff w:val="tab"/>
    </w:lvl>
    <w:lvl w:ilvl="4">
      <w:isLgl w:val="false"/>
      <w:lvlJc w:val="left"/>
      <w:lvlText w:val="%5."/>
      <w:numFmt w:val="lowerLetter"/>
      <w:pPr>
        <w:pBdr/>
        <w:tabs>
          <w:tab w:val="num" w:leader="none" w:pos="0"/>
        </w:tabs>
        <w:spacing/>
        <w:ind w:hanging="360" w:left="3949"/>
      </w:pPr>
      <w:rPr/>
      <w:start w:val="1"/>
      <w:suff w:val="tab"/>
    </w:lvl>
    <w:lvl w:ilvl="5">
      <w:isLgl w:val="false"/>
      <w:lvlJc w:val="right"/>
      <w:lvlText w:val="%6."/>
      <w:numFmt w:val="lowerRoman"/>
      <w:pPr>
        <w:pBdr/>
        <w:tabs>
          <w:tab w:val="num" w:leader="none" w:pos="0"/>
        </w:tabs>
        <w:spacing/>
        <w:ind w:hanging="180" w:left="4669"/>
      </w:pPr>
      <w:rPr/>
      <w:start w:val="1"/>
      <w:suff w:val="tab"/>
    </w:lvl>
    <w:lvl w:ilvl="6">
      <w:isLgl w:val="false"/>
      <w:lvlJc w:val="left"/>
      <w:lvlText w:val="%7."/>
      <w:numFmt w:val="decimal"/>
      <w:pPr>
        <w:pBdr/>
        <w:tabs>
          <w:tab w:val="num" w:leader="none" w:pos="0"/>
        </w:tabs>
        <w:spacing/>
        <w:ind w:hanging="360" w:left="5389"/>
      </w:pPr>
      <w:rPr/>
      <w:start w:val="1"/>
      <w:suff w:val="tab"/>
    </w:lvl>
    <w:lvl w:ilvl="7">
      <w:isLgl w:val="false"/>
      <w:lvlJc w:val="left"/>
      <w:lvlText w:val="%8."/>
      <w:numFmt w:val="lowerLetter"/>
      <w:pPr>
        <w:pBdr/>
        <w:tabs>
          <w:tab w:val="num" w:leader="none" w:pos="0"/>
        </w:tabs>
        <w:spacing/>
        <w:ind w:hanging="360" w:left="6109"/>
      </w:pPr>
      <w:rPr/>
      <w:start w:val="1"/>
      <w:suff w:val="tab"/>
    </w:lvl>
    <w:lvl w:ilvl="8">
      <w:isLgl w:val="false"/>
      <w:lvlJc w:val="right"/>
      <w:lvlText w:val="%9."/>
      <w:numFmt w:val="lowerRoman"/>
      <w:pPr>
        <w:pBdr/>
        <w:tabs>
          <w:tab w:val="num" w:leader="none" w:pos="0"/>
        </w:tabs>
        <w:spacing/>
        <w:ind w:hanging="180" w:left="6829"/>
      </w:pPr>
      <w:rPr/>
      <w:start w:val="1"/>
      <w:suff w:val="tab"/>
    </w:lvl>
  </w:abstractNum>
  <w:abstractNum w:abstractNumId="96">
    <w:lvl w:ilvl="0">
      <w:isLgl w:val="false"/>
      <w:lvlJc w:val="left"/>
      <w:lvlText w:val="%1."/>
      <w:numFmt w:val="decimal"/>
      <w:pPr>
        <w:pBdr/>
        <w:tabs>
          <w:tab w:val="num" w:leader="none" w:pos="0"/>
        </w:tabs>
        <w:spacing/>
        <w:ind w:hanging="360" w:left="1069"/>
      </w:pPr>
      <w:rPr/>
      <w:start w:val="1"/>
      <w:suff w:val="tab"/>
    </w:lvl>
    <w:lvl w:ilvl="1">
      <w:isLgl w:val="false"/>
      <w:lvlJc w:val="left"/>
      <w:lvlText w:val="%2."/>
      <w:numFmt w:val="lowerLetter"/>
      <w:pPr>
        <w:pBdr/>
        <w:tabs>
          <w:tab w:val="num" w:leader="none" w:pos="0"/>
        </w:tabs>
        <w:spacing/>
        <w:ind w:hanging="360" w:left="1789"/>
      </w:pPr>
      <w:rPr/>
      <w:start w:val="1"/>
      <w:suff w:val="tab"/>
    </w:lvl>
    <w:lvl w:ilvl="2">
      <w:isLgl w:val="false"/>
      <w:lvlJc w:val="right"/>
      <w:lvlText w:val="%3."/>
      <w:numFmt w:val="lowerRoman"/>
      <w:pPr>
        <w:pBdr/>
        <w:tabs>
          <w:tab w:val="num" w:leader="none" w:pos="0"/>
        </w:tabs>
        <w:spacing/>
        <w:ind w:hanging="180" w:left="2509"/>
      </w:pPr>
      <w:rPr/>
      <w:start w:val="1"/>
      <w:suff w:val="tab"/>
    </w:lvl>
    <w:lvl w:ilvl="3">
      <w:isLgl w:val="false"/>
      <w:lvlJc w:val="left"/>
      <w:lvlText w:val="%4."/>
      <w:numFmt w:val="decimal"/>
      <w:pPr>
        <w:pBdr/>
        <w:tabs>
          <w:tab w:val="num" w:leader="none" w:pos="0"/>
        </w:tabs>
        <w:spacing/>
        <w:ind w:hanging="360" w:left="3229"/>
      </w:pPr>
      <w:rPr/>
      <w:start w:val="1"/>
      <w:suff w:val="tab"/>
    </w:lvl>
    <w:lvl w:ilvl="4">
      <w:isLgl w:val="false"/>
      <w:lvlJc w:val="left"/>
      <w:lvlText w:val="%5."/>
      <w:numFmt w:val="lowerLetter"/>
      <w:pPr>
        <w:pBdr/>
        <w:tabs>
          <w:tab w:val="num" w:leader="none" w:pos="0"/>
        </w:tabs>
        <w:spacing/>
        <w:ind w:hanging="360" w:left="3949"/>
      </w:pPr>
      <w:rPr/>
      <w:start w:val="1"/>
      <w:suff w:val="tab"/>
    </w:lvl>
    <w:lvl w:ilvl="5">
      <w:isLgl w:val="false"/>
      <w:lvlJc w:val="right"/>
      <w:lvlText w:val="%6."/>
      <w:numFmt w:val="lowerRoman"/>
      <w:pPr>
        <w:pBdr/>
        <w:tabs>
          <w:tab w:val="num" w:leader="none" w:pos="0"/>
        </w:tabs>
        <w:spacing/>
        <w:ind w:hanging="180" w:left="4669"/>
      </w:pPr>
      <w:rPr/>
      <w:start w:val="1"/>
      <w:suff w:val="tab"/>
    </w:lvl>
    <w:lvl w:ilvl="6">
      <w:isLgl w:val="false"/>
      <w:lvlJc w:val="left"/>
      <w:lvlText w:val="%7."/>
      <w:numFmt w:val="decimal"/>
      <w:pPr>
        <w:pBdr/>
        <w:tabs>
          <w:tab w:val="num" w:leader="none" w:pos="0"/>
        </w:tabs>
        <w:spacing/>
        <w:ind w:hanging="360" w:left="5389"/>
      </w:pPr>
      <w:rPr/>
      <w:start w:val="1"/>
      <w:suff w:val="tab"/>
    </w:lvl>
    <w:lvl w:ilvl="7">
      <w:isLgl w:val="false"/>
      <w:lvlJc w:val="left"/>
      <w:lvlText w:val="%8."/>
      <w:numFmt w:val="lowerLetter"/>
      <w:pPr>
        <w:pBdr/>
        <w:tabs>
          <w:tab w:val="num" w:leader="none" w:pos="0"/>
        </w:tabs>
        <w:spacing/>
        <w:ind w:hanging="360" w:left="6109"/>
      </w:pPr>
      <w:rPr/>
      <w:start w:val="1"/>
      <w:suff w:val="tab"/>
    </w:lvl>
    <w:lvl w:ilvl="8">
      <w:isLgl w:val="false"/>
      <w:lvlJc w:val="right"/>
      <w:lvlText w:val="%9."/>
      <w:numFmt w:val="lowerRoman"/>
      <w:pPr>
        <w:pBdr/>
        <w:tabs>
          <w:tab w:val="num" w:leader="none" w:pos="0"/>
        </w:tabs>
        <w:spacing/>
        <w:ind w:hanging="180" w:left="6829"/>
      </w:pPr>
      <w:rPr/>
      <w:start w:val="1"/>
      <w:suff w:val="tab"/>
    </w:lvl>
  </w:abstractNum>
  <w:abstractNum w:abstractNumId="97">
    <w:lvl w:ilvl="0">
      <w:isLgl w:val="false"/>
      <w:lvlJc w:val="left"/>
      <w:lvlText w:val="%1"/>
      <w:numFmt w:val="decimal"/>
      <w:pPr>
        <w:pBdr/>
        <w:tabs>
          <w:tab w:val="num" w:leader="none" w:pos="0"/>
        </w:tabs>
        <w:spacing/>
        <w:ind w:hanging="504" w:left="504"/>
      </w:pPr>
      <w:rPr/>
      <w:start w:val="12"/>
      <w:suff w:val="tab"/>
    </w:lvl>
    <w:lvl w:ilvl="1">
      <w:isLgl w:val="false"/>
      <w:lvlJc w:val="left"/>
      <w:lvlText w:val="%1.%2"/>
      <w:numFmt w:val="decimal"/>
      <w:pPr>
        <w:pBdr/>
        <w:tabs>
          <w:tab w:val="num" w:leader="none" w:pos="0"/>
        </w:tabs>
        <w:spacing/>
        <w:ind w:hanging="504" w:left="2348"/>
      </w:pPr>
      <w:rPr/>
      <w:start w:val="4"/>
      <w:suff w:val="tab"/>
    </w:lvl>
    <w:lvl w:ilvl="2">
      <w:isLgl w:val="false"/>
      <w:lvlJc w:val="left"/>
      <w:lvlText w:val="%1.%2.%3"/>
      <w:numFmt w:val="decimal"/>
      <w:pPr>
        <w:pBdr/>
        <w:tabs>
          <w:tab w:val="num" w:leader="none" w:pos="0"/>
        </w:tabs>
        <w:spacing/>
        <w:ind w:hanging="720" w:left="3576"/>
      </w:pPr>
      <w:rPr/>
      <w:start w:val="1"/>
      <w:suff w:val="tab"/>
    </w:lvl>
    <w:lvl w:ilvl="3">
      <w:isLgl w:val="false"/>
      <w:lvlJc w:val="left"/>
      <w:lvlText w:val="%1.%2.%3.%4"/>
      <w:numFmt w:val="decimal"/>
      <w:pPr>
        <w:pBdr/>
        <w:tabs>
          <w:tab w:val="num" w:leader="none" w:pos="0"/>
        </w:tabs>
        <w:spacing/>
        <w:ind w:hanging="1080" w:left="5364"/>
      </w:pPr>
      <w:rPr/>
      <w:start w:val="1"/>
      <w:suff w:val="tab"/>
    </w:lvl>
    <w:lvl w:ilvl="4">
      <w:isLgl w:val="false"/>
      <w:lvlJc w:val="left"/>
      <w:lvlText w:val="%1.%2.%3.%4.%5"/>
      <w:numFmt w:val="decimal"/>
      <w:pPr>
        <w:pBdr/>
        <w:tabs>
          <w:tab w:val="num" w:leader="none" w:pos="0"/>
        </w:tabs>
        <w:spacing/>
        <w:ind w:hanging="1080" w:left="6792"/>
      </w:pPr>
      <w:rPr/>
      <w:start w:val="1"/>
      <w:suff w:val="tab"/>
    </w:lvl>
    <w:lvl w:ilvl="5">
      <w:isLgl w:val="false"/>
      <w:lvlJc w:val="left"/>
      <w:lvlText w:val="%1.%2.%3.%4.%5.%6"/>
      <w:numFmt w:val="decimal"/>
      <w:pPr>
        <w:pBdr/>
        <w:tabs>
          <w:tab w:val="num" w:leader="none" w:pos="0"/>
        </w:tabs>
        <w:spacing/>
        <w:ind w:hanging="1440" w:left="8580"/>
      </w:pPr>
      <w:rPr/>
      <w:start w:val="1"/>
      <w:suff w:val="tab"/>
    </w:lvl>
    <w:lvl w:ilvl="6">
      <w:isLgl w:val="false"/>
      <w:lvlJc w:val="left"/>
      <w:lvlText w:val="%1.%2.%3.%4.%5.%6.%7"/>
      <w:numFmt w:val="decimal"/>
      <w:pPr>
        <w:pBdr/>
        <w:tabs>
          <w:tab w:val="num" w:leader="none" w:pos="0"/>
        </w:tabs>
        <w:spacing/>
        <w:ind w:hanging="1440" w:left="10008"/>
      </w:pPr>
      <w:rPr/>
      <w:start w:val="1"/>
      <w:suff w:val="tab"/>
    </w:lvl>
    <w:lvl w:ilvl="7">
      <w:isLgl w:val="false"/>
      <w:lvlJc w:val="left"/>
      <w:lvlText w:val="%1.%2.%3.%4.%5.%6.%7.%8"/>
      <w:numFmt w:val="decimal"/>
      <w:pPr>
        <w:pBdr/>
        <w:tabs>
          <w:tab w:val="num" w:leader="none" w:pos="0"/>
        </w:tabs>
        <w:spacing/>
        <w:ind w:hanging="1800" w:left="11796"/>
      </w:pPr>
      <w:rPr/>
      <w:start w:val="1"/>
      <w:suff w:val="tab"/>
    </w:lvl>
    <w:lvl w:ilvl="8">
      <w:isLgl w:val="false"/>
      <w:lvlJc w:val="left"/>
      <w:lvlText w:val="%1.%2.%3.%4.%5.%6.%7.%8.%9"/>
      <w:numFmt w:val="decimal"/>
      <w:pPr>
        <w:pBdr/>
        <w:tabs>
          <w:tab w:val="num" w:leader="none" w:pos="0"/>
        </w:tabs>
        <w:spacing/>
        <w:ind w:hanging="2160" w:left="13584"/>
      </w:pPr>
      <w:rPr/>
      <w:start w:val="1"/>
      <w:suff w:val="tab"/>
    </w:lvl>
  </w:abstractNum>
  <w:abstractNum w:abstractNumId="98">
    <w:lvl w:ilvl="0">
      <w:isLgl w:val="false"/>
      <w:lvlJc w:val="left"/>
      <w:lvlText w:val="%1."/>
      <w:numFmt w:val="decimal"/>
      <w:pPr>
        <w:pBdr/>
        <w:tabs>
          <w:tab w:val="num" w:leader="none" w:pos="0"/>
        </w:tabs>
        <w:spacing/>
        <w:ind w:hanging="360" w:left="1070"/>
      </w:pPr>
      <w:rPr/>
      <w:start w:val="1"/>
      <w:suff w:val="tab"/>
    </w:lvl>
    <w:lvl w:ilvl="1">
      <w:isLgl w:val="true"/>
      <w:lvlJc w:val="left"/>
      <w:lvlText w:val="%1.%2."/>
      <w:numFmt w:val="decimal"/>
      <w:pPr>
        <w:pBdr/>
        <w:tabs>
          <w:tab w:val="num" w:leader="none" w:pos="0"/>
        </w:tabs>
        <w:spacing/>
        <w:ind w:hanging="720" w:left="1778"/>
      </w:pPr>
      <w:rPr/>
      <w:start w:val="1"/>
      <w:suff w:val="tab"/>
    </w:lvl>
    <w:lvl w:ilvl="2">
      <w:isLgl w:val="true"/>
      <w:lvlJc w:val="left"/>
      <w:lvlText w:val="%1.%2.%3."/>
      <w:numFmt w:val="decimal"/>
      <w:pPr>
        <w:pBdr/>
        <w:tabs>
          <w:tab w:val="num" w:leader="none" w:pos="0"/>
        </w:tabs>
        <w:spacing/>
        <w:ind w:hanging="720" w:left="2070"/>
      </w:pPr>
      <w:rPr/>
      <w:start w:val="1"/>
      <w:suff w:val="tab"/>
    </w:lvl>
    <w:lvl w:ilvl="3">
      <w:isLgl w:val="true"/>
      <w:lvlJc w:val="left"/>
      <w:lvlText w:val="%1.%2.%3.%4."/>
      <w:numFmt w:val="decimal"/>
      <w:pPr>
        <w:pBdr/>
        <w:tabs>
          <w:tab w:val="num" w:leader="none" w:pos="0"/>
        </w:tabs>
        <w:spacing/>
        <w:ind w:hanging="1080" w:left="2750"/>
      </w:pPr>
      <w:rPr/>
      <w:start w:val="1"/>
      <w:suff w:val="tab"/>
    </w:lvl>
    <w:lvl w:ilvl="4">
      <w:isLgl w:val="true"/>
      <w:lvlJc w:val="left"/>
      <w:lvlText w:val="%1.%2.%3.%4.%5."/>
      <w:numFmt w:val="decimal"/>
      <w:pPr>
        <w:pBdr/>
        <w:tabs>
          <w:tab w:val="num" w:leader="none" w:pos="0"/>
        </w:tabs>
        <w:spacing/>
        <w:ind w:hanging="1440" w:left="3430"/>
      </w:pPr>
      <w:rPr/>
      <w:start w:val="1"/>
      <w:suff w:val="tab"/>
    </w:lvl>
    <w:lvl w:ilvl="5">
      <w:isLgl w:val="true"/>
      <w:lvlJc w:val="left"/>
      <w:lvlText w:val="%1.%2.%3.%4.%5.%6."/>
      <w:numFmt w:val="decimal"/>
      <w:pPr>
        <w:pBdr/>
        <w:tabs>
          <w:tab w:val="num" w:leader="none" w:pos="0"/>
        </w:tabs>
        <w:spacing/>
        <w:ind w:hanging="1440" w:left="3750"/>
      </w:pPr>
      <w:rPr/>
      <w:start w:val="1"/>
      <w:suff w:val="tab"/>
    </w:lvl>
    <w:lvl w:ilvl="6">
      <w:isLgl w:val="true"/>
      <w:lvlJc w:val="left"/>
      <w:lvlText w:val="%1.%2.%3.%4.%5.%6.%7."/>
      <w:numFmt w:val="decimal"/>
      <w:pPr>
        <w:pBdr/>
        <w:tabs>
          <w:tab w:val="num" w:leader="none" w:pos="0"/>
        </w:tabs>
        <w:spacing/>
        <w:ind w:hanging="1800" w:left="4430"/>
      </w:pPr>
      <w:rPr/>
      <w:start w:val="1"/>
      <w:suff w:val="tab"/>
    </w:lvl>
    <w:lvl w:ilvl="7">
      <w:isLgl w:val="true"/>
      <w:lvlJc w:val="left"/>
      <w:lvlText w:val="%1.%2.%3.%4.%5.%6.%7.%8."/>
      <w:numFmt w:val="decimal"/>
      <w:pPr>
        <w:pBdr/>
        <w:tabs>
          <w:tab w:val="num" w:leader="none" w:pos="0"/>
        </w:tabs>
        <w:spacing/>
        <w:ind w:hanging="2160" w:left="5110"/>
      </w:pPr>
      <w:rPr/>
      <w:start w:val="1"/>
      <w:suff w:val="tab"/>
    </w:lvl>
    <w:lvl w:ilvl="8">
      <w:isLgl w:val="true"/>
      <w:lvlJc w:val="left"/>
      <w:lvlText w:val="%1.%2.%3.%4.%5.%6.%7.%8.%9."/>
      <w:numFmt w:val="decimal"/>
      <w:pPr>
        <w:pBdr/>
        <w:tabs>
          <w:tab w:val="num" w:leader="none" w:pos="0"/>
        </w:tabs>
        <w:spacing/>
        <w:ind w:hanging="2160" w:left="5430"/>
      </w:pPr>
      <w:rPr/>
      <w:start w:val="1"/>
      <w:suff w:val="tab"/>
    </w:lvl>
  </w:abstractNum>
  <w:abstractNum w:abstractNumId="99">
    <w:lvl w:ilvl="0">
      <w:isLgl w:val="false"/>
      <w:lvlJc w:val="left"/>
      <w:lvlText w:val=""/>
      <w:numFmt w:val="none"/>
      <w:pPr>
        <w:pBdr/>
        <w:tabs>
          <w:tab w:val="num" w:leader="none" w:pos="0"/>
        </w:tabs>
        <w:spacing/>
        <w:ind w:firstLine="0" w:left="0"/>
      </w:pPr>
      <w:rPr/>
      <w:start w:val="1"/>
      <w:suff w:val="nothing"/>
    </w:lvl>
    <w:lvl w:ilvl="1">
      <w:isLgl w:val="false"/>
      <w:lvlJc w:val="left"/>
      <w:lvlText w:val=""/>
      <w:numFmt w:val="none"/>
      <w:pPr>
        <w:pBdr/>
        <w:tabs>
          <w:tab w:val="num" w:leader="none" w:pos="0"/>
        </w:tabs>
        <w:spacing/>
        <w:ind w:firstLine="0" w:left="0"/>
      </w:pPr>
      <w:rPr/>
      <w:start w:val="1"/>
      <w:suff w:val="nothing"/>
    </w:lvl>
    <w:lvl w:ilvl="2">
      <w:isLgl w:val="false"/>
      <w:lvlJc w:val="left"/>
      <w:lvlText w:val=""/>
      <w:numFmt w:val="none"/>
      <w:pPr>
        <w:pBdr/>
        <w:tabs>
          <w:tab w:val="num" w:leader="none" w:pos="0"/>
        </w:tabs>
        <w:spacing/>
        <w:ind w:firstLine="0" w:left="0"/>
      </w:pPr>
      <w:rPr/>
      <w:start w:val="1"/>
      <w:suff w:val="nothing"/>
    </w:lvl>
    <w:lvl w:ilvl="3">
      <w:isLgl w:val="false"/>
      <w:lvlJc w:val="left"/>
      <w:lvlText w:val=""/>
      <w:numFmt w:val="none"/>
      <w:pPr>
        <w:pBdr/>
        <w:tabs>
          <w:tab w:val="num" w:leader="none" w:pos="0"/>
        </w:tabs>
        <w:spacing/>
        <w:ind w:firstLine="0" w:left="0"/>
      </w:pPr>
      <w:rPr/>
      <w:start w:val="1"/>
      <w:suff w:val="nothing"/>
    </w:lvl>
    <w:lvl w:ilvl="4">
      <w:isLgl w:val="false"/>
      <w:lvlJc w:val="left"/>
      <w:lvlText w:val=""/>
      <w:numFmt w:val="none"/>
      <w:pPr>
        <w:pBdr/>
        <w:tabs>
          <w:tab w:val="num" w:leader="none" w:pos="0"/>
        </w:tabs>
        <w:spacing/>
        <w:ind w:firstLine="0" w:left="0"/>
      </w:pPr>
      <w:rPr/>
      <w:start w:val="1"/>
      <w:suff w:val="nothing"/>
    </w:lvl>
    <w:lvl w:ilvl="5">
      <w:isLgl w:val="false"/>
      <w:lvlJc w:val="left"/>
      <w:lvlText w:val=""/>
      <w:numFmt w:val="none"/>
      <w:pPr>
        <w:pBdr/>
        <w:tabs>
          <w:tab w:val="num" w:leader="none" w:pos="0"/>
        </w:tabs>
        <w:spacing/>
        <w:ind w:firstLine="0" w:left="0"/>
      </w:pPr>
      <w:rPr/>
      <w:start w:val="1"/>
      <w:suff w:val="nothing"/>
    </w:lvl>
    <w:lvl w:ilvl="6">
      <w:isLgl w:val="false"/>
      <w:lvlJc w:val="left"/>
      <w:lvlText w:val=""/>
      <w:numFmt w:val="none"/>
      <w:pPr>
        <w:pBdr/>
        <w:tabs>
          <w:tab w:val="num" w:leader="none" w:pos="0"/>
        </w:tabs>
        <w:spacing/>
        <w:ind w:firstLine="0" w:left="0"/>
      </w:pPr>
      <w:rPr/>
      <w:start w:val="1"/>
      <w:suff w:val="nothing"/>
    </w:lvl>
    <w:lvl w:ilvl="7">
      <w:isLgl w:val="false"/>
      <w:lvlJc w:val="left"/>
      <w:lvlText w:val=""/>
      <w:numFmt w:val="none"/>
      <w:pPr>
        <w:pBdr/>
        <w:tabs>
          <w:tab w:val="num" w:leader="none" w:pos="0"/>
        </w:tabs>
        <w:spacing/>
        <w:ind w:firstLine="0" w:left="0"/>
      </w:pPr>
      <w:rPr/>
      <w:start w:val="1"/>
      <w:suff w:val="nothing"/>
    </w:lvl>
    <w:lvl w:ilvl="8">
      <w:isLgl w:val="false"/>
      <w:lvlJc w:val="left"/>
      <w:lvlText w:val=""/>
      <w:numFmt w:val="none"/>
      <w:pPr>
        <w:pBdr/>
        <w:tabs>
          <w:tab w:val="num" w:leader="none" w:pos="0"/>
        </w:tabs>
        <w:spacing/>
        <w:ind w:firstLine="0" w:left="0"/>
      </w:pPr>
      <w:rPr/>
      <w:start w:val="1"/>
      <w:suff w:val="nothing"/>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 w:numId="96">
    <w:abstractNumId w:val="95"/>
  </w:num>
  <w:num w:numId="97">
    <w:abstractNumId w:val="96"/>
  </w:num>
  <w:num w:numId="98">
    <w:abstractNumId w:val="97"/>
  </w:num>
  <w:num w:numId="99">
    <w:abstractNumId w:val="98"/>
  </w:num>
  <w:num w:numId="100">
    <w:abstractNumId w:val="99"/>
  </w:num>
  <w:num w:numId="101">
    <w:abstractNumId w:val="12"/>
    <w:lvlOverride w:ilvl="0">
      <w:startOverride w:val="1"/>
    </w:lvlOverride>
    <w:lvlOverride w:ilvl="1">
      <w:startOverride w:val="1"/>
    </w:lvlOverride>
  </w:num>
  <w:num w:numId="102">
    <w:abstractNumId w:val="12"/>
    <w:lvlOverride w:ilvl="0">
      <w:startOverride w:val="1"/>
    </w:lvlOverride>
    <w:lvlOverride w:ilvl="1">
      <w:startOverride w:val="1"/>
    </w:lvlOverride>
  </w:num>
  <w:num w:numId="103">
    <w:abstractNumId w:val="12"/>
    <w:lvlOverride w:ilvl="0">
      <w:startOverride w:val="1"/>
    </w:lvlOverride>
    <w:lvlOverride w:ilvl="1">
      <w:startOverride w:val="1"/>
    </w:lvlOverride>
  </w:num>
  <w:num w:numId="104">
    <w:abstractNumId w:val="12"/>
    <w:lvlOverride w:ilvl="0">
      <w:startOverride w:val="1"/>
    </w:lvlOverride>
    <w:lvlOverride w:ilvl="1">
      <w:startOverride w:val="1"/>
    </w:lvlOverride>
  </w:num>
  <w:num w:numId="105">
    <w:abstractNumId w:val="12"/>
    <w:lvlOverride w:ilvl="0">
      <w:startOverride w:val="1"/>
    </w:lvlOverride>
    <w:lvlOverride w:ilvl="1">
      <w:startOverride w:val="1"/>
    </w:lvlOverride>
  </w:num>
  <w:num w:numId="106">
    <w:abstractNumId w:val="12"/>
  </w:num>
  <w:num w:numId="107">
    <w:abstractNumId w:val="12"/>
  </w:num>
  <w:num w:numId="108">
    <w:abstractNumId w:val="12"/>
  </w:num>
  <w:num w:numId="109">
    <w:abstractNumId w:val="12"/>
  </w:num>
  <w:num w:numId="110">
    <w:abstractNumId w:val="12"/>
  </w:num>
  <w:num w:numId="111">
    <w:abstractNumId w:val="12"/>
  </w:num>
  <w:num w:numId="112">
    <w:abstractNumId w:val="12"/>
    <w:lvlOverride w:ilvl="0">
      <w:startOverride w:val="1"/>
    </w:lvlOverride>
    <w:lvlOverride w:ilvl="1">
      <w:startOverride w:val="1"/>
    </w:lvlOverride>
  </w:num>
  <w:num w:numId="113">
    <w:abstractNumId w:val="12"/>
  </w:num>
  <w:num w:numId="114">
    <w:abstractNumId w:val="12"/>
  </w:num>
  <w:num w:numId="115">
    <w:abstractNumId w:val="12"/>
  </w:num>
  <w:num w:numId="116">
    <w:abstractNumId w:val="12"/>
  </w:num>
  <w:num w:numId="117">
    <w:abstractNumId w:val="12"/>
  </w:num>
  <w:num w:numId="118">
    <w:abstractNumId w:val="12"/>
    <w:lvlOverride w:ilvl="0">
      <w:startOverride w:val="1"/>
    </w:lvlOverride>
    <w:lvlOverride w:ilvl="1">
      <w:startOverride w:val="1"/>
    </w:lvlOverride>
  </w:num>
  <w:num w:numId="119">
    <w:abstractNumId w:val="12"/>
    <w:lvlOverride w:ilvl="0">
      <w:startOverride w:val="1"/>
    </w:lvlOverride>
    <w:lvlOverride w:ilvl="1">
      <w:startOverride w:val="1"/>
    </w:lvlOverride>
  </w:num>
  <w:num w:numId="120">
    <w:abstractNumId w:val="12"/>
    <w:lvlOverride w:ilvl="0">
      <w:startOverride w:val="1"/>
    </w:lvlOverride>
    <w:lvlOverride w:ilvl="1">
      <w:startOverride w:val="1"/>
    </w:lvlOverride>
  </w:num>
  <w:num w:numId="121">
    <w:abstractNumId w:val="12"/>
    <w:lvlOverride w:ilvl="0">
      <w:startOverride w:val="1"/>
    </w:lvlOverride>
    <w:lvlOverride w:ilvl="1">
      <w:startOverride w:val="1"/>
    </w:lvlOverride>
  </w:num>
  <w:num w:numId="122">
    <w:abstractNumId w:val="12"/>
    <w:lvlOverride w:ilvl="0">
      <w:startOverride w:val="1"/>
    </w:lvlOverride>
  </w:num>
  <w:num w:numId="123">
    <w:abstractNumId w:val="12"/>
  </w:num>
  <w:num w:numId="124">
    <w:abstractNumId w:val="12"/>
  </w:num>
  <w:num w:numId="125">
    <w:abstractNumId w:val="12"/>
    <w:lvlOverride w:ilvl="0">
      <w:startOverride w:val="1"/>
    </w:lvlOverride>
  </w:num>
  <w:num w:numId="126">
    <w:abstractNumId w:val="12"/>
  </w:num>
  <w:num w:numId="127">
    <w:abstractNumId w:val="12"/>
    <w:lvlOverride w:ilvl="0">
      <w:startOverride w:val="1"/>
    </w:lvlOverride>
  </w:num>
  <w:num w:numId="128">
    <w:abstractNumId w:val="12"/>
  </w:num>
  <w:num w:numId="129">
    <w:abstractNumId w:val="12"/>
  </w:num>
  <w:num w:numId="130">
    <w:abstractNumId w:val="12"/>
  </w:num>
  <w:num w:numId="131">
    <w:abstractNumId w:val="12"/>
  </w:num>
  <w:num w:numId="132">
    <w:abstractNumId w:val="12"/>
    <w:lvlOverride w:ilvl="0">
      <w:startOverride w:val="1"/>
    </w:lvlOverride>
  </w:num>
  <w:num w:numId="133">
    <w:abstractNumId w:val="12"/>
  </w:num>
  <w:num w:numId="134">
    <w:abstractNumId w:val="12"/>
  </w:num>
  <w:num w:numId="135">
    <w:abstractNumId w:val="12"/>
  </w:num>
  <w:num w:numId="136">
    <w:abstractNumId w:val="12"/>
  </w:num>
  <w:num w:numId="137">
    <w:abstractNumId w:val="12"/>
  </w:num>
  <w:num w:numId="138">
    <w:abstractNumId w:val="12"/>
  </w:num>
  <w:num w:numId="139">
    <w:abstractNumId w:val="12"/>
  </w:num>
  <w:num w:numId="140">
    <w:abstractNumId w:val="12"/>
  </w:num>
  <w:num w:numId="141">
    <w:abstractNumId w:val="12"/>
  </w:num>
  <w:num w:numId="142">
    <w:abstractNumId w:val="12"/>
  </w:num>
  <w:num w:numId="143">
    <w:abstractNumId w:val="12"/>
  </w:num>
  <w:num w:numId="144">
    <w:abstractNumId w:val="12"/>
  </w:num>
  <w:num w:numId="145">
    <w:abstractNumId w:val="12"/>
  </w:num>
  <w:num w:numId="146">
    <w:abstractNumId w:val="12"/>
  </w:num>
  <w:num w:numId="147">
    <w:abstractNumId w:val="12"/>
    <w:lvlOverride w:ilvl="0">
      <w:startOverride w:val="1"/>
    </w:lvlOverride>
  </w:num>
  <w:num w:numId="148">
    <w:abstractNumId w:val="12"/>
  </w:num>
  <w:num w:numId="149">
    <w:abstractNumId w:val="12"/>
  </w:num>
  <w:num w:numId="150">
    <w:abstractNumId w:val="12"/>
  </w:num>
  <w:num w:numId="151">
    <w:abstractNumId w:val="12"/>
  </w:num>
  <w:num w:numId="152">
    <w:abstractNumId w:val="12"/>
  </w:num>
  <w:num w:numId="153">
    <w:abstractNumId w:val="12"/>
  </w:num>
  <w:num w:numId="154">
    <w:abstractNumId w:val="12"/>
  </w:num>
  <w:num w:numId="155">
    <w:abstractNumId w:val="12"/>
    <w:lvlOverride w:ilvl="0">
      <w:startOverride w:val="1"/>
    </w:lvlOverride>
  </w:num>
  <w:num w:numId="156">
    <w:abstractNumId w:val="12"/>
  </w:num>
  <w:num w:numId="157">
    <w:abstractNumId w:val="12"/>
  </w:num>
  <w:num w:numId="158">
    <w:abstractNumId w:val="12"/>
  </w:num>
  <w:num w:numId="159">
    <w:abstractNumId w:val="12"/>
  </w:num>
  <w:num w:numId="160">
    <w:abstractNumId w:val="12"/>
  </w:num>
  <w:num w:numId="161">
    <w:abstractNumId w:val="12"/>
    <w:lvlOverride w:ilvl="0">
      <w:startOverride w:val="1"/>
    </w:lvlOverride>
  </w:num>
  <w:num w:numId="162">
    <w:abstractNumId w:val="12"/>
  </w:num>
  <w:num w:numId="163">
    <w:abstractNumId w:val="12"/>
  </w:num>
  <w:num w:numId="164">
    <w:abstractNumId w:val="12"/>
  </w:num>
  <w:num w:numId="165">
    <w:abstractNumId w:val="12"/>
  </w:num>
  <w:num w:numId="166">
    <w:abstractNumId w:val="12"/>
  </w:num>
  <w:num w:numId="167">
    <w:abstractNumId w:val="12"/>
    <w:lvlOverride w:ilvl="0">
      <w:startOverride w:val="1"/>
    </w:lvlOverride>
  </w:num>
  <w:num w:numId="168">
    <w:abstractNumId w:val="12"/>
  </w:num>
  <w:num w:numId="169">
    <w:abstractNumId w:val="12"/>
  </w:num>
  <w:num w:numId="170">
    <w:abstractNumId w:val="12"/>
  </w:num>
  <w:num w:numId="171">
    <w:abstractNumId w:val="12"/>
  </w:num>
  <w:num w:numId="172">
    <w:abstractNumId w:val="12"/>
  </w:num>
  <w:num w:numId="173">
    <w:abstractNumId w:val="12"/>
  </w:num>
  <w:num w:numId="174">
    <w:abstractNumId w:val="12"/>
  </w:num>
  <w:num w:numId="175">
    <w:abstractNumId w:val="12"/>
  </w:num>
  <w:num w:numId="176">
    <w:abstractNumId w:val="12"/>
  </w:num>
  <w:num w:numId="177">
    <w:abstractNumId w:val="12"/>
  </w:num>
  <w:num w:numId="178">
    <w:abstractNumId w:val="12"/>
  </w:num>
  <w:num w:numId="179">
    <w:abstractNumId w:val="12"/>
    <w:lvlOverride w:ilvl="0">
      <w:startOverride w:val="1"/>
    </w:lvlOverride>
    <w:lvlOverride w:ilvl="1">
      <w:startOverride w:val="5"/>
    </w:lvlOverride>
  </w:num>
  <w:num w:numId="180">
    <w:abstractNumId w:val="12"/>
    <w:lvlOverride w:ilvl="0">
      <w:startOverride w:val="1"/>
    </w:lvlOverride>
  </w:num>
  <w:num w:numId="181">
    <w:abstractNumId w:val="12"/>
  </w:num>
  <w:num w:numId="182">
    <w:abstractNumId w:val="12"/>
  </w:num>
  <w:num w:numId="183">
    <w:abstractNumId w:val="12"/>
  </w:num>
  <w:num w:numId="184">
    <w:abstractNumId w:val="12"/>
    <w:lvlOverride w:ilvl="0">
      <w:startOverride w:val="1"/>
    </w:lvlOverride>
  </w:num>
  <w:num w:numId="185">
    <w:abstractNumId w:val="12"/>
  </w:num>
  <w:num w:numId="186">
    <w:abstractNumId w:val="12"/>
  </w:num>
  <w:num w:numId="187">
    <w:abstractNumId w:val="12"/>
  </w:num>
  <w:num w:numId="188">
    <w:abstractNumId w:val="12"/>
  </w:num>
  <w:num w:numId="189">
    <w:abstractNumId w:val="12"/>
  </w:num>
  <w:num w:numId="190">
    <w:abstractNumId w:val="12"/>
  </w:num>
  <w:num w:numId="191">
    <w:abstractNumId w:val="12"/>
  </w:num>
  <w:num w:numId="192">
    <w:abstractNumId w:val="12"/>
  </w:num>
  <w:num w:numId="193">
    <w:abstractNumId w:val="12"/>
  </w:num>
  <w:num w:numId="194">
    <w:abstractNumId w:val="12"/>
  </w:num>
  <w:num w:numId="195">
    <w:abstractNumId w:val="12"/>
  </w:num>
  <w:num w:numId="196">
    <w:abstractNumId w:val="12"/>
  </w:num>
  <w:num w:numId="197">
    <w:abstractNumId w:val="12"/>
  </w:num>
  <w:num w:numId="198">
    <w:abstractNumId w:val="12"/>
    <w:lvlOverride w:ilvl="0">
      <w:startOverride w:val="1"/>
    </w:lvlOverride>
  </w:num>
  <w:num w:numId="199">
    <w:abstractNumId w:val="12"/>
  </w:num>
  <w:num w:numId="200">
    <w:abstractNumId w:val="12"/>
    <w:lvlOverride w:ilvl="0">
      <w:startOverride w:val="1"/>
    </w:lvlOverride>
  </w:num>
  <w:num w:numId="201">
    <w:abstractNumId w:val="12"/>
  </w:num>
  <w:num w:numId="202">
    <w:abstractNumId w:val="12"/>
  </w:num>
  <w:num w:numId="203">
    <w:abstractNumId w:val="12"/>
  </w:num>
  <w:num w:numId="204">
    <w:abstractNumId w:val="12"/>
  </w:num>
  <w:num w:numId="205">
    <w:abstractNumId w:val="12"/>
    <w:lvlOverride w:ilvl="0">
      <w:startOverride w:val="1"/>
    </w:lvlOverride>
  </w:num>
  <w:num w:numId="206">
    <w:abstractNumId w:val="12"/>
  </w:num>
  <w:num w:numId="207">
    <w:abstractNumId w:val="12"/>
  </w:num>
  <w:num w:numId="208">
    <w:abstractNumId w:val="12"/>
    <w:lvlOverride w:ilvl="0">
      <w:startOverride w:val="1"/>
    </w:lvlOverride>
  </w:num>
  <w:num w:numId="209">
    <w:abstractNumId w:val="12"/>
  </w:num>
  <w:num w:numId="21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9"/>
  <w:autoHyphenation w:val="true"/>
  <w:hyphenationZone w:val="0"/>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EastAsia" w:cstheme="minorBidi"/>
        <w:sz w:val="22"/>
        <w:szCs w:val="22"/>
        <w:lang w:val="ru-RU" w:eastAsia="ru-RU"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3">
    <w:name w:val="Table Grid Light"/>
    <w:basedOn w:val="13513"/>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1"/>
    <w:basedOn w:val="13513"/>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2"/>
    <w:basedOn w:val="13513"/>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3"/>
    <w:basedOn w:val="13513"/>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4"/>
    <w:basedOn w:val="13513"/>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Plain Table 5"/>
    <w:basedOn w:val="13513"/>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w:basedOn w:val="13513"/>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1"/>
    <w:basedOn w:val="13513"/>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2"/>
    <w:basedOn w:val="13513"/>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3"/>
    <w:basedOn w:val="13513"/>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4"/>
    <w:basedOn w:val="13513"/>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5"/>
    <w:basedOn w:val="13513"/>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1 Light - Accent 6"/>
    <w:basedOn w:val="13513"/>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w:basedOn w:val="13513"/>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1"/>
    <w:basedOn w:val="13513"/>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2"/>
    <w:basedOn w:val="13513"/>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3"/>
    <w:basedOn w:val="13513"/>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4"/>
    <w:basedOn w:val="13513"/>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5"/>
    <w:basedOn w:val="13513"/>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2 - Accent 6"/>
    <w:basedOn w:val="13513"/>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w:basedOn w:val="13513"/>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1"/>
    <w:basedOn w:val="13513"/>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2"/>
    <w:basedOn w:val="13513"/>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3"/>
    <w:basedOn w:val="13513"/>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4"/>
    <w:basedOn w:val="13513"/>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5"/>
    <w:basedOn w:val="13513"/>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3 - Accent 6"/>
    <w:basedOn w:val="13513"/>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w:basedOn w:val="13513"/>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1"/>
    <w:basedOn w:val="13513"/>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d8b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2"/>
    <w:basedOn w:val="13513"/>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3"/>
    <w:basedOn w:val="13513"/>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9bbb5a"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4"/>
    <w:basedOn w:val="13513"/>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5"/>
    <w:basedOn w:val="13513"/>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4 - Accent 6"/>
    <w:basedOn w:val="13513"/>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Accent 1"/>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be5f2" w:themeFill="accent1" w:themeFillTint="34"/>
    </w:tblPr>
    <w:tcPr>
      <w:tcBorders/>
    </w:tcPr>
    <w:tblStylePr w:type="band1Horz">
      <w:pPr>
        <w:pBdr/>
        <w:spacing/>
        <w:ind/>
      </w:pPr>
      <w:tblPr>
        <w:tblBorders/>
      </w:tblPr>
      <w:tcPr>
        <w:shd w:val="clear" w:color="ffffff" w:themeColor="accent1" w:themeTint="75" w:fill="aec5e1" w:themeFill="accent1" w:themeFillTint="75"/>
        <w:tcBorders/>
      </w:tcPr>
    </w:tblStylePr>
    <w:tblStylePr w:type="band1Vert">
      <w:pPr>
        <w:pBdr/>
        <w:spacing/>
        <w:ind/>
      </w:pPr>
      <w:tblPr>
        <w:tblBorders/>
      </w:tblPr>
      <w:tcPr>
        <w:shd w:val="clear" w:color="ffffff" w:themeColor="accent1" w:themeTint="75" w:fill="aec5e1"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f81bd" w:themeFill="accent1"/>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rFonts w:ascii="Arial" w:hAnsi="Arial"/>
        <w:b/>
        <w:color w:val="ffffff"/>
        <w:sz w:val="22"/>
      </w:rPr>
      <w:pPr>
        <w:pBdr/>
        <w:spacing/>
        <w:ind/>
      </w:pPr>
      <w:tblPr>
        <w:tblBorders/>
      </w:tblPr>
      <w:tcPr>
        <w:shd w:val="clear" w:color="ffffff" w:themeColor="accent1" w:fill="4f81bd" w:themeFill="accent1"/>
        <w:tcBorders/>
      </w:tcPr>
    </w:tblStylePr>
    <w:tblStylePr w:type="lastRow">
      <w:rPr>
        <w:rFonts w:ascii="Arial" w:hAnsi="Arial"/>
        <w:b/>
        <w:color w:val="ffffff"/>
        <w:sz w:val="22"/>
      </w:rPr>
      <w:pPr>
        <w:pBdr/>
        <w:spacing/>
        <w:ind/>
      </w:pPr>
      <w:tblPr>
        <w:tblBorders/>
      </w:tblPr>
      <w:tcPr>
        <w:shd w:val="clear" w:color="ffffff" w:themeColor="accent1" w:fill="4f81bd"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2"/>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3dddc" w:themeFill="accent2" w:themeFillTint="32"/>
    </w:tblPr>
    <w:tcPr>
      <w:tcBorders/>
    </w:tcPr>
    <w:tblStylePr w:type="band1Horz">
      <w:pPr>
        <w:pBdr/>
        <w:spacing/>
        <w:ind/>
      </w:pPr>
      <w:tblPr>
        <w:tblBorders/>
      </w:tblPr>
      <w:tcPr>
        <w:shd w:val="clear" w:color="ffffff" w:themeColor="accent2" w:themeTint="75" w:fill="e2afad" w:themeFill="accent2" w:themeFillTint="75"/>
        <w:tcBorders/>
      </w:tcPr>
    </w:tblStylePr>
    <w:tblStylePr w:type="band1Vert">
      <w:pPr>
        <w:pBdr/>
        <w:spacing/>
        <w:ind/>
      </w:pPr>
      <w:tblPr>
        <w:tblBorders/>
      </w:tblPr>
      <w:tcPr>
        <w:shd w:val="clear" w:color="ffffff" w:themeColor="accent2" w:themeTint="75" w:fill="e2afad"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c0504d" w:themeFill="accent2"/>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rFonts w:ascii="Arial" w:hAnsi="Arial"/>
        <w:b/>
        <w:color w:val="ffffff"/>
        <w:sz w:val="22"/>
      </w:rPr>
      <w:pPr>
        <w:pBdr/>
        <w:spacing/>
        <w:ind/>
      </w:pPr>
      <w:tblPr>
        <w:tblBorders/>
      </w:tblPr>
      <w:tcPr>
        <w:shd w:val="clear" w:color="ffffff" w:themeColor="accent2" w:fill="c0504d" w:themeFill="accent2"/>
        <w:tcBorders/>
      </w:tcPr>
    </w:tblStylePr>
    <w:tblStylePr w:type="lastRow">
      <w:rPr>
        <w:rFonts w:ascii="Arial" w:hAnsi="Arial"/>
        <w:b/>
        <w:color w:val="ffffff"/>
        <w:sz w:val="22"/>
      </w:rPr>
      <w:pPr>
        <w:pBdr/>
        <w:spacing/>
        <w:ind/>
      </w:pPr>
      <w:tblPr>
        <w:tblBorders/>
      </w:tblPr>
      <w:tcPr>
        <w:shd w:val="clear" w:color="ffffff" w:themeColor="accent2" w:fill="c0504d"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 Accent 3"/>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bf1dd" w:themeFill="accent3" w:themeFillTint="34"/>
    </w:tblPr>
    <w:tcPr>
      <w:tcBorders/>
    </w:tcPr>
    <w:tblStylePr w:type="band1Horz">
      <w:pPr>
        <w:pBdr/>
        <w:spacing/>
        <w:ind/>
      </w:pPr>
      <w:tblPr>
        <w:tblBorders/>
      </w:tblPr>
      <w:tcPr>
        <w:shd w:val="clear" w:color="ffffff" w:themeColor="accent3" w:themeTint="75" w:fill="d1e0b3" w:themeFill="accent3" w:themeFillTint="75"/>
        <w:tcBorders/>
      </w:tcPr>
    </w:tblStylePr>
    <w:tblStylePr w:type="band1Vert">
      <w:pPr>
        <w:pBdr/>
        <w:spacing/>
        <w:ind/>
      </w:pPr>
      <w:tblPr>
        <w:tblBorders/>
      </w:tblPr>
      <w:tcPr>
        <w:shd w:val="clear" w:color="ffffff" w:themeColor="accent3" w:themeTint="75" w:fill="d1e0b3"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9bbb59" w:themeFill="accent3"/>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rFonts w:ascii="Arial" w:hAnsi="Arial"/>
        <w:b/>
        <w:color w:val="ffffff"/>
        <w:sz w:val="22"/>
      </w:rPr>
      <w:pPr>
        <w:pBdr/>
        <w:spacing/>
        <w:ind/>
      </w:pPr>
      <w:tblPr>
        <w:tblBorders/>
      </w:tblPr>
      <w:tcPr>
        <w:shd w:val="clear" w:color="ffffff" w:themeColor="accent3" w:fill="9bbb59" w:themeFill="accent3"/>
        <w:tcBorders/>
      </w:tcPr>
    </w:tblStylePr>
    <w:tblStylePr w:type="lastRow">
      <w:rPr>
        <w:rFonts w:ascii="Arial" w:hAnsi="Arial"/>
        <w:b/>
        <w:color w:val="ffffff"/>
        <w:sz w:val="22"/>
      </w:rPr>
      <w:pPr>
        <w:pBdr/>
        <w:spacing/>
        <w:ind/>
      </w:pPr>
      <w:tblPr>
        <w:tblBorders/>
      </w:tblPr>
      <w:tcPr>
        <w:shd w:val="clear" w:color="ffffff" w:themeColor="accent3" w:fill="9bbb59"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Accent 4"/>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cPr>
      <w:tcBorders/>
    </w:tcPr>
    <w:tblStylePr w:type="band1Horz">
      <w:pPr>
        <w:pBdr/>
        <w:spacing/>
        <w:ind/>
      </w:pPr>
      <w:tblPr>
        <w:tblBorders/>
      </w:tblPr>
      <w:tcPr>
        <w:shd w:val="clear" w:color="ffffff" w:themeColor="accent4" w:themeTint="75" w:fill="c5b8d4" w:themeFill="accent4" w:themeFillTint="75"/>
        <w:tcBorders/>
      </w:tcPr>
    </w:tblStylePr>
    <w:tblStylePr w:type="band1Vert">
      <w:pPr>
        <w:pBdr/>
        <w:spacing/>
        <w:ind/>
      </w:pPr>
      <w:tblPr>
        <w:tblBorders/>
      </w:tblPr>
      <w:tcPr>
        <w:shd w:val="clear" w:color="ffffff" w:themeColor="accent4" w:themeTint="75" w:fill="c5b8d4"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8064a2" w:themeFill="accent4"/>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rFonts w:ascii="Arial" w:hAnsi="Arial"/>
        <w:b/>
        <w:color w:val="ffffff"/>
        <w:sz w:val="22"/>
      </w:rPr>
      <w:pPr>
        <w:pBdr/>
        <w:spacing/>
        <w:ind/>
      </w:pPr>
      <w:tblPr>
        <w:tblBorders/>
      </w:tblPr>
      <w:tcPr>
        <w:shd w:val="clear" w:color="ffffff" w:themeColor="accent4" w:fill="8064a2" w:themeFill="accent4"/>
        <w:tcBorders/>
      </w:tcPr>
    </w:tblStylePr>
    <w:tblStylePr w:type="lastRow">
      <w:rPr>
        <w:rFonts w:ascii="Arial" w:hAnsi="Arial"/>
        <w:b/>
        <w:color w:val="ffffff"/>
        <w:sz w:val="22"/>
      </w:rPr>
      <w:pPr>
        <w:pBdr/>
        <w:spacing/>
        <w:ind/>
      </w:pPr>
      <w:tblPr>
        <w:tblBorders/>
      </w:tblPr>
      <w:tcPr>
        <w:shd w:val="clear" w:color="ffffff" w:themeColor="accent4" w:fill="8064a2"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5"/>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cPr>
      <w:tcBorders/>
    </w:tcPr>
    <w:tblStylePr w:type="band1Horz">
      <w:pPr>
        <w:pBdr/>
        <w:spacing/>
        <w:ind/>
      </w:pPr>
      <w:tblPr>
        <w:tblBorders/>
      </w:tblPr>
      <w:tcPr>
        <w:shd w:val="clear" w:color="ffffff" w:themeColor="accent5" w:themeTint="75" w:fill="acd9e5" w:themeFill="accent5" w:themeFillTint="75"/>
        <w:tcBorders/>
      </w:tcPr>
    </w:tblStylePr>
    <w:tblStylePr w:type="band1Vert">
      <w:pPr>
        <w:pBdr/>
        <w:spacing/>
        <w:ind/>
      </w:pPr>
      <w:tblPr>
        <w:tblBorders/>
      </w:tblPr>
      <w:tcPr>
        <w:shd w:val="clear" w:color="ffffff" w:themeColor="accent5" w:themeTint="75" w:fill="acd9e5"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bacc6" w:themeFill="accent5"/>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rFonts w:ascii="Arial" w:hAnsi="Arial"/>
        <w:b/>
        <w:color w:val="ffffff"/>
        <w:sz w:val="22"/>
      </w:rPr>
      <w:pPr>
        <w:pBdr/>
        <w:spacing/>
        <w:ind/>
      </w:pPr>
      <w:tblPr>
        <w:tblBorders/>
      </w:tblPr>
      <w:tcPr>
        <w:shd w:val="clear" w:color="ffffff" w:themeColor="accent5" w:fill="4bacc6" w:themeFill="accent5"/>
        <w:tcBorders/>
      </w:tcPr>
    </w:tblStylePr>
    <w:tblStylePr w:type="lastRow">
      <w:rPr>
        <w:rFonts w:ascii="Arial" w:hAnsi="Arial"/>
        <w:b/>
        <w:color w:val="ffffff"/>
        <w:sz w:val="22"/>
      </w:rPr>
      <w:pPr>
        <w:pBdr/>
        <w:spacing/>
        <w:ind/>
      </w:pPr>
      <w:tblPr>
        <w:tblBorders/>
      </w:tblPr>
      <w:tcPr>
        <w:shd w:val="clear" w:color="ffffff" w:themeColor="accent5" w:fill="4bacc6"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5 Dark - Accent 6"/>
    <w:basedOn w:val="1351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ad9" w:themeFill="accent6" w:themeFillTint="34"/>
    </w:tblPr>
    <w:tcPr>
      <w:tcBorders/>
    </w:tcPr>
    <w:tblStylePr w:type="band1Horz">
      <w:pPr>
        <w:pBdr/>
        <w:spacing/>
        <w:ind/>
      </w:pPr>
      <w:tblPr>
        <w:tblBorders/>
      </w:tblPr>
      <w:tcPr>
        <w:shd w:val="clear" w:color="ffffff" w:themeColor="accent6" w:themeTint="75" w:fill="fbcfaa" w:themeFill="accent6" w:themeFillTint="75"/>
        <w:tcBorders/>
      </w:tcPr>
    </w:tblStylePr>
    <w:tblStylePr w:type="band1Vert">
      <w:pPr>
        <w:pBdr/>
        <w:spacing/>
        <w:ind/>
      </w:pPr>
      <w:tblPr>
        <w:tblBorders/>
      </w:tblPr>
      <w:tcPr>
        <w:shd w:val="clear" w:color="ffffff" w:themeColor="accent6" w:themeTint="75" w:fill="fbcfaa"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f79646" w:themeFill="accent6"/>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rFonts w:ascii="Arial" w:hAnsi="Arial"/>
        <w:b/>
        <w:color w:val="ffffff"/>
        <w:sz w:val="22"/>
      </w:rPr>
      <w:pPr>
        <w:pBdr/>
        <w:spacing/>
        <w:ind/>
      </w:pPr>
      <w:tblPr>
        <w:tblBorders/>
      </w:tblPr>
      <w:tcPr>
        <w:shd w:val="clear" w:color="ffffff" w:themeColor="accent6" w:fill="f79646" w:themeFill="accent6"/>
        <w:tcBorders/>
      </w:tcPr>
    </w:tblStylePr>
    <w:tblStylePr w:type="lastRow">
      <w:rPr>
        <w:rFonts w:ascii="Arial" w:hAnsi="Arial"/>
        <w:b/>
        <w:color w:val="ffffff"/>
        <w:sz w:val="22"/>
      </w:rPr>
      <w:pPr>
        <w:pBdr/>
        <w:spacing/>
        <w:ind/>
      </w:pPr>
      <w:tblPr>
        <w:tblBorders/>
      </w:tblPr>
      <w:tcPr>
        <w:shd w:val="clear" w:color="ffffff" w:themeColor="accent6" w:fill="f79646"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4">
    <w:name w:val="Grid Table 6 Colorful"/>
    <w:basedOn w:val="13513"/>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5">
    <w:name w:val="Grid Table 6 Colorful - Accent 1"/>
    <w:basedOn w:val="13513"/>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e6da5" w:themeColor="accent1" w:themeTint="80" w:themeShade="95"/>
      </w:rPr>
      <w:pPr>
        <w:pBdr/>
        <w:spacing/>
        <w:ind/>
      </w:pPr>
      <w:tblPr>
        <w:tblBorders/>
      </w:tblPr>
      <w:tcPr>
        <w:tcBorders/>
      </w:tcPr>
    </w:tblStylePr>
    <w:tblStylePr w:type="firstRow">
      <w:rPr>
        <w:b/>
        <w:color w:val="3e6da5" w:themeColor="accent1" w:themeTint="80" w:themeShade="95"/>
      </w:rPr>
      <w:pPr>
        <w:pBdr/>
        <w:spacing/>
        <w:ind/>
      </w:pPr>
      <w:tblPr>
        <w:tblBorders/>
      </w:tblPr>
      <w:tcPr>
        <w:tcBorders>
          <w:bottom w:val="single" w:color="000000" w:themeColor="accent1" w:themeTint="80" w:sz="12" w:space="0"/>
        </w:tcBorders>
      </w:tcPr>
    </w:tblStylePr>
    <w:tblStylePr w:type="lastCol">
      <w:rPr>
        <w:b/>
        <w:color w:val="3e6da5" w:themeColor="accent1" w:themeTint="80" w:themeShade="95"/>
      </w:rPr>
      <w:pPr>
        <w:pBdr/>
        <w:spacing/>
        <w:ind/>
      </w:pPr>
      <w:tblPr>
        <w:tblBorders/>
      </w:tblPr>
      <w:tcPr>
        <w:tcBorders/>
      </w:tcPr>
    </w:tblStylePr>
    <w:tblStylePr w:type="lastRow">
      <w:rPr>
        <w:b/>
        <w:color w:val="3e6da5"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6">
    <w:name w:val="Grid Table 6 Colorful - Accent 2"/>
    <w:basedOn w:val="13513"/>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12"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7">
    <w:name w:val="Grid Table 6 Colorful - Accent 3"/>
    <w:basedOn w:val="13513"/>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d732f" w:themeColor="accent3" w:themeTint="FE" w:themeShade="95"/>
      </w:rPr>
      <w:pPr>
        <w:pBdr/>
        <w:spacing/>
        <w:ind/>
      </w:pPr>
      <w:tblPr>
        <w:tblBorders/>
      </w:tblPr>
      <w:tcPr>
        <w:tcBorders/>
      </w:tcPr>
    </w:tblStylePr>
    <w:tblStylePr w:type="firstRow">
      <w:rPr>
        <w:b/>
        <w:color w:val="5d732f" w:themeColor="accent3" w:themeTint="FE" w:themeShade="95"/>
      </w:rPr>
      <w:pPr>
        <w:pBdr/>
        <w:spacing/>
        <w:ind/>
      </w:pPr>
      <w:tblPr>
        <w:tblBorders/>
      </w:tblPr>
      <w:tcPr>
        <w:tcBorders>
          <w:bottom w:val="single" w:color="000000" w:themeColor="accent3" w:themeTint="FE" w:sz="12" w:space="0"/>
        </w:tcBorders>
      </w:tcPr>
    </w:tblStylePr>
    <w:tblStylePr w:type="lastCol">
      <w:rPr>
        <w:b/>
        <w:color w:val="5d732f" w:themeColor="accent3" w:themeTint="FE" w:themeShade="95"/>
      </w:rPr>
      <w:pPr>
        <w:pBdr/>
        <w:spacing/>
        <w:ind/>
      </w:pPr>
      <w:tblPr>
        <w:tblBorders/>
      </w:tblPr>
      <w:tcPr>
        <w:tcBorders/>
      </w:tcPr>
    </w:tblStylePr>
    <w:tblStylePr w:type="lastRow">
      <w:rPr>
        <w:b/>
        <w:color w:val="5d732f"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8">
    <w:name w:val="Grid Table 6 Colorful - Accent 4"/>
    <w:basedOn w:val="13513"/>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12"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9">
    <w:name w:val="Grid Table 6 Colorful - Accent 5"/>
    <w:basedOn w:val="13513"/>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5"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6 Colorful - Accent 6"/>
    <w:basedOn w:val="13513"/>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6"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1">
    <w:name w:val="Grid Table 7 Colorful"/>
    <w:basedOn w:val="13513"/>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1"/>
    <w:basedOn w:val="13513"/>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e6da5"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3e6da5"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e6da5"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e6da5"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2"/>
    <w:basedOn w:val="13513"/>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9f3b38"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3"/>
    <w:basedOn w:val="13513"/>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5d732f"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5d732f"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d732f"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5d732f"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4"/>
    <w:basedOn w:val="13513"/>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674f84"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5"/>
    <w:basedOn w:val="13513"/>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66879"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266879"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66879"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66879"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66879"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66879"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Grid Table 7 Colorful - Accent 6"/>
    <w:basedOn w:val="13513"/>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b25408" w:themeColor="accent6"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b25408"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b25408"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b25408"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b25408"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b25408"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1"/>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2"/>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3"/>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4"/>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5"/>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1 Light - Accent 6"/>
    <w:basedOn w:val="1351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w:basedOn w:val="13513"/>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1"/>
    <w:basedOn w:val="13513"/>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2"/>
    <w:basedOn w:val="13513"/>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3"/>
    <w:basedOn w:val="13513"/>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4"/>
    <w:basedOn w:val="13513"/>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5"/>
    <w:basedOn w:val="13513"/>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2 - Accent 6"/>
    <w:basedOn w:val="13513"/>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w:basedOn w:val="13513"/>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1"/>
    <w:basedOn w:val="13513"/>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2"/>
    <w:basedOn w:val="13513"/>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3"/>
    <w:basedOn w:val="13513"/>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3d69c"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4"/>
    <w:basedOn w:val="13513"/>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5"/>
    <w:basedOn w:val="13513"/>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2cddd"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3 - Accent 6"/>
    <w:basedOn w:val="13513"/>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fac091"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w:basedOn w:val="13513"/>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1"/>
    <w:basedOn w:val="13513"/>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2"/>
    <w:basedOn w:val="13513"/>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3"/>
    <w:basedOn w:val="13513"/>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4"/>
    <w:basedOn w:val="13513"/>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5"/>
    <w:basedOn w:val="13513"/>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4 - Accent 6"/>
    <w:basedOn w:val="13513"/>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6">
    <w:name w:val="List Table 5 Dark"/>
    <w:basedOn w:val="13513"/>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1"/>
    <w:basedOn w:val="13513"/>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cPr>
      <w:tcBorders/>
    </w:tcPr>
    <w:tblStylePr w:type="band1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f81bd"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f81bd"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2"/>
    <w:basedOn w:val="13513"/>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a9796" w:themeFill="accent2" w:themeFillTint="97"/>
    </w:tblPr>
    <w:tcPr>
      <w:tcBorders/>
    </w:tcPr>
    <w:tblStylePr w:type="band1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da9796"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da9796"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3"/>
    <w:basedOn w:val="13513"/>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c" w:themeFill="accent3" w:themeFillTint="98"/>
    </w:tblPr>
    <w:tcPr>
      <w:tcBorders/>
    </w:tcPr>
    <w:tblStylePr w:type="band1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3d69c"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3d69c"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4"/>
    <w:basedOn w:val="13513"/>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7" w:themeFill="accent4" w:themeFillTint="9A"/>
    </w:tblPr>
    <w:tcPr>
      <w:tcBorders/>
    </w:tcPr>
    <w:tblStylePr w:type="band1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b2a1c7"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b2a1c7"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5"/>
    <w:basedOn w:val="13513"/>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2cddd" w:themeFill="accent5" w:themeFillTint="9A"/>
    </w:tblPr>
    <w:tcPr>
      <w:tcBorders/>
    </w:tcPr>
    <w:tblStylePr w:type="band1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2cddd"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2cddd"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5 Dark - Accent 6"/>
    <w:basedOn w:val="13513"/>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ac091" w:themeFill="accent6" w:themeFillTint="98"/>
    </w:tblPr>
    <w:tcPr>
      <w:tcBorders/>
    </w:tcPr>
    <w:tblStylePr w:type="band1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fac091"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fac091"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3">
    <w:name w:val="List Table 6 Colorful"/>
    <w:basedOn w:val="13513"/>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1"/>
    <w:basedOn w:val="13513"/>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b4b72" w:themeColor="accent1" w:themeShade="95"/>
      </w:rPr>
      <w:pPr>
        <w:pBdr/>
        <w:spacing/>
        <w:ind/>
      </w:pPr>
      <w:tblPr>
        <w:tblBorders/>
      </w:tblPr>
      <w:tcPr>
        <w:tcBorders/>
      </w:tcPr>
    </w:tblStylePr>
    <w:tblStylePr w:type="firstRow">
      <w:rPr>
        <w:b/>
        <w:color w:val="2b4b72" w:themeColor="accent1" w:themeShade="95"/>
      </w:rPr>
      <w:pPr>
        <w:pBdr/>
        <w:spacing/>
        <w:ind/>
      </w:pPr>
      <w:tblPr>
        <w:tblBorders/>
      </w:tblPr>
      <w:tcPr>
        <w:tcBorders>
          <w:bottom w:val="single" w:color="000000" w:themeColor="accent1" w:sz="4" w:space="0"/>
        </w:tcBorders>
      </w:tcPr>
    </w:tblStylePr>
    <w:tblStylePr w:type="lastCol">
      <w:rPr>
        <w:b/>
        <w:color w:val="2b4b72" w:themeColor="accent1" w:themeShade="95"/>
      </w:rPr>
      <w:pPr>
        <w:pBdr/>
        <w:spacing/>
        <w:ind/>
      </w:pPr>
      <w:tblPr>
        <w:tblBorders/>
      </w:tblPr>
      <w:tcPr>
        <w:tcBorders/>
      </w:tcPr>
    </w:tblStylePr>
    <w:tblStylePr w:type="lastRow">
      <w:rPr>
        <w:b/>
        <w:color w:val="2b4b72"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2"/>
    <w:basedOn w:val="13513"/>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4"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3"/>
    <w:basedOn w:val="13513"/>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c9a3f" w:themeColor="accent3" w:themeTint="98" w:themeShade="95"/>
      </w:rPr>
      <w:pPr>
        <w:pBdr/>
        <w:spacing/>
        <w:ind/>
      </w:pPr>
      <w:tblPr>
        <w:tblBorders/>
      </w:tblPr>
      <w:tcPr>
        <w:tcBorders/>
      </w:tcPr>
    </w:tblStylePr>
    <w:tblStylePr w:type="firstRow">
      <w:rPr>
        <w:b/>
        <w:color w:val="7c9a3f" w:themeColor="accent3" w:themeTint="98" w:themeShade="95"/>
      </w:rPr>
      <w:pPr>
        <w:pBdr/>
        <w:spacing/>
        <w:ind/>
      </w:pPr>
      <w:tblPr>
        <w:tblBorders/>
      </w:tblPr>
      <w:tcPr>
        <w:tcBorders>
          <w:bottom w:val="single" w:color="000000" w:themeColor="accent3" w:themeTint="98" w:sz="4" w:space="0"/>
        </w:tcBorders>
      </w:tcPr>
    </w:tblStylePr>
    <w:tblStylePr w:type="lastCol">
      <w:rPr>
        <w:b/>
        <w:color w:val="7c9a3f" w:themeColor="accent3" w:themeTint="98" w:themeShade="95"/>
      </w:rPr>
      <w:pPr>
        <w:pBdr/>
        <w:spacing/>
        <w:ind/>
      </w:pPr>
      <w:tblPr>
        <w:tblBorders/>
      </w:tblPr>
      <w:tcPr>
        <w:tcBorders/>
      </w:tcPr>
    </w:tblStylePr>
    <w:tblStylePr w:type="lastRow">
      <w:rPr>
        <w:b/>
        <w:color w:val="7c9a3f"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4"/>
    <w:basedOn w:val="13513"/>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4"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5"/>
    <w:basedOn w:val="13513"/>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48ba3" w:themeColor="accent5" w:themeTint="9A" w:themeShade="95"/>
      </w:rPr>
      <w:pPr>
        <w:pBdr/>
        <w:spacing/>
        <w:ind/>
      </w:pPr>
      <w:tblPr>
        <w:tblBorders/>
      </w:tblPr>
      <w:tcPr>
        <w:tcBorders/>
      </w:tcPr>
    </w:tblStylePr>
    <w:tblStylePr w:type="firstRow">
      <w:rPr>
        <w:b/>
        <w:color w:val="348ba3" w:themeColor="accent5" w:themeTint="9A" w:themeShade="95"/>
      </w:rPr>
      <w:pPr>
        <w:pBdr/>
        <w:spacing/>
        <w:ind/>
      </w:pPr>
      <w:tblPr>
        <w:tblBorders/>
      </w:tblPr>
      <w:tcPr>
        <w:tcBorders>
          <w:bottom w:val="single" w:color="000000" w:themeColor="accent5" w:themeTint="9A" w:sz="4" w:space="0"/>
        </w:tcBorders>
      </w:tcPr>
    </w:tblStylePr>
    <w:tblStylePr w:type="lastCol">
      <w:rPr>
        <w:b/>
        <w:color w:val="348ba3" w:themeColor="accent5" w:themeTint="9A" w:themeShade="95"/>
      </w:rPr>
      <w:pPr>
        <w:pBdr/>
        <w:spacing/>
        <w:ind/>
      </w:pPr>
      <w:tblPr>
        <w:tblBorders/>
      </w:tblPr>
      <w:tcPr>
        <w:tcBorders/>
      </w:tcPr>
    </w:tblStylePr>
    <w:tblStylePr w:type="lastRow">
      <w:rPr>
        <w:b/>
        <w:color w:val="348ba3"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6 Colorful - Accent 6"/>
    <w:basedOn w:val="13513"/>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d690a" w:themeColor="accent6" w:themeTint="98" w:themeShade="95"/>
      </w:rPr>
      <w:pPr>
        <w:pBdr/>
        <w:spacing/>
        <w:ind/>
      </w:pPr>
      <w:tblPr>
        <w:tblBorders/>
      </w:tblPr>
      <w:tcPr>
        <w:tcBorders/>
      </w:tcPr>
    </w:tblStylePr>
    <w:tblStylePr w:type="firstRow">
      <w:rPr>
        <w:b/>
        <w:color w:val="dd690a" w:themeColor="accent6" w:themeTint="98" w:themeShade="95"/>
      </w:rPr>
      <w:pPr>
        <w:pBdr/>
        <w:spacing/>
        <w:ind/>
      </w:pPr>
      <w:tblPr>
        <w:tblBorders/>
      </w:tblPr>
      <w:tcPr>
        <w:tcBorders>
          <w:bottom w:val="single" w:color="000000" w:themeColor="accent6" w:themeTint="98" w:sz="4" w:space="0"/>
        </w:tcBorders>
      </w:tcPr>
    </w:tblStylePr>
    <w:tblStylePr w:type="lastCol">
      <w:rPr>
        <w:b/>
        <w:color w:val="dd690a" w:themeColor="accent6" w:themeTint="98" w:themeShade="95"/>
      </w:rPr>
      <w:pPr>
        <w:pBdr/>
        <w:spacing/>
        <w:ind/>
      </w:pPr>
      <w:tblPr>
        <w:tblBorders/>
      </w:tblPr>
      <w:tcPr>
        <w:tcBorders/>
      </w:tcPr>
    </w:tblStylePr>
    <w:tblStylePr w:type="lastRow">
      <w:rPr>
        <w:b/>
        <w:color w:val="dd690a"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0">
    <w:name w:val="List Table 7 Colorful"/>
    <w:basedOn w:val="13513"/>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1">
    <w:name w:val="List Table 7 Colorful - Accent 1"/>
    <w:basedOn w:val="13513"/>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b4b72"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2b4b72"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b4b72"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b4b72"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b4b72"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b4b72"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b4b72" w:themeColor="accent1" w:themeShade="95"/>
        <w:sz w:val="22"/>
      </w:rPr>
      <w:pPr>
        <w:pBdr/>
        <w:spacing/>
        <w:ind/>
      </w:pPr>
      <w:tblPr>
        <w:tblBorders/>
      </w:tblPr>
      <w:tcPr>
        <w:tcBorders/>
      </w:tcPr>
    </w:tblStylePr>
  </w:style>
  <w:style w:type="table" w:styleId="112">
    <w:name w:val="List Table 7 Colorful - Accent 2"/>
    <w:basedOn w:val="13513"/>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9f3b38"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9f3b38" w:themeColor="accent2" w:themeTint="97" w:themeShade="95"/>
        <w:sz w:val="22"/>
      </w:rPr>
      <w:pPr>
        <w:pBdr/>
        <w:spacing/>
        <w:ind/>
      </w:pPr>
      <w:tblPr>
        <w:tblBorders/>
      </w:tblPr>
      <w:tcPr>
        <w:tcBorders/>
      </w:tcPr>
    </w:tblStylePr>
  </w:style>
  <w:style w:type="table" w:styleId="113">
    <w:name w:val="List Table 7 Colorful - Accent 3"/>
    <w:basedOn w:val="13513"/>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c9a3f"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7c9a3f"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c9a3f"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c9a3f"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c9a3f" w:themeColor="accent3" w:themeTint="98" w:themeShade="95"/>
        <w:sz w:val="22"/>
      </w:rPr>
      <w:pPr>
        <w:pBdr/>
        <w:spacing/>
        <w:ind/>
      </w:pPr>
      <w:tblPr>
        <w:tblBorders/>
      </w:tblPr>
      <w:tcPr>
        <w:tcBorders/>
      </w:tcPr>
    </w:tblStylePr>
  </w:style>
  <w:style w:type="table" w:styleId="114">
    <w:name w:val="List Table 7 Colorful - Accent 4"/>
    <w:basedOn w:val="13513"/>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674f84"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674f84" w:themeColor="accent4" w:themeTint="9A" w:themeShade="95"/>
        <w:sz w:val="22"/>
      </w:rPr>
      <w:pPr>
        <w:pBdr/>
        <w:spacing/>
        <w:ind/>
      </w:pPr>
      <w:tblPr>
        <w:tblBorders/>
      </w:tblPr>
      <w:tcPr>
        <w:tcBorders/>
      </w:tcPr>
    </w:tblStylePr>
  </w:style>
  <w:style w:type="table" w:styleId="115">
    <w:name w:val="List Table 7 Colorful - Accent 5"/>
    <w:basedOn w:val="13513"/>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48ba3"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348ba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48ba3"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48ba3"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48ba3" w:themeColor="accent5" w:themeTint="9A" w:themeShade="95"/>
        <w:sz w:val="22"/>
      </w:rPr>
      <w:pPr>
        <w:pBdr/>
        <w:spacing/>
        <w:ind/>
      </w:pPr>
      <w:tblPr>
        <w:tblBorders/>
      </w:tblPr>
      <w:tcPr>
        <w:tcBorders/>
      </w:tcPr>
    </w:tblStylePr>
  </w:style>
  <w:style w:type="table" w:styleId="116">
    <w:name w:val="List Table 7 Colorful - Accent 6"/>
    <w:basedOn w:val="13513"/>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dd690a"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dd690a"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d690a"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dd690a"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d690a" w:themeColor="accent6" w:themeTint="98" w:themeShade="95"/>
        <w:sz w:val="22"/>
      </w:rPr>
      <w:pPr>
        <w:pBdr/>
        <w:spacing/>
        <w:ind/>
      </w:pPr>
      <w:tblPr>
        <w:tblBorders/>
      </w:tblPr>
      <w:tcPr>
        <w:tcBorders/>
      </w:tcPr>
    </w:tblStylePr>
  </w:style>
  <w:style w:type="table" w:styleId="117">
    <w:name w:val="Lined - Accent"/>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1"/>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2"/>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3"/>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4"/>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5"/>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Lined - Accent 6"/>
    <w:basedOn w:val="1351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w:basedOn w:val="13513"/>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1"/>
    <w:basedOn w:val="13513"/>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2"/>
    <w:basedOn w:val="13513"/>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3"/>
    <w:basedOn w:val="13513"/>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4"/>
    <w:basedOn w:val="13513"/>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5"/>
    <w:basedOn w:val="13513"/>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amp; Lined - Accent 6"/>
    <w:basedOn w:val="13513"/>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w:basedOn w:val="13513"/>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1"/>
    <w:basedOn w:val="13513"/>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2"/>
    <w:basedOn w:val="13513"/>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3"/>
    <w:basedOn w:val="13513"/>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4"/>
    <w:basedOn w:val="13513"/>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5"/>
    <w:basedOn w:val="13513"/>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
    <w:name w:val="Bordered - Accent 6"/>
    <w:basedOn w:val="13513"/>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149" w:default="1">
    <w:name w:val="No List"/>
    <w:uiPriority w:val="99"/>
    <w:semiHidden/>
    <w:unhideWhenUsed/>
    <w:pPr>
      <w:pBdr/>
      <w:spacing/>
      <w:ind/>
    </w:pPr>
  </w:style>
  <w:style w:type="character" w:styleId="150">
    <w:name w:val="Heading 1 Char"/>
    <w:basedOn w:val="10543"/>
    <w:link w:val="10534"/>
    <w:uiPriority w:val="9"/>
    <w:pPr>
      <w:pBdr/>
      <w:spacing/>
      <w:ind/>
    </w:pPr>
    <w:rPr>
      <w:rFonts w:ascii="Arial" w:hAnsi="Arial" w:eastAsia="Arial" w:cs="Arial"/>
      <w:color w:val="0f4761" w:themeColor="accent1" w:themeShade="BF"/>
      <w:sz w:val="40"/>
      <w:szCs w:val="40"/>
    </w:rPr>
  </w:style>
  <w:style w:type="character" w:styleId="151">
    <w:name w:val="Heading 2 Char"/>
    <w:basedOn w:val="10543"/>
    <w:link w:val="10535"/>
    <w:uiPriority w:val="9"/>
    <w:pPr>
      <w:pBdr/>
      <w:spacing/>
      <w:ind/>
    </w:pPr>
    <w:rPr>
      <w:rFonts w:ascii="Arial" w:hAnsi="Arial" w:eastAsia="Arial" w:cs="Arial"/>
      <w:color w:val="0f4761" w:themeColor="accent1" w:themeShade="BF"/>
      <w:sz w:val="32"/>
      <w:szCs w:val="32"/>
    </w:rPr>
  </w:style>
  <w:style w:type="character" w:styleId="152">
    <w:name w:val="Heading 3 Char"/>
    <w:basedOn w:val="10543"/>
    <w:link w:val="10536"/>
    <w:uiPriority w:val="9"/>
    <w:pPr>
      <w:pBdr/>
      <w:spacing/>
      <w:ind/>
    </w:pPr>
    <w:rPr>
      <w:rFonts w:ascii="Arial" w:hAnsi="Arial" w:eastAsia="Arial" w:cs="Arial"/>
      <w:color w:val="0f4761" w:themeColor="accent1" w:themeShade="BF"/>
      <w:sz w:val="28"/>
      <w:szCs w:val="28"/>
    </w:rPr>
  </w:style>
  <w:style w:type="character" w:styleId="153">
    <w:name w:val="Heading 4 Char"/>
    <w:basedOn w:val="10543"/>
    <w:link w:val="10537"/>
    <w:uiPriority w:val="9"/>
    <w:pPr>
      <w:pBdr/>
      <w:spacing/>
      <w:ind/>
    </w:pPr>
    <w:rPr>
      <w:rFonts w:ascii="Arial" w:hAnsi="Arial" w:eastAsia="Arial" w:cs="Arial"/>
      <w:i/>
      <w:iCs/>
      <w:color w:val="0f4761" w:themeColor="accent1" w:themeShade="BF"/>
    </w:rPr>
  </w:style>
  <w:style w:type="character" w:styleId="154">
    <w:name w:val="Heading 5 Char"/>
    <w:basedOn w:val="10543"/>
    <w:link w:val="10538"/>
    <w:uiPriority w:val="9"/>
    <w:pPr>
      <w:pBdr/>
      <w:spacing/>
      <w:ind/>
    </w:pPr>
    <w:rPr>
      <w:rFonts w:ascii="Arial" w:hAnsi="Arial" w:eastAsia="Arial" w:cs="Arial"/>
      <w:color w:val="0f4761" w:themeColor="accent1" w:themeShade="BF"/>
    </w:rPr>
  </w:style>
  <w:style w:type="character" w:styleId="155">
    <w:name w:val="Heading 6 Char"/>
    <w:basedOn w:val="10543"/>
    <w:link w:val="10539"/>
    <w:uiPriority w:val="9"/>
    <w:pPr>
      <w:pBdr/>
      <w:spacing/>
      <w:ind/>
    </w:pPr>
    <w:rPr>
      <w:rFonts w:ascii="Arial" w:hAnsi="Arial" w:eastAsia="Arial" w:cs="Arial"/>
      <w:i/>
      <w:iCs/>
      <w:color w:val="595959" w:themeColor="text1" w:themeTint="A6"/>
    </w:rPr>
  </w:style>
  <w:style w:type="character" w:styleId="156">
    <w:name w:val="Heading 7 Char"/>
    <w:basedOn w:val="10543"/>
    <w:link w:val="10540"/>
    <w:uiPriority w:val="9"/>
    <w:pPr>
      <w:pBdr/>
      <w:spacing/>
      <w:ind/>
    </w:pPr>
    <w:rPr>
      <w:rFonts w:ascii="Arial" w:hAnsi="Arial" w:eastAsia="Arial" w:cs="Arial"/>
      <w:color w:val="595959" w:themeColor="text1" w:themeTint="A6"/>
    </w:rPr>
  </w:style>
  <w:style w:type="character" w:styleId="157">
    <w:name w:val="Heading 8 Char"/>
    <w:basedOn w:val="10543"/>
    <w:link w:val="10541"/>
    <w:uiPriority w:val="9"/>
    <w:pPr>
      <w:pBdr/>
      <w:spacing/>
      <w:ind/>
    </w:pPr>
    <w:rPr>
      <w:rFonts w:ascii="Arial" w:hAnsi="Arial" w:eastAsia="Arial" w:cs="Arial"/>
      <w:i/>
      <w:iCs/>
      <w:color w:val="272727" w:themeColor="text1" w:themeTint="D8"/>
    </w:rPr>
  </w:style>
  <w:style w:type="character" w:styleId="158">
    <w:name w:val="Heading 9 Char"/>
    <w:basedOn w:val="10543"/>
    <w:link w:val="10542"/>
    <w:uiPriority w:val="9"/>
    <w:pPr>
      <w:pBdr/>
      <w:spacing/>
      <w:ind/>
    </w:pPr>
    <w:rPr>
      <w:rFonts w:ascii="Arial" w:hAnsi="Arial" w:eastAsia="Arial" w:cs="Arial"/>
      <w:i/>
      <w:iCs/>
      <w:color w:val="272727" w:themeColor="text1" w:themeTint="D8"/>
    </w:rPr>
  </w:style>
  <w:style w:type="character" w:styleId="160">
    <w:name w:val="Title Char"/>
    <w:basedOn w:val="10543"/>
    <w:link w:val="11062"/>
    <w:uiPriority w:val="10"/>
    <w:pPr>
      <w:pBdr/>
      <w:spacing/>
      <w:ind/>
    </w:pPr>
    <w:rPr>
      <w:rFonts w:ascii="Arial" w:hAnsi="Arial" w:eastAsia="Arial" w:cs="Arial"/>
      <w:spacing w:val="-10"/>
      <w:sz w:val="56"/>
      <w:szCs w:val="56"/>
    </w:rPr>
  </w:style>
  <w:style w:type="character" w:styleId="162">
    <w:name w:val="Subtitle Char"/>
    <w:basedOn w:val="10543"/>
    <w:link w:val="11233"/>
    <w:uiPriority w:val="11"/>
    <w:pPr>
      <w:pBdr/>
      <w:spacing/>
      <w:ind/>
    </w:pPr>
    <w:rPr>
      <w:color w:val="595959" w:themeColor="text1" w:themeTint="A6"/>
      <w:spacing w:val="15"/>
      <w:sz w:val="28"/>
      <w:szCs w:val="28"/>
    </w:rPr>
  </w:style>
  <w:style w:type="character" w:styleId="164">
    <w:name w:val="Quote Char"/>
    <w:basedOn w:val="10543"/>
    <w:link w:val="11459"/>
    <w:uiPriority w:val="29"/>
    <w:pPr>
      <w:pBdr/>
      <w:spacing/>
      <w:ind/>
    </w:pPr>
    <w:rPr>
      <w:i/>
      <w:iCs/>
      <w:color w:val="404040" w:themeColor="text1" w:themeTint="BF"/>
    </w:rPr>
  </w:style>
  <w:style w:type="character" w:styleId="168">
    <w:name w:val="Intense Quote Char"/>
    <w:basedOn w:val="10543"/>
    <w:link w:val="11460"/>
    <w:uiPriority w:val="30"/>
    <w:pPr>
      <w:pBdr/>
      <w:spacing/>
      <w:ind/>
    </w:pPr>
    <w:rPr>
      <w:i/>
      <w:iCs/>
      <w:color w:val="0f4761" w:themeColor="accent1" w:themeShade="BF"/>
    </w:rPr>
  </w:style>
  <w:style w:type="character" w:styleId="177">
    <w:name w:val="Header Char"/>
    <w:basedOn w:val="10543"/>
    <w:link w:val="11068"/>
    <w:uiPriority w:val="99"/>
    <w:pPr>
      <w:pBdr/>
      <w:spacing/>
      <w:ind/>
    </w:pPr>
  </w:style>
  <w:style w:type="character" w:styleId="179">
    <w:name w:val="Footer Char"/>
    <w:basedOn w:val="10543"/>
    <w:link w:val="11066"/>
    <w:uiPriority w:val="99"/>
    <w:pPr>
      <w:pBdr/>
      <w:spacing/>
      <w:ind/>
    </w:pPr>
  </w:style>
  <w:style w:type="character" w:styleId="182">
    <w:name w:val="Footnote Text Char"/>
    <w:basedOn w:val="10543"/>
    <w:link w:val="11067"/>
    <w:uiPriority w:val="99"/>
    <w:semiHidden/>
    <w:pPr>
      <w:pBdr/>
      <w:spacing/>
      <w:ind/>
    </w:pPr>
    <w:rPr>
      <w:sz w:val="20"/>
      <w:szCs w:val="20"/>
    </w:rPr>
  </w:style>
  <w:style w:type="character" w:styleId="185">
    <w:name w:val="Endnote Text Char"/>
    <w:basedOn w:val="10543"/>
    <w:link w:val="11064"/>
    <w:uiPriority w:val="99"/>
    <w:semiHidden/>
    <w:pPr>
      <w:pBdr/>
      <w:spacing/>
      <w:ind/>
    </w:pPr>
    <w:rPr>
      <w:sz w:val="20"/>
      <w:szCs w:val="20"/>
    </w:rPr>
  </w:style>
  <w:style w:type="paragraph" w:styleId="10533" w:default="1">
    <w:name w:val="Normal"/>
    <w:qFormat/>
    <w:pPr>
      <w:widowControl w:val="true"/>
      <w:pBdr/>
      <w:bidi w:val="false"/>
      <w:spacing w:after="0" w:before="0" w:line="240" w:lineRule="auto"/>
      <w:ind/>
      <w:jc w:val="left"/>
    </w:pPr>
    <w:rPr>
      <w:rFonts w:ascii="Times New Roman" w:hAnsi="Times New Roman" w:eastAsia="Times New Roman" w:cs="Times New Roman"/>
      <w:color w:val="auto"/>
      <w:sz w:val="24"/>
      <w:szCs w:val="24"/>
      <w:lang w:val="ru-RU" w:eastAsia="zh-CN" w:bidi="ar-SA"/>
    </w:rPr>
  </w:style>
  <w:style w:type="paragraph" w:styleId="10534">
    <w:name w:val="Heading 1"/>
    <w:basedOn w:val="10533"/>
    <w:next w:val="10533"/>
    <w:link w:val="10544"/>
    <w:uiPriority w:val="99"/>
    <w:qFormat/>
    <w:pPr>
      <w:pageBreakBefore w:val="true"/>
      <w:widowControl w:val="true"/>
      <w:numPr>
        <w:ilvl w:val="0"/>
        <w:numId w:val="0"/>
      </w:numPr>
      <w:pBdr/>
      <w:tabs>
        <w:tab w:val="clear" w:leader="none" w:pos="708"/>
        <w:tab w:val="left" w:leader="none" w:pos="736"/>
      </w:tabs>
      <w:bidi w:val="false"/>
      <w:spacing w:after="240" w:before="120" w:line="276" w:lineRule="auto"/>
      <w:ind w:right="0" w:hanging="680" w:left="680"/>
      <w:contextualSpacing w:val="true"/>
      <w:jc w:val="center"/>
      <w:outlineLvl w:val="0"/>
    </w:pPr>
    <w:rPr>
      <w:b/>
      <w:smallCaps/>
      <w:spacing w:val="5"/>
      <w:sz w:val="28"/>
      <w:szCs w:val="36"/>
      <w:lang w:eastAsia="en-US" w:bidi="en-US"/>
    </w:rPr>
  </w:style>
  <w:style w:type="paragraph" w:styleId="10535">
    <w:name w:val="Heading 2"/>
    <w:basedOn w:val="10533"/>
    <w:next w:val="10533"/>
    <w:link w:val="10545"/>
    <w:uiPriority w:val="9"/>
    <w:unhideWhenUsed/>
    <w:qFormat/>
    <w:pPr>
      <w:keepNext w:val="true"/>
      <w:numPr>
        <w:ilvl w:val="1"/>
        <w:numId w:val="13"/>
      </w:numPr>
      <w:pBdr/>
      <w:spacing w:after="240" w:before="360" w:line="360" w:lineRule="auto"/>
      <w:ind/>
      <w:jc w:val="center"/>
      <w:outlineLvl w:val="1"/>
    </w:pPr>
    <w:rPr>
      <w:rFonts w:cs="Arial"/>
      <w:b/>
      <w:sz w:val="28"/>
      <w:szCs w:val="28"/>
      <w:lang w:eastAsia="en-US" w:bidi="en-US"/>
    </w:rPr>
  </w:style>
  <w:style w:type="paragraph" w:styleId="10536">
    <w:name w:val="Heading 3"/>
    <w:basedOn w:val="10533"/>
    <w:next w:val="10533"/>
    <w:link w:val="10546"/>
    <w:uiPriority w:val="9"/>
    <w:unhideWhenUsed/>
    <w:qFormat/>
    <w:pPr>
      <w:keepNext w:val="true"/>
      <w:numPr>
        <w:ilvl w:val="2"/>
        <w:numId w:val="13"/>
      </w:numPr>
      <w:pBdr/>
      <w:spacing w:after="120" w:before="240" w:line="271" w:lineRule="auto"/>
      <w:ind/>
      <w:outlineLvl w:val="2"/>
    </w:pPr>
    <w:rPr>
      <w:rFonts w:cs="Arial"/>
      <w:b/>
      <w:iCs/>
      <w:sz w:val="26"/>
      <w:szCs w:val="26"/>
      <w:lang w:eastAsia="en-US" w:bidi="en-US"/>
    </w:rPr>
  </w:style>
  <w:style w:type="paragraph" w:styleId="10537">
    <w:name w:val="Heading 4"/>
    <w:basedOn w:val="10533"/>
    <w:next w:val="10533"/>
    <w:link w:val="10547"/>
    <w:uiPriority w:val="9"/>
    <w:unhideWhenUsed/>
    <w:qFormat/>
    <w:pPr>
      <w:pBdr/>
      <w:spacing w:line="271" w:lineRule="auto"/>
      <w:ind w:firstLine="680"/>
      <w:jc w:val="both"/>
      <w:outlineLvl w:val="3"/>
    </w:pPr>
    <w:rPr>
      <w:rFonts w:ascii="Cambria" w:hAnsi="Cambria"/>
      <w:b/>
      <w:bCs/>
      <w:spacing w:val="5"/>
      <w:lang w:val="en-US" w:eastAsia="en-US" w:bidi="en-US"/>
    </w:rPr>
  </w:style>
  <w:style w:type="paragraph" w:styleId="10538">
    <w:name w:val="Heading 5"/>
    <w:basedOn w:val="10533"/>
    <w:next w:val="10533"/>
    <w:link w:val="10548"/>
    <w:uiPriority w:val="9"/>
    <w:unhideWhenUsed/>
    <w:qFormat/>
    <w:pPr>
      <w:pBdr/>
      <w:spacing w:line="271" w:lineRule="auto"/>
      <w:ind w:firstLine="680"/>
      <w:jc w:val="both"/>
      <w:outlineLvl w:val="4"/>
    </w:pPr>
    <w:rPr>
      <w:rFonts w:ascii="Cambria" w:hAnsi="Cambria"/>
      <w:i/>
      <w:iCs/>
      <w:lang w:val="en-US" w:eastAsia="en-US" w:bidi="en-US"/>
    </w:rPr>
  </w:style>
  <w:style w:type="paragraph" w:styleId="10539">
    <w:name w:val="Heading 6"/>
    <w:basedOn w:val="10533"/>
    <w:next w:val="10533"/>
    <w:link w:val="10549"/>
    <w:uiPriority w:val="9"/>
    <w:unhideWhenUsed/>
    <w:qFormat/>
    <w:pPr>
      <w:pBdr/>
      <w:shd w:val="clear" w:color="auto" w:fill="ffffff"/>
      <w:spacing w:line="271" w:lineRule="auto"/>
      <w:ind w:firstLine="680"/>
      <w:jc w:val="both"/>
      <w:outlineLvl w:val="5"/>
    </w:pPr>
    <w:rPr>
      <w:rFonts w:ascii="Cambria" w:hAnsi="Cambria"/>
      <w:b/>
      <w:bCs/>
      <w:color w:val="595959"/>
      <w:spacing w:val="5"/>
      <w:lang w:val="en-US" w:eastAsia="en-US" w:bidi="en-US"/>
    </w:rPr>
  </w:style>
  <w:style w:type="paragraph" w:styleId="10540">
    <w:name w:val="Heading 7"/>
    <w:basedOn w:val="10533"/>
    <w:next w:val="10533"/>
    <w:link w:val="10550"/>
    <w:uiPriority w:val="9"/>
    <w:unhideWhenUsed/>
    <w:qFormat/>
    <w:pPr>
      <w:pBdr/>
      <w:spacing w:line="360" w:lineRule="auto"/>
      <w:ind w:firstLine="680"/>
      <w:jc w:val="both"/>
      <w:outlineLvl w:val="6"/>
    </w:pPr>
    <w:rPr>
      <w:rFonts w:ascii="Cambria" w:hAnsi="Cambria"/>
      <w:b/>
      <w:bCs/>
      <w:i/>
      <w:iCs/>
      <w:color w:val="5a5a5a"/>
      <w:sz w:val="20"/>
      <w:szCs w:val="20"/>
      <w:lang w:val="en-US" w:eastAsia="en-US" w:bidi="en-US"/>
    </w:rPr>
  </w:style>
  <w:style w:type="paragraph" w:styleId="10541">
    <w:name w:val="Heading 8"/>
    <w:basedOn w:val="10533"/>
    <w:next w:val="10533"/>
    <w:link w:val="10551"/>
    <w:uiPriority w:val="9"/>
    <w:unhideWhenUsed/>
    <w:qFormat/>
    <w:pPr>
      <w:pBdr/>
      <w:spacing w:line="360" w:lineRule="auto"/>
      <w:ind w:firstLine="680"/>
      <w:jc w:val="both"/>
      <w:outlineLvl w:val="7"/>
    </w:pPr>
    <w:rPr>
      <w:rFonts w:ascii="Cambria" w:hAnsi="Cambria"/>
      <w:b/>
      <w:bCs/>
      <w:color w:val="7f7f7f"/>
      <w:sz w:val="20"/>
      <w:szCs w:val="20"/>
      <w:lang w:val="en-US" w:eastAsia="en-US" w:bidi="en-US"/>
    </w:rPr>
  </w:style>
  <w:style w:type="paragraph" w:styleId="10542">
    <w:name w:val="Heading 9"/>
    <w:basedOn w:val="10533"/>
    <w:next w:val="10533"/>
    <w:link w:val="10552"/>
    <w:uiPriority w:val="9"/>
    <w:unhideWhenUsed/>
    <w:qFormat/>
    <w:pPr>
      <w:pBdr/>
      <w:spacing w:line="271" w:lineRule="auto"/>
      <w:ind w:firstLine="680"/>
      <w:jc w:val="both"/>
      <w:outlineLvl w:val="8"/>
    </w:pPr>
    <w:rPr>
      <w:rFonts w:ascii="Cambria" w:hAnsi="Cambria"/>
      <w:b/>
      <w:bCs/>
      <w:i/>
      <w:iCs/>
      <w:color w:val="7f7f7f"/>
      <w:sz w:val="18"/>
      <w:szCs w:val="18"/>
      <w:lang w:val="en-US" w:eastAsia="en-US" w:bidi="en-US"/>
    </w:rPr>
  </w:style>
  <w:style w:type="character" w:styleId="10543" w:default="1">
    <w:name w:val="Default Paragraph Font"/>
    <w:uiPriority w:val="1"/>
    <w:semiHidden/>
    <w:unhideWhenUsed/>
    <w:qFormat/>
    <w:pPr>
      <w:pBdr/>
      <w:spacing/>
      <w:ind/>
    </w:pPr>
  </w:style>
  <w:style w:type="character" w:styleId="10544" w:customStyle="1">
    <w:name w:val="Заголовок 1 Знак"/>
    <w:basedOn w:val="10543"/>
    <w:uiPriority w:val="99"/>
    <w:qFormat/>
    <w:pPr>
      <w:pBdr/>
      <w:spacing/>
      <w:ind/>
    </w:pPr>
    <w:rPr>
      <w:rFonts w:ascii="Times New Roman" w:hAnsi="Times New Roman" w:eastAsia="Times New Roman" w:cs="Times New Roman"/>
      <w:b/>
      <w:smallCaps/>
      <w:spacing w:val="5"/>
      <w:sz w:val="28"/>
      <w:szCs w:val="36"/>
      <w:lang w:eastAsia="en-US" w:bidi="en-US"/>
    </w:rPr>
  </w:style>
  <w:style w:type="character" w:styleId="10545" w:customStyle="1">
    <w:name w:val="Заголовок 2 Знак"/>
    <w:basedOn w:val="10543"/>
    <w:uiPriority w:val="9"/>
    <w:qFormat/>
    <w:pPr>
      <w:pBdr/>
      <w:spacing/>
      <w:ind/>
    </w:pPr>
    <w:rPr>
      <w:rFonts w:ascii="Times New Roman" w:hAnsi="Times New Roman" w:eastAsia="Times New Roman" w:cs="Arial"/>
      <w:b/>
      <w:sz w:val="28"/>
      <w:szCs w:val="28"/>
      <w:lang w:eastAsia="en-US" w:bidi="en-US"/>
    </w:rPr>
  </w:style>
  <w:style w:type="character" w:styleId="10546" w:customStyle="1">
    <w:name w:val="Заголовок 3 Знак"/>
    <w:basedOn w:val="10543"/>
    <w:uiPriority w:val="9"/>
    <w:qFormat/>
    <w:pPr>
      <w:pBdr/>
      <w:spacing/>
      <w:ind/>
    </w:pPr>
    <w:rPr>
      <w:rFonts w:ascii="Times New Roman" w:hAnsi="Times New Roman" w:eastAsia="Times New Roman" w:cs="Arial"/>
      <w:b/>
      <w:iCs/>
      <w:sz w:val="26"/>
      <w:szCs w:val="26"/>
      <w:lang w:eastAsia="en-US" w:bidi="en-US"/>
    </w:rPr>
  </w:style>
  <w:style w:type="character" w:styleId="10547" w:customStyle="1">
    <w:name w:val="Заголовок 4 Знак"/>
    <w:basedOn w:val="10543"/>
    <w:uiPriority w:val="9"/>
    <w:qFormat/>
    <w:pPr>
      <w:pBdr/>
      <w:spacing/>
      <w:ind/>
    </w:pPr>
    <w:rPr>
      <w:rFonts w:ascii="Cambria" w:hAnsi="Cambria" w:eastAsia="Times New Roman" w:cs="Times New Roman"/>
      <w:b/>
      <w:bCs/>
      <w:spacing w:val="5"/>
      <w:sz w:val="24"/>
      <w:szCs w:val="24"/>
      <w:lang w:val="en-US" w:eastAsia="en-US" w:bidi="en-US"/>
    </w:rPr>
  </w:style>
  <w:style w:type="character" w:styleId="10548" w:customStyle="1">
    <w:name w:val="Заголовок 5 Знак"/>
    <w:basedOn w:val="10543"/>
    <w:uiPriority w:val="9"/>
    <w:qFormat/>
    <w:pPr>
      <w:pBdr/>
      <w:spacing/>
      <w:ind/>
    </w:pPr>
    <w:rPr>
      <w:rFonts w:ascii="Cambria" w:hAnsi="Cambria" w:eastAsia="Times New Roman" w:cs="Times New Roman"/>
      <w:i/>
      <w:iCs/>
      <w:sz w:val="24"/>
      <w:szCs w:val="24"/>
      <w:lang w:val="en-US" w:eastAsia="en-US" w:bidi="en-US"/>
    </w:rPr>
  </w:style>
  <w:style w:type="character" w:styleId="10549" w:customStyle="1">
    <w:name w:val="Заголовок 6 Знак"/>
    <w:basedOn w:val="10543"/>
    <w:uiPriority w:val="9"/>
    <w:qFormat/>
    <w:pPr>
      <w:pBdr/>
      <w:spacing/>
      <w:ind/>
    </w:pPr>
    <w:rPr>
      <w:rFonts w:ascii="Cambria" w:hAnsi="Cambria" w:eastAsia="Times New Roman" w:cs="Times New Roman"/>
      <w:b/>
      <w:bCs/>
      <w:color w:val="595959"/>
      <w:spacing w:val="5"/>
      <w:shd w:val="clear" w:color="auto" w:fill="ffffff"/>
      <w:lang w:val="en-US" w:eastAsia="en-US" w:bidi="en-US"/>
    </w:rPr>
  </w:style>
  <w:style w:type="character" w:styleId="10550" w:customStyle="1">
    <w:name w:val="Заголовок 7 Знак"/>
    <w:basedOn w:val="10543"/>
    <w:uiPriority w:val="9"/>
    <w:qFormat/>
    <w:pPr>
      <w:pBdr/>
      <w:spacing/>
      <w:ind/>
    </w:pPr>
    <w:rPr>
      <w:rFonts w:ascii="Cambria" w:hAnsi="Cambria" w:eastAsia="Times New Roman" w:cs="Times New Roman"/>
      <w:b/>
      <w:bCs/>
      <w:i/>
      <w:iCs/>
      <w:color w:val="5a5a5a"/>
      <w:sz w:val="20"/>
      <w:szCs w:val="20"/>
      <w:lang w:val="en-US" w:eastAsia="en-US" w:bidi="en-US"/>
    </w:rPr>
  </w:style>
  <w:style w:type="character" w:styleId="10551" w:customStyle="1">
    <w:name w:val="Заголовок 8 Знак"/>
    <w:basedOn w:val="10543"/>
    <w:uiPriority w:val="9"/>
    <w:qFormat/>
    <w:pPr>
      <w:pBdr/>
      <w:spacing/>
      <w:ind/>
    </w:pPr>
    <w:rPr>
      <w:rFonts w:ascii="Cambria" w:hAnsi="Cambria" w:eastAsia="Times New Roman" w:cs="Times New Roman"/>
      <w:b/>
      <w:bCs/>
      <w:color w:val="7f7f7f"/>
      <w:sz w:val="20"/>
      <w:szCs w:val="20"/>
      <w:lang w:val="en-US" w:eastAsia="en-US" w:bidi="en-US"/>
    </w:rPr>
  </w:style>
  <w:style w:type="character" w:styleId="10552" w:customStyle="1">
    <w:name w:val="Заголовок 9 Знак"/>
    <w:basedOn w:val="10543"/>
    <w:uiPriority w:val="9"/>
    <w:qFormat/>
    <w:pPr>
      <w:pBdr/>
      <w:spacing/>
      <w:ind/>
    </w:pPr>
    <w:rPr>
      <w:rFonts w:ascii="Cambria" w:hAnsi="Cambria" w:eastAsia="Times New Roman" w:cs="Times New Roman"/>
      <w:b/>
      <w:bCs/>
      <w:i/>
      <w:iCs/>
      <w:color w:val="7f7f7f"/>
      <w:sz w:val="18"/>
      <w:szCs w:val="18"/>
      <w:lang w:val="en-US" w:eastAsia="en-US" w:bidi="en-US"/>
    </w:rPr>
  </w:style>
  <w:style w:type="character" w:styleId="10553" w:customStyle="1">
    <w:name w:val="Текст выноски Знак"/>
    <w:basedOn w:val="10543"/>
    <w:link w:val="11059"/>
    <w:uiPriority w:val="99"/>
    <w:qFormat/>
    <w:pPr>
      <w:pBdr/>
      <w:spacing/>
      <w:ind/>
    </w:pPr>
    <w:rPr>
      <w:rFonts w:ascii="Tahoma" w:hAnsi="Tahoma" w:eastAsia="Times New Roman" w:cs="Tahoma"/>
      <w:sz w:val="16"/>
      <w:szCs w:val="16"/>
      <w:lang w:val="en-US" w:eastAsia="en-US" w:bidi="en-US"/>
    </w:rPr>
  </w:style>
  <w:style w:type="character" w:styleId="10554" w:customStyle="1">
    <w:name w:val="Список 2 Знак"/>
    <w:link w:val="11061"/>
    <w:qFormat/>
    <w:pPr>
      <w:pBdr/>
      <w:spacing/>
      <w:ind/>
    </w:pPr>
    <w:rPr>
      <w:rFonts w:ascii="Arial" w:hAnsi="Arial" w:eastAsia="Times New Roman" w:cs="Times New Roman"/>
      <w:sz w:val="24"/>
      <w:lang w:val="en-US" w:eastAsia="en-US" w:bidi="en-US"/>
    </w:rPr>
  </w:style>
  <w:style w:type="character" w:styleId="10555" w:customStyle="1">
    <w:name w:val="Заголовок Знак"/>
    <w:basedOn w:val="10543"/>
    <w:uiPriority w:val="10"/>
    <w:qFormat/>
    <w:pPr>
      <w:pBdr/>
      <w:spacing/>
      <w:ind/>
    </w:pPr>
    <w:rPr>
      <w:rFonts w:ascii="Arial" w:hAnsi="Arial" w:eastAsia="Times New Roman" w:cs="Times New Roman"/>
      <w:b/>
      <w:caps/>
      <w:sz w:val="32"/>
      <w:szCs w:val="52"/>
      <w:lang w:val="en-US" w:eastAsia="en-US" w:bidi="en-US"/>
    </w:rPr>
  </w:style>
  <w:style w:type="character" w:styleId="10556">
    <w:name w:val="annotation reference"/>
    <w:uiPriority w:val="99"/>
    <w:qFormat/>
    <w:pPr>
      <w:pBdr/>
      <w:spacing/>
      <w:ind/>
    </w:pPr>
    <w:rPr>
      <w:rFonts w:ascii="Arial" w:hAnsi="Arial"/>
      <w:sz w:val="16"/>
    </w:rPr>
  </w:style>
  <w:style w:type="character" w:styleId="10557" w:customStyle="1">
    <w:name w:val="Текст примечания Знак"/>
    <w:basedOn w:val="10543"/>
    <w:uiPriority w:val="99"/>
    <w:qFormat/>
    <w:pPr>
      <w:pBdr/>
      <w:spacing/>
      <w:ind/>
    </w:pPr>
    <w:rPr>
      <w:rFonts w:ascii="Arial" w:hAnsi="Arial" w:eastAsia="Times New Roman" w:cs="Times New Roman"/>
      <w:sz w:val="24"/>
      <w:lang w:val="en-US" w:eastAsia="en-US" w:bidi="en-US"/>
    </w:rPr>
  </w:style>
  <w:style w:type="character" w:styleId="10558">
    <w:name w:val="Символ концевой сноски"/>
    <w:uiPriority w:val="99"/>
    <w:qFormat/>
    <w:pPr>
      <w:pBdr/>
      <w:spacing/>
      <w:ind/>
    </w:pPr>
    <w:rPr>
      <w:vertAlign w:val="superscript"/>
    </w:rPr>
  </w:style>
  <w:style w:type="character" w:styleId="10559">
    <w:name w:val="endnote reference"/>
    <w:pPr>
      <w:pBdr/>
      <w:spacing/>
      <w:ind/>
    </w:pPr>
    <w:rPr>
      <w:vertAlign w:val="superscript"/>
    </w:rPr>
  </w:style>
  <w:style w:type="character" w:styleId="10560" w:customStyle="1">
    <w:name w:val="Текст концевой сноски Знак"/>
    <w:basedOn w:val="10543"/>
    <w:uiPriority w:val="99"/>
    <w:qFormat/>
    <w:pPr>
      <w:pBdr/>
      <w:spacing/>
      <w:ind/>
    </w:pPr>
    <w:rPr>
      <w:rFonts w:ascii="Arial" w:hAnsi="Arial" w:eastAsia="Times New Roman" w:cs="Times New Roman"/>
      <w:sz w:val="24"/>
      <w:lang w:val="en-US" w:eastAsia="en-US" w:bidi="en-US"/>
    </w:rPr>
  </w:style>
  <w:style w:type="character" w:styleId="10561" w:customStyle="1">
    <w:name w:val="Нижний колонтитул Знак"/>
    <w:basedOn w:val="10543"/>
    <w:uiPriority w:val="99"/>
    <w:qFormat/>
    <w:pPr>
      <w:pBdr/>
      <w:spacing/>
      <w:ind/>
    </w:pPr>
    <w:rPr>
      <w:rFonts w:ascii="Cambria" w:hAnsi="Cambria" w:eastAsia="Times New Roman" w:cs="Times New Roman"/>
      <w:caps/>
      <w:sz w:val="12"/>
      <w:szCs w:val="12"/>
      <w:lang w:val="en-US" w:eastAsia="en-US" w:bidi="en-US"/>
    </w:rPr>
  </w:style>
  <w:style w:type="character" w:styleId="10562">
    <w:name w:val="Символ сноски"/>
    <w:qFormat/>
    <w:pPr>
      <w:pBdr/>
      <w:spacing/>
      <w:ind/>
    </w:pPr>
    <w:rPr>
      <w:vertAlign w:val="superscript"/>
    </w:rPr>
  </w:style>
  <w:style w:type="character" w:styleId="10563">
    <w:name w:val="footnote reference"/>
    <w:pPr>
      <w:pBdr/>
      <w:spacing/>
      <w:ind/>
    </w:pPr>
    <w:rPr>
      <w:vertAlign w:val="superscript"/>
    </w:rPr>
  </w:style>
  <w:style w:type="character" w:styleId="10564" w:customStyle="1">
    <w:name w:val="Текст сноски Знак"/>
    <w:basedOn w:val="10543"/>
    <w:qFormat/>
    <w:pPr>
      <w:pBdr/>
      <w:spacing/>
      <w:ind/>
    </w:pPr>
    <w:rPr>
      <w:rFonts w:ascii="Arial" w:hAnsi="Arial" w:eastAsia="Times New Roman" w:cs="Times New Roman"/>
      <w:sz w:val="24"/>
      <w:lang w:val="en-US" w:eastAsia="en-US" w:bidi="en-US"/>
    </w:rPr>
  </w:style>
  <w:style w:type="character" w:styleId="10565" w:customStyle="1">
    <w:name w:val="Верхний колонтитул Знак"/>
    <w:basedOn w:val="10543"/>
    <w:uiPriority w:val="99"/>
    <w:qFormat/>
    <w:pPr>
      <w:pBdr/>
      <w:spacing/>
      <w:ind/>
    </w:pPr>
    <w:rPr>
      <w:rFonts w:ascii="Times New Roman" w:hAnsi="Times New Roman" w:eastAsia="Times New Roman" w:cs="Times New Roman"/>
      <w:sz w:val="24"/>
      <w:szCs w:val="24"/>
      <w:lang w:val="en-US" w:eastAsia="zh-CN" w:bidi="en-US"/>
    </w:rPr>
  </w:style>
  <w:style w:type="character" w:styleId="10566">
    <w:name w:val="line number"/>
    <w:uiPriority w:val="99"/>
    <w:pPr>
      <w:pBdr/>
      <w:spacing/>
      <w:ind/>
    </w:pPr>
    <w:rPr>
      <w:sz w:val="18"/>
    </w:rPr>
  </w:style>
  <w:style w:type="character" w:styleId="10567" w:customStyle="1">
    <w:name w:val="Список Знак"/>
    <w:qFormat/>
    <w:pPr>
      <w:pBdr/>
      <w:spacing/>
      <w:ind/>
    </w:pPr>
    <w:rPr>
      <w:rFonts w:ascii="Arial" w:hAnsi="Arial" w:eastAsia="Times New Roman" w:cs="Times New Roman"/>
      <w:sz w:val="20"/>
      <w:lang w:val="en-US" w:eastAsia="en-US" w:bidi="en-US"/>
    </w:rPr>
  </w:style>
  <w:style w:type="character" w:styleId="10568">
    <w:name w:val="page number"/>
    <w:pPr>
      <w:pBdr/>
      <w:spacing/>
      <w:ind/>
    </w:pPr>
    <w:rPr>
      <w:rFonts w:ascii="Arial Black" w:hAnsi="Arial Black"/>
      <w:spacing w:val="-10"/>
      <w:sz w:val="18"/>
    </w:rPr>
  </w:style>
  <w:style w:type="character" w:styleId="10569" w:customStyle="1">
    <w:name w:val="Схема документа Знак"/>
    <w:basedOn w:val="10543"/>
    <w:link w:val="11083"/>
    <w:uiPriority w:val="99"/>
    <w:qFormat/>
    <w:pPr>
      <w:pBdr/>
      <w:spacing/>
      <w:ind/>
    </w:pPr>
    <w:rPr>
      <w:rFonts w:ascii="Tahoma" w:hAnsi="Tahoma" w:eastAsia="Times New Roman" w:cs="Tahoma"/>
      <w:sz w:val="24"/>
      <w:shd w:val="clear" w:color="auto" w:fill="000080"/>
      <w:lang w:val="en-US" w:eastAsia="en-US" w:bidi="en-US"/>
    </w:rPr>
  </w:style>
  <w:style w:type="character" w:styleId="10570" w:customStyle="1">
    <w:name w:val="рисунок Знак"/>
    <w:link w:val="11084"/>
    <w:qFormat/>
    <w:pPr>
      <w:pBdr/>
      <w:spacing/>
      <w:ind/>
    </w:pPr>
  </w:style>
  <w:style w:type="character" w:styleId="10571" w:customStyle="1">
    <w:name w:val="Заголовок таблицы Знак"/>
    <w:link w:val="13067"/>
    <w:qFormat/>
    <w:pPr>
      <w:pBdr/>
      <w:spacing/>
      <w:ind/>
    </w:pPr>
    <w:rPr>
      <w:rFonts w:ascii="Arial" w:hAnsi="Arial" w:eastAsia="Times New Roman" w:cs="Times New Roman"/>
      <w:sz w:val="24"/>
      <w:lang w:val="en-US" w:bidi="en-US"/>
    </w:rPr>
  </w:style>
  <w:style w:type="character" w:styleId="10572" w:customStyle="1">
    <w:name w:val="Название объекта Знак"/>
    <w:qFormat/>
    <w:pPr>
      <w:pBdr/>
      <w:spacing/>
      <w:ind/>
    </w:pPr>
    <w:rPr>
      <w:rFonts w:ascii="Arial" w:hAnsi="Arial"/>
      <w:b/>
      <w:bCs/>
      <w:color w:val="4f81bd"/>
      <w:sz w:val="24"/>
      <w:szCs w:val="18"/>
    </w:rPr>
  </w:style>
  <w:style w:type="character" w:styleId="10573">
    <w:name w:val="Emphasis"/>
    <w:uiPriority w:val="20"/>
    <w:qFormat/>
    <w:pPr>
      <w:pBdr/>
      <w:spacing/>
      <w:ind/>
    </w:pPr>
    <w:rPr>
      <w:b/>
      <w:bCs/>
      <w:i/>
      <w:iCs/>
      <w:spacing w:val="10"/>
    </w:rPr>
  </w:style>
  <w:style w:type="character" w:styleId="10574">
    <w:name w:val="Hyperlink"/>
    <w:uiPriority w:val="99"/>
    <w:unhideWhenUsed/>
    <w:qFormat/>
    <w:pPr>
      <w:pBdr/>
      <w:spacing/>
      <w:ind/>
    </w:pPr>
    <w:rPr>
      <w:color w:val="0000ff"/>
      <w:u w:val="single"/>
    </w:rPr>
  </w:style>
  <w:style w:type="character" w:styleId="10575">
    <w:name w:val="FollowedHyperlink"/>
    <w:uiPriority w:val="99"/>
    <w:unhideWhenUsed/>
    <w:qFormat/>
    <w:pPr>
      <w:pBdr/>
      <w:spacing/>
      <w:ind/>
    </w:pPr>
    <w:rPr>
      <w:color w:val="800080"/>
      <w:u w:val="single"/>
    </w:rPr>
  </w:style>
  <w:style w:type="character" w:styleId="10576" w:customStyle="1">
    <w:name w:val="Маркированный список Знак"/>
    <w:uiPriority w:val="99"/>
    <w:qFormat/>
    <w:pPr>
      <w:pBdr/>
      <w:spacing/>
      <w:ind/>
    </w:pPr>
    <w:rPr>
      <w:rFonts w:ascii="Arial" w:hAnsi="Arial" w:eastAsia="Times New Roman" w:cs="Times New Roman"/>
      <w:szCs w:val="24"/>
      <w:lang w:val="en-US" w:eastAsia="en-US" w:bidi="en-US"/>
    </w:rPr>
  </w:style>
  <w:style w:type="character" w:styleId="10577" w:customStyle="1">
    <w:name w:val="Стандартный HTML Знак"/>
    <w:basedOn w:val="10543"/>
    <w:link w:val="11108"/>
    <w:qFormat/>
    <w:pPr>
      <w:pBdr/>
      <w:spacing/>
      <w:ind/>
    </w:pPr>
    <w:rPr>
      <w:rFonts w:ascii="Courier New" w:hAnsi="Courier New" w:eastAsia="Times New Roman" w:cs="Courier New"/>
      <w:sz w:val="20"/>
      <w:szCs w:val="20"/>
      <w:lang w:val="en-US" w:bidi="en-US"/>
    </w:rPr>
  </w:style>
  <w:style w:type="character" w:styleId="10578" w:customStyle="1">
    <w:name w:val="Основной текст с отступом Знак"/>
    <w:basedOn w:val="10543"/>
    <w:uiPriority w:val="99"/>
    <w:qFormat/>
    <w:pPr>
      <w:pBdr/>
      <w:spacing/>
      <w:ind/>
    </w:pPr>
    <w:rPr>
      <w:rFonts w:ascii="Calibri" w:hAnsi="Calibri" w:eastAsia="Calibri" w:cs="Times New Roman"/>
      <w:sz w:val="24"/>
      <w:lang w:val="en-US" w:eastAsia="en-US" w:bidi="en-US"/>
    </w:rPr>
  </w:style>
  <w:style w:type="character" w:styleId="10579" w:customStyle="1">
    <w:name w:val="Подрисуночный текст Знак"/>
    <w:link w:val="11111"/>
    <w:qFormat/>
    <w:pPr>
      <w:pBdr/>
      <w:spacing/>
      <w:ind/>
    </w:pPr>
    <w:rPr>
      <w:rFonts w:ascii="Arial" w:hAnsi="Arial" w:eastAsia="Times New Roman" w:cs="Times New Roman"/>
      <w:sz w:val="24"/>
      <w:lang w:val="en-US" w:bidi="en-US"/>
    </w:rPr>
  </w:style>
  <w:style w:type="character" w:styleId="10580" w:customStyle="1">
    <w:name w:val="Основной текст с отступом 2 Знак"/>
    <w:basedOn w:val="10543"/>
    <w:link w:val="11117"/>
    <w:qFormat/>
    <w:pPr>
      <w:pBdr/>
      <w:spacing/>
      <w:ind/>
    </w:pPr>
    <w:rPr>
      <w:rFonts w:ascii="Arial" w:hAnsi="Arial" w:eastAsia="Times New Roman" w:cs="Times New Roman"/>
      <w:sz w:val="20"/>
      <w:szCs w:val="20"/>
      <w:lang w:val="en-US" w:eastAsia="en-US" w:bidi="en-US"/>
    </w:rPr>
  </w:style>
  <w:style w:type="character" w:styleId="10581" w:customStyle="1">
    <w:name w:val="Основной текст с отступом 3 Знак"/>
    <w:basedOn w:val="10543"/>
    <w:link w:val="11118"/>
    <w:qFormat/>
    <w:pPr>
      <w:pBdr/>
      <w:spacing/>
      <w:ind/>
    </w:pPr>
    <w:rPr>
      <w:rFonts w:ascii="Times New Roman" w:hAnsi="Times New Roman" w:eastAsia="Times New Roman" w:cs="Times New Roman"/>
      <w:color w:val="444444"/>
      <w:sz w:val="24"/>
      <w:szCs w:val="20"/>
      <w:lang w:val="en-US" w:bidi="en-US"/>
    </w:rPr>
  </w:style>
  <w:style w:type="character" w:styleId="10582" w:customStyle="1">
    <w:name w:val="Основной текст 3 Знак"/>
    <w:basedOn w:val="10543"/>
    <w:link w:val="11119"/>
    <w:qFormat/>
    <w:pPr>
      <w:pBdr/>
      <w:spacing/>
      <w:ind/>
    </w:pPr>
    <w:rPr>
      <w:rFonts w:ascii="Times New Roman" w:hAnsi="Times New Roman" w:eastAsia="Times New Roman" w:cs="Times New Roman"/>
      <w:sz w:val="16"/>
      <w:szCs w:val="16"/>
      <w:lang w:val="en-US" w:bidi="en-US"/>
    </w:rPr>
  </w:style>
  <w:style w:type="character" w:styleId="10583" w:customStyle="1">
    <w:name w:val="Маркированный_1 Знак"/>
    <w:link w:val="11121"/>
    <w:qFormat/>
    <w:pPr>
      <w:pBdr/>
      <w:spacing/>
      <w:ind/>
    </w:pPr>
    <w:rPr>
      <w:rFonts w:ascii="Times New Roman" w:hAnsi="Times New Roman" w:eastAsia="Times New Roman" w:cs="Times New Roman"/>
      <w:sz w:val="24"/>
      <w:szCs w:val="24"/>
      <w:lang w:val="en-US" w:eastAsia="zh-CN" w:bidi="en-US"/>
    </w:rPr>
  </w:style>
  <w:style w:type="character" w:styleId="10584" w:customStyle="1">
    <w:name w:val="Основной текст Знак"/>
    <w:basedOn w:val="10543"/>
    <w:qFormat/>
    <w:pPr>
      <w:pBdr/>
      <w:spacing/>
      <w:ind/>
    </w:pPr>
    <w:rPr>
      <w:rFonts w:ascii="Arial" w:hAnsi="Arial" w:eastAsia="Times New Roman" w:cs="Times New Roman"/>
      <w:sz w:val="24"/>
      <w:lang w:val="en-US" w:eastAsia="en-US" w:bidi="en-US"/>
    </w:rPr>
  </w:style>
  <w:style w:type="character" w:styleId="10585" w:customStyle="1">
    <w:name w:val="Тема примечания Знак"/>
    <w:basedOn w:val="10557"/>
    <w:link w:val="11122"/>
    <w:uiPriority w:val="99"/>
    <w:qFormat/>
    <w:pPr>
      <w:pBdr/>
      <w:spacing/>
      <w:ind/>
    </w:pPr>
    <w:rPr>
      <w:rFonts w:ascii="Arial" w:hAnsi="Arial" w:eastAsia="Times New Roman" w:cs="Times New Roman"/>
      <w:b/>
      <w:bCs/>
      <w:sz w:val="20"/>
      <w:szCs w:val="20"/>
      <w:lang w:val="en-US" w:eastAsia="en-US" w:bidi="en-US"/>
    </w:rPr>
  </w:style>
  <w:style w:type="character" w:styleId="10586" w:customStyle="1">
    <w:name w:val="Body Text Keep Char"/>
    <w:link w:val="11123"/>
    <w:qFormat/>
    <w:pPr>
      <w:pBdr/>
      <w:spacing/>
      <w:ind/>
    </w:pPr>
    <w:rPr>
      <w:rFonts w:ascii="Arial" w:hAnsi="Arial" w:eastAsia="Times New Roman" w:cs="Times New Roman"/>
      <w:sz w:val="24"/>
      <w:lang w:val="en-US" w:eastAsia="en-US" w:bidi="en-US"/>
    </w:rPr>
  </w:style>
  <w:style w:type="character" w:styleId="10587">
    <w:name w:val="Placeholder Text"/>
    <w:uiPriority w:val="99"/>
    <w:semiHidden/>
    <w:qFormat/>
    <w:pPr>
      <w:pBdr/>
      <w:spacing/>
      <w:ind/>
    </w:pPr>
    <w:rPr>
      <w:color w:val="808080"/>
    </w:rPr>
  </w:style>
  <w:style w:type="character" w:styleId="10588" w:customStyle="1">
    <w:name w:val="Без интервала Знак"/>
    <w:link w:val="11190"/>
    <w:uiPriority w:val="99"/>
    <w:qFormat/>
    <w:pPr>
      <w:pBdr/>
      <w:spacing/>
      <w:ind/>
    </w:pPr>
    <w:rPr>
      <w:rFonts w:ascii="Calibri" w:hAnsi="Calibri" w:eastAsia="Times New Roman" w:cs="Times New Roman"/>
      <w:lang w:val="en-US" w:eastAsia="en-US" w:bidi="en-US"/>
    </w:rPr>
  </w:style>
  <w:style w:type="character" w:styleId="10589" w:customStyle="1">
    <w:name w:val="Heading Base Знак"/>
    <w:link w:val="11191"/>
    <w:qFormat/>
    <w:pPr>
      <w:pBdr/>
      <w:spacing/>
      <w:ind/>
    </w:pPr>
    <w:rPr>
      <w:rFonts w:ascii="Arial" w:hAnsi="Arial" w:eastAsia="Times New Roman" w:cs="Times New Roman"/>
      <w:b/>
      <w:spacing w:val="-4"/>
      <w:sz w:val="28"/>
      <w:szCs w:val="28"/>
      <w:lang w:val="en-US" w:eastAsia="en-US" w:bidi="en-US"/>
    </w:rPr>
  </w:style>
  <w:style w:type="character" w:styleId="10590" w:customStyle="1">
    <w:name w:val="Основной текст 2 Знак"/>
    <w:basedOn w:val="10543"/>
    <w:link w:val="11192"/>
    <w:uiPriority w:val="99"/>
    <w:qFormat/>
    <w:pPr>
      <w:pBdr/>
      <w:spacing/>
      <w:ind/>
    </w:pPr>
    <w:rPr>
      <w:rFonts w:ascii="Times New Roman" w:hAnsi="Times New Roman" w:eastAsia="Times New Roman" w:cs="Times New Roman"/>
      <w:sz w:val="24"/>
      <w:szCs w:val="24"/>
      <w:lang w:val="en-US" w:bidi="en-US"/>
    </w:rPr>
  </w:style>
  <w:style w:type="character" w:styleId="10591">
    <w:name w:val="Strong"/>
    <w:uiPriority w:val="22"/>
    <w:qFormat/>
    <w:pPr>
      <w:pBdr/>
      <w:spacing/>
      <w:ind/>
    </w:pPr>
    <w:rPr>
      <w:b/>
      <w:bCs/>
    </w:rPr>
  </w:style>
  <w:style w:type="character" w:styleId="10592" w:customStyle="1">
    <w:name w:val="Заголовок 3 уровкнь Знак"/>
    <w:link w:val="13737"/>
    <w:qFormat/>
    <w:pPr>
      <w:pBdr/>
      <w:spacing/>
      <w:ind/>
    </w:pPr>
    <w:rPr>
      <w:rFonts w:ascii="Times New Roman" w:hAnsi="Times New Roman" w:eastAsia="Times New Roman" w:cs="Times New Roman"/>
      <w:b/>
      <w:smallCaps/>
      <w:sz w:val="24"/>
      <w:szCs w:val="36"/>
      <w:lang w:eastAsia="en-US" w:bidi="en-US"/>
    </w:rPr>
  </w:style>
  <w:style w:type="character" w:styleId="10594" w:customStyle="1">
    <w:name w:val="Подзаголовок Знак"/>
    <w:basedOn w:val="10543"/>
    <w:uiPriority w:val="11"/>
    <w:qFormat/>
    <w:pPr>
      <w:pBdr/>
      <w:spacing/>
      <w:ind/>
    </w:pPr>
    <w:rPr>
      <w:rFonts w:ascii="Cambria" w:hAnsi="Cambria" w:eastAsia="Times New Roman" w:cs="Times New Roman"/>
      <w:i/>
      <w:iCs/>
      <w:smallCaps/>
      <w:spacing w:val="10"/>
      <w:sz w:val="28"/>
      <w:szCs w:val="28"/>
      <w:lang w:val="en-US" w:eastAsia="en-US" w:bidi="en-US"/>
    </w:rPr>
  </w:style>
  <w:style w:type="character" w:styleId="10595" w:customStyle="1">
    <w:name w:val="Стиль полужирный все прописные Знак"/>
    <w:link w:val="11234"/>
    <w:qFormat/>
    <w:pPr>
      <w:pBdr/>
      <w:spacing/>
      <w:ind/>
    </w:pPr>
    <w:rPr>
      <w:rFonts w:ascii="Times New Roman" w:hAnsi="Times New Roman" w:eastAsia="Times New Roman" w:cs="Times New Roman"/>
      <w:sz w:val="26"/>
      <w:szCs w:val="26"/>
      <w:lang w:val="en-US" w:bidi="en-US"/>
    </w:rPr>
  </w:style>
  <w:style w:type="character" w:styleId="10596" w:customStyle="1">
    <w:name w:val="Ввод осн.текста Знак"/>
    <w:link w:val="11235"/>
    <w:qFormat/>
    <w:pPr>
      <w:pBdr/>
      <w:spacing/>
      <w:ind/>
    </w:pPr>
    <w:rPr>
      <w:rFonts w:ascii="Times New Roman" w:hAnsi="Times New Roman" w:eastAsia="Times New Roman" w:cs="Times New Roman"/>
      <w:sz w:val="26"/>
      <w:szCs w:val="26"/>
      <w:lang w:val="en-US" w:bidi="en-US"/>
    </w:rPr>
  </w:style>
  <w:style w:type="character" w:styleId="10597" w:customStyle="1">
    <w:name w:val="Текст Знак"/>
    <w:basedOn w:val="10543"/>
    <w:link w:val="11261"/>
    <w:qFormat/>
    <w:pPr>
      <w:pBdr/>
      <w:spacing/>
      <w:ind/>
    </w:pPr>
    <w:rPr>
      <w:rFonts w:ascii="Courier New" w:hAnsi="Courier New" w:eastAsia="Times New Roman" w:cs="Times New Roman"/>
      <w:sz w:val="20"/>
      <w:szCs w:val="20"/>
      <w:lang w:val="en-US" w:bidi="en-US"/>
    </w:rPr>
  </w:style>
  <w:style w:type="character" w:styleId="10598" w:customStyle="1">
    <w:name w:val="ВАДИМ Знак"/>
    <w:link w:val="11262"/>
    <w:qFormat/>
    <w:pPr>
      <w:pBdr/>
      <w:spacing/>
      <w:ind/>
    </w:pPr>
    <w:rPr>
      <w:rFonts w:ascii="Times New Roman" w:hAnsi="Times New Roman" w:eastAsia="Times New Roman" w:cs="Verdana"/>
      <w:spacing w:val="-2"/>
      <w:sz w:val="28"/>
      <w:szCs w:val="28"/>
      <w:lang w:val="en-US" w:eastAsia="en-US" w:bidi="en-US"/>
    </w:rPr>
  </w:style>
  <w:style w:type="character" w:styleId="10599" w:customStyle="1">
    <w:name w:val="Список марк. Знак"/>
    <w:link w:val="11264"/>
    <w:qFormat/>
    <w:pPr>
      <w:pBdr/>
      <w:spacing/>
      <w:ind/>
    </w:pPr>
    <w:rPr>
      <w:rFonts w:ascii="Times New Roman" w:hAnsi="Times New Roman" w:eastAsia="Times New Roman" w:cs="Times New Roman"/>
      <w:sz w:val="26"/>
      <w:szCs w:val="26"/>
      <w:lang w:val="en-US" w:eastAsia="zh-CN" w:bidi="en-US"/>
    </w:rPr>
  </w:style>
  <w:style w:type="character" w:styleId="10600" w:customStyle="1">
    <w:name w:val="Заголовок 2 ур Знак"/>
    <w:link w:val="13770"/>
    <w:qFormat/>
    <w:pPr>
      <w:pBdr/>
      <w:spacing/>
      <w:ind/>
    </w:pPr>
    <w:rPr>
      <w:rFonts w:ascii="Times New Roman" w:hAnsi="Times New Roman" w:eastAsia="Times New Roman" w:cs="Times New Roman"/>
      <w:b/>
      <w:bCs/>
      <w:smallCaps/>
      <w:color w:val="1f497d"/>
      <w:spacing w:val="5"/>
      <w:sz w:val="28"/>
      <w:szCs w:val="36"/>
      <w:lang w:bidi="en-US"/>
    </w:rPr>
  </w:style>
  <w:style w:type="character" w:styleId="10601" w:customStyle="1">
    <w:name w:val="apple-style-span"/>
    <w:basedOn w:val="10543"/>
    <w:qFormat/>
    <w:pPr>
      <w:pBdr/>
      <w:spacing/>
      <w:ind/>
    </w:pPr>
  </w:style>
  <w:style w:type="character" w:styleId="10602" w:customStyle="1">
    <w:name w:val="name"/>
    <w:basedOn w:val="10543"/>
    <w:qFormat/>
    <w:pPr>
      <w:pBdr/>
      <w:spacing/>
      <w:ind/>
    </w:pPr>
  </w:style>
  <w:style w:type="character" w:styleId="10603" w:customStyle="1">
    <w:name w:val="Основной текст + Arial Unicode MS;11.5 pt"/>
    <w:qFormat/>
    <w:pPr>
      <w:pBdr/>
      <w:spacing/>
      <w:ind/>
    </w:pPr>
    <w:rPr>
      <w:rFonts w:ascii="Arial Unicode MS" w:hAnsi="Arial Unicode MS" w:eastAsia="Arial Unicode MS" w:cs="Arial Unicode MS"/>
      <w:b w:val="0"/>
      <w:bCs w:val="0"/>
      <w:i w:val="0"/>
      <w:iCs w:val="0"/>
      <w:caps w:val="0"/>
      <w:smallCaps w:val="0"/>
      <w:strike w:val="0"/>
      <w:color w:val="000000"/>
      <w:spacing w:val="0"/>
      <w:sz w:val="23"/>
      <w:szCs w:val="23"/>
      <w:u w:val="none"/>
      <w:shd w:val="clear" w:color="auto" w:fill="ffffff"/>
      <w:lang w:val="ru-RU"/>
    </w:rPr>
  </w:style>
  <w:style w:type="character" w:styleId="10604" w:customStyle="1">
    <w:name w:val="Основной текст_"/>
    <w:link w:val="13779"/>
    <w:qFormat/>
    <w:pPr>
      <w:pBdr/>
      <w:spacing/>
      <w:ind/>
    </w:pPr>
    <w:rPr>
      <w:rFonts w:ascii="Arial" w:hAnsi="Arial" w:eastAsia="Arial" w:cs="Arial"/>
      <w:shd w:val="clear" w:color="auto" w:fill="ffffff"/>
    </w:rPr>
  </w:style>
  <w:style w:type="character" w:styleId="10605" w:customStyle="1">
    <w:name w:val="Стиль2 Знак"/>
    <w:link w:val="13785"/>
    <w:qFormat/>
    <w:pPr>
      <w:pBdr/>
      <w:spacing/>
      <w:ind/>
    </w:pPr>
    <w:rPr>
      <w:rFonts w:ascii="Cambria" w:hAnsi="Cambria" w:eastAsia="Times New Roman" w:cs="Times New Roman"/>
      <w:bCs/>
      <w:smallCaps/>
      <w:spacing w:val="5"/>
      <w:sz w:val="28"/>
      <w:szCs w:val="36"/>
      <w:lang w:bidi="en-US"/>
    </w:rPr>
  </w:style>
  <w:style w:type="character" w:styleId="10606" w:customStyle="1">
    <w:name w:val="Абзац списка Знак"/>
    <w:link w:val="11103"/>
    <w:uiPriority w:val="34"/>
    <w:qFormat/>
    <w:pPr>
      <w:pBdr/>
      <w:spacing/>
      <w:ind/>
    </w:pPr>
    <w:rPr>
      <w:rFonts w:ascii="Arial" w:hAnsi="Arial" w:eastAsia="Times New Roman" w:cs="Times New Roman"/>
      <w:sz w:val="24"/>
      <w:lang w:val="en-US" w:eastAsia="en-US" w:bidi="en-US"/>
    </w:rPr>
  </w:style>
  <w:style w:type="character" w:styleId="10607" w:customStyle="1">
    <w:name w:val="Обычный 13 Знак5"/>
    <w:link w:val="13688"/>
    <w:qFormat/>
    <w:pPr>
      <w:pBdr/>
      <w:spacing/>
      <w:ind/>
    </w:pPr>
    <w:rPr>
      <w:rFonts w:ascii="Times New Roman" w:hAnsi="Times New Roman" w:eastAsia="Times New Roman" w:cs="Times New Roman"/>
      <w:sz w:val="26"/>
      <w:szCs w:val="26"/>
      <w:lang w:val="en-US" w:bidi="en-US"/>
    </w:rPr>
  </w:style>
  <w:style w:type="character" w:styleId="10608" w:customStyle="1">
    <w:name w:val="apple-converted-space"/>
    <w:basedOn w:val="10543"/>
    <w:qFormat/>
    <w:pPr>
      <w:pBdr/>
      <w:spacing/>
      <w:ind/>
    </w:pPr>
  </w:style>
  <w:style w:type="character" w:styleId="10609" w:customStyle="1">
    <w:name w:val="заголовок 4 Знак"/>
    <w:qFormat/>
    <w:pPr>
      <w:pBdr/>
      <w:spacing/>
      <w:ind/>
    </w:pPr>
    <w:rPr>
      <w:rFonts w:ascii="Arial" w:hAnsi="Arial"/>
      <w:i/>
      <w:sz w:val="24"/>
      <w:szCs w:val="24"/>
      <w:lang w:val="ru-RU" w:eastAsia="ru-RU" w:bidi="ar-SA"/>
    </w:rPr>
  </w:style>
  <w:style w:type="character" w:styleId="10610" w:customStyle="1">
    <w:name w:val="Font Style23"/>
    <w:qFormat/>
    <w:pPr>
      <w:pBdr/>
      <w:spacing/>
      <w:ind/>
    </w:pPr>
    <w:rPr>
      <w:rFonts w:ascii="Times New Roman" w:hAnsi="Times New Roman" w:cs="Times New Roman"/>
      <w:sz w:val="18"/>
      <w:szCs w:val="18"/>
    </w:rPr>
  </w:style>
  <w:style w:type="character" w:styleId="10611" w:customStyle="1">
    <w:name w:val="Абзац Знак"/>
    <w:link w:val="11452"/>
    <w:qFormat/>
    <w:pPr>
      <w:pBdr/>
      <w:spacing/>
      <w:ind/>
    </w:pPr>
    <w:rPr>
      <w:rFonts w:ascii="Times New Roman" w:hAnsi="Times New Roman" w:eastAsia="Times New Roman" w:cs="Times New Roman"/>
      <w:sz w:val="24"/>
      <w:szCs w:val="24"/>
      <w:lang w:val="en-US" w:eastAsia="en-US" w:bidi="en-US"/>
    </w:rPr>
  </w:style>
  <w:style w:type="character" w:styleId="10612" w:customStyle="1">
    <w:name w:val="Основной текст + Полужирный"/>
    <w:qFormat/>
    <w:pPr>
      <w:pBdr/>
      <w:spacing/>
      <w:ind/>
    </w:pPr>
    <w:rPr>
      <w:rFonts w:ascii="Times New Roman" w:hAnsi="Times New Roman" w:eastAsia="Times New Roman" w:cs="Times New Roman"/>
      <w:b/>
      <w:bCs/>
      <w:color w:val="000000"/>
      <w:spacing w:val="0"/>
      <w:sz w:val="18"/>
      <w:szCs w:val="18"/>
      <w:shd w:val="clear" w:color="auto" w:fill="ffffff"/>
      <w:lang w:val="ru-RU"/>
    </w:rPr>
  </w:style>
  <w:style w:type="character" w:styleId="10613" w:customStyle="1">
    <w:name w:val="Основной текст (2)_"/>
    <w:link w:val="13789"/>
    <w:qFormat/>
    <w:pPr>
      <w:pBdr/>
      <w:spacing/>
      <w:ind/>
    </w:pPr>
    <w:rPr>
      <w:b/>
      <w:bCs/>
      <w:sz w:val="18"/>
      <w:szCs w:val="18"/>
      <w:shd w:val="clear" w:color="auto" w:fill="ffffff"/>
    </w:rPr>
  </w:style>
  <w:style w:type="character" w:styleId="10614" w:customStyle="1">
    <w:name w:val="Основной текст (2) + Не полужирный"/>
    <w:qFormat/>
    <w:pPr>
      <w:pBdr/>
      <w:spacing/>
      <w:ind/>
    </w:pPr>
    <w:rPr>
      <w:b/>
      <w:bCs/>
      <w:color w:val="000000"/>
      <w:spacing w:val="0"/>
      <w:sz w:val="18"/>
      <w:szCs w:val="18"/>
      <w:shd w:val="clear" w:color="auto" w:fill="ffffff"/>
      <w:lang w:val="ru-RU"/>
    </w:rPr>
  </w:style>
  <w:style w:type="character" w:styleId="10616" w:customStyle="1">
    <w:name w:val="Выделенная цитата Знак"/>
    <w:basedOn w:val="10543"/>
    <w:link w:val="11460"/>
    <w:uiPriority w:val="30"/>
    <w:qFormat/>
    <w:pPr>
      <w:pBdr/>
      <w:spacing/>
      <w:ind/>
    </w:pPr>
    <w:rPr>
      <w:rFonts w:ascii="Cambria" w:hAnsi="Cambria" w:eastAsia="Times New Roman" w:cs="Times New Roman"/>
      <w:i/>
      <w:iCs/>
      <w:lang w:val="en-US" w:eastAsia="en-US" w:bidi="en-US"/>
    </w:rPr>
  </w:style>
  <w:style w:type="character" w:styleId="10617">
    <w:name w:val="Subtle Emphasis"/>
    <w:qFormat/>
    <w:pPr>
      <w:pBdr/>
      <w:spacing/>
      <w:ind/>
    </w:pPr>
    <w:rPr>
      <w:i/>
      <w:iCs/>
    </w:rPr>
  </w:style>
  <w:style w:type="character" w:styleId="10618">
    <w:name w:val="Intense Emphasis"/>
    <w:uiPriority w:val="21"/>
    <w:qFormat/>
    <w:pPr>
      <w:pBdr/>
      <w:spacing/>
      <w:ind/>
    </w:pPr>
    <w:rPr>
      <w:b/>
      <w:bCs/>
      <w:i/>
      <w:iCs/>
    </w:rPr>
  </w:style>
  <w:style w:type="character" w:styleId="10619">
    <w:name w:val="Subtle Reference"/>
    <w:uiPriority w:val="31"/>
    <w:qFormat/>
    <w:pPr>
      <w:pBdr/>
      <w:spacing/>
      <w:ind/>
    </w:pPr>
    <w:rPr>
      <w:smallCaps/>
    </w:rPr>
  </w:style>
  <w:style w:type="character" w:styleId="10620">
    <w:name w:val="Intense Reference"/>
    <w:uiPriority w:val="32"/>
    <w:qFormat/>
    <w:pPr>
      <w:pBdr/>
      <w:spacing/>
      <w:ind/>
    </w:pPr>
    <w:rPr>
      <w:b/>
      <w:bCs/>
      <w:smallCaps/>
    </w:rPr>
  </w:style>
  <w:style w:type="character" w:styleId="10621">
    <w:name w:val="Book Title"/>
    <w:uiPriority w:val="33"/>
    <w:qFormat/>
    <w:pPr>
      <w:pBdr/>
      <w:spacing/>
      <w:ind/>
    </w:pPr>
    <w:rPr>
      <w:i/>
      <w:iCs/>
      <w:smallCaps/>
      <w:spacing w:val="5"/>
    </w:rPr>
  </w:style>
  <w:style w:type="character" w:styleId="10622" w:customStyle="1">
    <w:name w:val="МОЙ Заголовок 1 Знак"/>
    <w:link w:val="11461"/>
    <w:qFormat/>
    <w:pPr>
      <w:pBdr/>
      <w:spacing/>
      <w:ind/>
    </w:pPr>
    <w:rPr>
      <w:rFonts w:ascii="Arial Black" w:hAnsi="Arial Black" w:eastAsia="Times New Roman" w:cs="Times New Roman"/>
      <w:bCs/>
      <w:smallCaps/>
      <w:spacing w:val="5"/>
      <w:sz w:val="28"/>
      <w:szCs w:val="28"/>
      <w:lang w:eastAsia="en-US" w:bidi="en-US"/>
    </w:rPr>
  </w:style>
  <w:style w:type="character" w:styleId="10623" w:customStyle="1">
    <w:name w:val="Стиль1 Знак"/>
    <w:qFormat/>
    <w:pPr>
      <w:pBdr/>
      <w:spacing/>
      <w:ind/>
    </w:pPr>
    <w:rPr>
      <w:rFonts w:ascii="Cambria" w:hAnsi="Cambria" w:eastAsia="Times New Roman" w:cs="Times New Roman"/>
      <w:b/>
      <w:bCs/>
      <w:color w:val="4f81bd"/>
      <w:spacing w:val="-10"/>
      <w:sz w:val="26"/>
      <w:szCs w:val="26"/>
      <w:lang w:val="ru-RU" w:eastAsia="ru-RU"/>
    </w:rPr>
  </w:style>
  <w:style w:type="character" w:styleId="10624" w:customStyle="1">
    <w:name w:val="Основной текст (3)_"/>
    <w:link w:val="11462"/>
    <w:qFormat/>
    <w:pPr>
      <w:pBdr/>
      <w:spacing/>
      <w:ind/>
    </w:pPr>
    <w:rPr>
      <w:rFonts w:ascii="Arial" w:hAnsi="Arial" w:eastAsia="Arial" w:cs="Arial"/>
      <w:b/>
      <w:bCs/>
      <w:spacing w:val="-10"/>
      <w:shd w:val="clear" w:color="auto" w:fill="ffffff"/>
    </w:rPr>
  </w:style>
  <w:style w:type="character" w:styleId="10625" w:customStyle="1">
    <w:name w:val="Основной текст (5)_"/>
    <w:link w:val="11463"/>
    <w:qFormat/>
    <w:pPr>
      <w:pBdr/>
      <w:spacing/>
      <w:ind/>
    </w:pPr>
    <w:rPr>
      <w:rFonts w:ascii="Arial" w:hAnsi="Arial" w:eastAsia="Arial" w:cs="Arial"/>
      <w:b/>
      <w:bCs/>
      <w:spacing w:val="-10"/>
      <w:sz w:val="21"/>
      <w:szCs w:val="21"/>
      <w:shd w:val="clear" w:color="auto" w:fill="ffffff"/>
    </w:rPr>
  </w:style>
  <w:style w:type="character" w:styleId="10626" w:customStyle="1">
    <w:name w:val="Основной текст + Arial Unicode MS"/>
    <w:qFormat/>
    <w:pPr>
      <w:pBdr/>
      <w:spacing/>
      <w:ind/>
    </w:pPr>
    <w:rPr>
      <w:rFonts w:ascii="Arial Unicode MS" w:hAnsi="Arial Unicode MS" w:eastAsia="Arial Unicode MS" w:cs="Arial Unicode MS"/>
      <w:color w:val="000000"/>
      <w:spacing w:val="0"/>
      <w:sz w:val="23"/>
      <w:szCs w:val="23"/>
      <w:shd w:val="clear" w:color="auto" w:fill="ffffff"/>
      <w:lang w:val="ru-RU"/>
    </w:rPr>
  </w:style>
  <w:style w:type="character" w:styleId="10627" w:customStyle="1">
    <w:name w:val="Основной текст (4)"/>
    <w:qFormat/>
    <w:pPr>
      <w:pBdr/>
      <w:spacing/>
      <w:ind/>
    </w:pPr>
    <w:rPr>
      <w:rFonts w:ascii="Arial Narrow" w:hAnsi="Arial Narrow" w:eastAsia="Arial Narrow" w:cs="Arial Narrow"/>
      <w:b/>
      <w:bCs/>
      <w:i w:val="0"/>
      <w:iCs w:val="0"/>
      <w:caps w:val="0"/>
      <w:smallCaps w:val="0"/>
      <w:strike w:val="0"/>
      <w:color w:val="000000"/>
      <w:spacing w:val="0"/>
      <w:sz w:val="15"/>
      <w:szCs w:val="15"/>
      <w:u w:val="none"/>
      <w:lang w:val="ru-RU"/>
    </w:rPr>
  </w:style>
  <w:style w:type="character" w:styleId="10628" w:customStyle="1">
    <w:name w:val="Колонтитул_"/>
    <w:link w:val="11464"/>
    <w:qFormat/>
    <w:pPr>
      <w:pBdr/>
      <w:spacing/>
      <w:ind/>
    </w:pPr>
    <w:rPr>
      <w:rFonts w:ascii="Arial Narrow" w:hAnsi="Arial Narrow" w:eastAsia="Arial Narrow" w:cs="Arial Narrow"/>
      <w:b/>
      <w:bCs/>
      <w:sz w:val="15"/>
      <w:szCs w:val="15"/>
      <w:shd w:val="clear" w:color="auto" w:fill="ffffff"/>
    </w:rPr>
  </w:style>
  <w:style w:type="character" w:styleId="10629" w:customStyle="1">
    <w:name w:val="Колонтитул + 8.5 pt;Не полужирный"/>
    <w:qFormat/>
    <w:pPr>
      <w:pBdr/>
      <w:spacing/>
      <w:ind/>
    </w:pPr>
    <w:rPr>
      <w:rFonts w:ascii="Arial Narrow" w:hAnsi="Arial Narrow" w:eastAsia="Arial Narrow" w:cs="Arial Narrow"/>
      <w:b/>
      <w:bCs/>
      <w:color w:val="000000"/>
      <w:spacing w:val="0"/>
      <w:sz w:val="17"/>
      <w:szCs w:val="17"/>
      <w:shd w:val="clear" w:color="auto" w:fill="ffffff"/>
      <w:lang w:val="ru-RU"/>
    </w:rPr>
  </w:style>
  <w:style w:type="character" w:styleId="10630" w:customStyle="1">
    <w:name w:val="Колонтитул + Arial;8.5 pt"/>
    <w:qFormat/>
    <w:pPr>
      <w:pBdr/>
      <w:spacing/>
      <w:ind/>
    </w:pPr>
    <w:rPr>
      <w:rFonts w:ascii="Arial" w:hAnsi="Arial" w:eastAsia="Arial" w:cs="Arial"/>
      <w:b/>
      <w:bCs/>
      <w:color w:val="000000"/>
      <w:spacing w:val="0"/>
      <w:sz w:val="17"/>
      <w:szCs w:val="17"/>
      <w:shd w:val="clear" w:color="auto" w:fill="ffffff"/>
      <w:lang w:val="ru-RU"/>
    </w:rPr>
  </w:style>
  <w:style w:type="character" w:styleId="10631" w:customStyle="1">
    <w:name w:val="Подпись к таблице + Arial Unicode MS;Не полужирный;Интервал 0 pt"/>
    <w:qFormat/>
    <w:pPr>
      <w:pBdr/>
      <w:spacing/>
      <w:ind/>
    </w:pPr>
    <w:rPr>
      <w:rFonts w:ascii="Arial Unicode MS" w:hAnsi="Arial Unicode MS" w:eastAsia="Arial Unicode MS" w:cs="Arial Unicode MS"/>
      <w:b/>
      <w:bCs/>
      <w:i w:val="0"/>
      <w:iCs w:val="0"/>
      <w:caps w:val="0"/>
      <w:smallCaps w:val="0"/>
      <w:strike w:val="0"/>
      <w:color w:val="000000"/>
      <w:spacing w:val="-10"/>
      <w:sz w:val="17"/>
      <w:szCs w:val="17"/>
      <w:u w:val="none"/>
      <w:lang w:val="ru-RU"/>
    </w:rPr>
  </w:style>
  <w:style w:type="character" w:styleId="10632" w:customStyle="1">
    <w:name w:val="Основной текст (4)_"/>
    <w:qFormat/>
    <w:pPr>
      <w:pBdr/>
      <w:spacing/>
      <w:ind/>
    </w:pPr>
    <w:rPr>
      <w:rFonts w:ascii="Arial Narrow" w:hAnsi="Arial Narrow" w:eastAsia="Arial Narrow" w:cs="Arial Narrow"/>
      <w:b/>
      <w:bCs/>
      <w:i w:val="0"/>
      <w:iCs w:val="0"/>
      <w:caps w:val="0"/>
      <w:smallCaps w:val="0"/>
      <w:strike w:val="0"/>
      <w:sz w:val="15"/>
      <w:szCs w:val="15"/>
      <w:u w:val="none"/>
    </w:rPr>
  </w:style>
  <w:style w:type="character" w:styleId="10633" w:customStyle="1">
    <w:name w:val="Основной текст (5) + Arial Unicode MS"/>
    <w:qFormat/>
    <w:pPr>
      <w:pBdr/>
      <w:spacing/>
      <w:ind/>
    </w:pPr>
    <w:rPr>
      <w:rFonts w:ascii="Arial Unicode MS" w:hAnsi="Arial Unicode MS" w:eastAsia="Arial Unicode MS" w:cs="Arial Unicode MS"/>
      <w:b/>
      <w:bCs/>
      <w:i w:val="0"/>
      <w:iCs w:val="0"/>
      <w:caps w:val="0"/>
      <w:smallCaps w:val="0"/>
      <w:strike w:val="0"/>
      <w:color w:val="000000"/>
      <w:spacing w:val="-10"/>
      <w:sz w:val="21"/>
      <w:szCs w:val="21"/>
      <w:u w:val="none"/>
      <w:shd w:val="clear" w:color="auto" w:fill="ffffff"/>
      <w:lang w:val="ru-RU"/>
    </w:rPr>
  </w:style>
  <w:style w:type="character" w:styleId="10634" w:customStyle="1">
    <w:name w:val="Основной текст (3) + Tahoma;10.5 pt;Интервал 0 pt"/>
    <w:qFormat/>
    <w:pPr>
      <w:pBdr/>
      <w:spacing/>
      <w:ind/>
    </w:pPr>
    <w:rPr>
      <w:rFonts w:ascii="Tahoma" w:hAnsi="Tahoma" w:eastAsia="Tahoma" w:cs="Tahoma"/>
      <w:b/>
      <w:bCs/>
      <w:i w:val="0"/>
      <w:iCs w:val="0"/>
      <w:caps w:val="0"/>
      <w:smallCaps w:val="0"/>
      <w:strike w:val="0"/>
      <w:color w:val="000000"/>
      <w:spacing w:val="0"/>
      <w:sz w:val="21"/>
      <w:szCs w:val="21"/>
      <w:u w:val="none"/>
      <w:shd w:val="clear" w:color="auto" w:fill="ffffff"/>
      <w:lang w:val="ru-RU"/>
    </w:rPr>
  </w:style>
  <w:style w:type="character" w:styleId="10635" w:customStyle="1">
    <w:name w:val="Основной текст (4) + Tahoma;7 pt;Не полужирный"/>
    <w:qFormat/>
    <w:pPr>
      <w:pBdr/>
      <w:spacing/>
      <w:ind/>
    </w:pPr>
    <w:rPr>
      <w:rFonts w:ascii="Tahoma" w:hAnsi="Tahoma" w:eastAsia="Tahoma" w:cs="Tahoma"/>
      <w:b/>
      <w:bCs/>
      <w:i w:val="0"/>
      <w:iCs w:val="0"/>
      <w:caps w:val="0"/>
      <w:smallCaps w:val="0"/>
      <w:strike w:val="0"/>
      <w:color w:val="000000"/>
      <w:spacing w:val="0"/>
      <w:sz w:val="14"/>
      <w:szCs w:val="14"/>
      <w:u w:val="none"/>
      <w:lang w:val="ru-RU"/>
    </w:rPr>
  </w:style>
  <w:style w:type="character" w:styleId="10636" w:customStyle="1">
    <w:name w:val="Заголовок №5"/>
    <w:qFormat/>
    <w:pPr>
      <w:pBdr/>
      <w:spacing/>
      <w:ind/>
    </w:pPr>
    <w:rPr>
      <w:rFonts w:ascii="Tahoma" w:hAnsi="Tahoma" w:eastAsia="Tahoma" w:cs="Tahoma"/>
      <w:b/>
      <w:bCs/>
      <w:i w:val="0"/>
      <w:iCs w:val="0"/>
      <w:caps w:val="0"/>
      <w:smallCaps w:val="0"/>
      <w:strike w:val="0"/>
      <w:color w:val="000000"/>
      <w:spacing w:val="0"/>
      <w:sz w:val="21"/>
      <w:szCs w:val="21"/>
      <w:u w:val="none"/>
      <w:lang w:val="ru-RU"/>
    </w:rPr>
  </w:style>
  <w:style w:type="character" w:styleId="10637" w:customStyle="1">
    <w:name w:val="Нижний колонтитул Знак1"/>
    <w:uiPriority w:val="99"/>
    <w:semiHidden/>
    <w:qFormat/>
    <w:pPr>
      <w:pBdr/>
      <w:spacing/>
      <w:ind/>
    </w:pPr>
    <w:rPr>
      <w:rFonts w:ascii="Arial" w:hAnsi="Arial" w:eastAsia="Microsoft YaHei" w:cs="Times New Roman"/>
      <w:spacing w:val="-5"/>
    </w:rPr>
  </w:style>
  <w:style w:type="character" w:styleId="10638" w:customStyle="1">
    <w:name w:val="Основной текст Знак1"/>
    <w:qFormat/>
    <w:pPr>
      <w:pBdr/>
      <w:spacing/>
      <w:ind/>
    </w:pPr>
    <w:rPr>
      <w:rFonts w:ascii="Arial" w:hAnsi="Arial" w:eastAsia="Microsoft YaHei" w:cs="Times New Roman"/>
      <w:spacing w:val="-5"/>
    </w:rPr>
  </w:style>
  <w:style w:type="character" w:styleId="10640" w:customStyle="1">
    <w:name w:val="Рисунки Знак"/>
    <w:link w:val="11548"/>
    <w:uiPriority w:val="99"/>
    <w:qFormat/>
    <w:pPr>
      <w:pBdr/>
      <w:spacing/>
      <w:ind/>
    </w:pPr>
    <w:rPr>
      <w:rFonts w:ascii="Arial" w:hAnsi="Arial" w:eastAsia="Arial" w:cs="Arial"/>
      <w:i/>
      <w:sz w:val="24"/>
      <w:szCs w:val="24"/>
      <w:lang w:eastAsia="zh-CN"/>
    </w:rPr>
  </w:style>
  <w:style w:type="character" w:styleId="10641" w:customStyle="1">
    <w:name w:val="Основной текст + 8.5 pt"/>
    <w:qFormat/>
    <w:pPr>
      <w:pBdr/>
      <w:spacing/>
      <w:ind/>
    </w:pPr>
    <w:rPr>
      <w:rFonts w:ascii="Arial" w:hAnsi="Arial" w:eastAsia="Arial" w:cs="Arial"/>
      <w:b w:val="0"/>
      <w:bCs w:val="0"/>
      <w:i w:val="0"/>
      <w:iCs w:val="0"/>
      <w:caps w:val="0"/>
      <w:smallCaps w:val="0"/>
      <w:strike w:val="0"/>
      <w:color w:val="000000"/>
      <w:spacing w:val="0"/>
      <w:sz w:val="17"/>
      <w:szCs w:val="17"/>
      <w:u w:val="none"/>
      <w:shd w:val="clear" w:color="auto" w:fill="ffffff"/>
      <w:lang w:val="ru-RU"/>
    </w:rPr>
  </w:style>
  <w:style w:type="character" w:styleId="10642" w:customStyle="1">
    <w:name w:val="Основной текст (4) + Arial Unicode MS;6.5 pt;Не полужирный"/>
    <w:qFormat/>
    <w:pPr>
      <w:pBdr/>
      <w:spacing/>
      <w:ind/>
    </w:pPr>
    <w:rPr>
      <w:rFonts w:ascii="Arial Unicode MS" w:hAnsi="Arial Unicode MS" w:eastAsia="Arial Unicode MS" w:cs="Arial Unicode MS"/>
      <w:b/>
      <w:bCs/>
      <w:i w:val="0"/>
      <w:iCs w:val="0"/>
      <w:caps w:val="0"/>
      <w:smallCaps w:val="0"/>
      <w:strike w:val="0"/>
      <w:color w:val="000000"/>
      <w:spacing w:val="0"/>
      <w:sz w:val="13"/>
      <w:szCs w:val="13"/>
      <w:u w:val="none"/>
      <w:shd w:val="clear" w:color="auto" w:fill="ffffff"/>
      <w:lang w:val="ru-RU"/>
    </w:rPr>
  </w:style>
  <w:style w:type="character" w:styleId="10643" w:customStyle="1">
    <w:name w:val="Таблицы Знак"/>
    <w:link w:val="11558"/>
    <w:uiPriority w:val="99"/>
    <w:qFormat/>
    <w:pPr>
      <w:pBdr/>
      <w:spacing/>
      <w:ind/>
    </w:pPr>
    <w:rPr>
      <w:rFonts w:ascii="Arial" w:hAnsi="Arial" w:eastAsia="Times New Roman" w:cs="Times New Roman"/>
      <w:sz w:val="24"/>
      <w:szCs w:val="24"/>
      <w:lang w:val="en-US" w:bidi="en-US"/>
    </w:rPr>
  </w:style>
  <w:style w:type="character" w:styleId="10644" w:customStyle="1">
    <w:name w:val="Мой Текст Знак"/>
    <w:link w:val="11681"/>
    <w:qFormat/>
    <w:pPr>
      <w:pBdr/>
      <w:spacing/>
      <w:ind/>
    </w:pPr>
    <w:rPr>
      <w:rFonts w:ascii="Calibri" w:hAnsi="Calibri" w:eastAsia="Calibri" w:cs="Calibri"/>
      <w:sz w:val="24"/>
      <w:szCs w:val="28"/>
    </w:rPr>
  </w:style>
  <w:style w:type="character" w:styleId="10645" w:customStyle="1">
    <w:name w:val="Перечисление без номера Знак"/>
    <w:link w:val="11682"/>
    <w:qFormat/>
    <w:pPr>
      <w:pBdr/>
      <w:spacing/>
      <w:ind/>
    </w:pPr>
    <w:rPr>
      <w:rFonts w:ascii="Times New Roman" w:hAnsi="Times New Roman" w:eastAsia="Calibri" w:cs="Times New Roman"/>
      <w:sz w:val="24"/>
      <w:szCs w:val="28"/>
      <w:lang w:val="en-US" w:eastAsia="en-US" w:bidi="en-US"/>
    </w:rPr>
  </w:style>
  <w:style w:type="character" w:styleId="10646" w:customStyle="1">
    <w:name w:val="Заголовок 2 Знак2"/>
    <w:uiPriority w:val="1"/>
    <w:semiHidden/>
    <w:qFormat/>
    <w:pPr>
      <w:pBdr/>
      <w:spacing/>
      <w:ind/>
    </w:pPr>
    <w:rPr>
      <w:rFonts w:ascii="Cambria" w:hAnsi="Cambria" w:eastAsia="Times New Roman" w:cs="Times New Roman"/>
      <w:color w:val="365f91"/>
      <w:spacing w:val="-5"/>
      <w:sz w:val="26"/>
      <w:szCs w:val="26"/>
    </w:rPr>
  </w:style>
  <w:style w:type="character" w:styleId="10647" w:customStyle="1">
    <w:name w:val="Колонтитул + 8.5 pt"/>
    <w:qFormat/>
    <w:pPr>
      <w:pBdr/>
      <w:spacing/>
      <w:ind/>
    </w:pPr>
    <w:rPr>
      <w:rFonts w:ascii="Arial Unicode MS" w:hAnsi="Arial Unicode MS" w:eastAsia="Arial Unicode MS" w:cs="Arial Unicode MS"/>
      <w:b/>
      <w:bCs/>
      <w:i w:val="0"/>
      <w:iCs w:val="0"/>
      <w:caps w:val="0"/>
      <w:smallCaps w:val="0"/>
      <w:strike w:val="0"/>
      <w:color w:val="000000"/>
      <w:spacing w:val="0"/>
      <w:sz w:val="13"/>
      <w:szCs w:val="13"/>
      <w:u w:val="none"/>
      <w:shd w:val="clear" w:color="auto" w:fill="ffffff"/>
      <w:lang w:val="ru-RU"/>
    </w:rPr>
  </w:style>
  <w:style w:type="character" w:styleId="10648" w:customStyle="1">
    <w:name w:val="Колонтитул + Arial"/>
    <w:qFormat/>
    <w:pPr>
      <w:pBdr/>
      <w:spacing/>
      <w:ind/>
    </w:pPr>
    <w:rPr>
      <w:rFonts w:ascii="Arial" w:hAnsi="Arial" w:eastAsia="Arial" w:cs="Arial"/>
      <w:b/>
      <w:bCs/>
      <w:color w:val="000000"/>
      <w:spacing w:val="0"/>
      <w:sz w:val="17"/>
      <w:szCs w:val="17"/>
      <w:shd w:val="clear" w:color="auto" w:fill="ffffff"/>
      <w:lang w:val="ru-RU"/>
    </w:rPr>
  </w:style>
  <w:style w:type="character" w:styleId="10649" w:customStyle="1">
    <w:name w:val="Основной текст (3) + Tahoma"/>
    <w:qFormat/>
    <w:pPr>
      <w:pBdr/>
      <w:spacing/>
      <w:ind/>
    </w:pPr>
    <w:rPr>
      <w:rFonts w:ascii="Tahoma" w:hAnsi="Tahoma" w:eastAsia="Tahoma" w:cs="Tahoma"/>
      <w:b/>
      <w:bCs/>
      <w:i w:val="0"/>
      <w:iCs w:val="0"/>
      <w:caps w:val="0"/>
      <w:smallCaps w:val="0"/>
      <w:strike w:val="0"/>
      <w:color w:val="000000"/>
      <w:spacing w:val="0"/>
      <w:sz w:val="21"/>
      <w:szCs w:val="21"/>
      <w:u w:val="none"/>
      <w:shd w:val="clear" w:color="auto" w:fill="ffffff"/>
      <w:lang w:val="ru-RU"/>
    </w:rPr>
  </w:style>
  <w:style w:type="character" w:styleId="10650" w:customStyle="1">
    <w:name w:val="fontstyle01"/>
    <w:qFormat/>
    <w:pPr>
      <w:pBdr/>
      <w:spacing/>
      <w:ind/>
    </w:pPr>
    <w:rPr>
      <w:rFonts w:ascii="Times New Roman" w:hAnsi="Times New Roman" w:cs="Times New Roman"/>
      <w:b w:val="0"/>
      <w:bCs w:val="0"/>
      <w:i w:val="0"/>
      <w:iCs w:val="0"/>
      <w:color w:val="000000"/>
      <w:sz w:val="26"/>
      <w:szCs w:val="26"/>
    </w:rPr>
  </w:style>
  <w:style w:type="character" w:styleId="10651" w:customStyle="1">
    <w:name w:val="fontstyle21"/>
    <w:qFormat/>
    <w:pPr>
      <w:pBdr/>
      <w:spacing/>
      <w:ind/>
    </w:pPr>
    <w:rPr>
      <w:rFonts w:ascii="Times New Roman" w:hAnsi="Times New Roman" w:cs="Times New Roman"/>
      <w:b/>
      <w:bCs/>
      <w:i w:val="0"/>
      <w:iCs w:val="0"/>
      <w:color w:val="000000"/>
      <w:sz w:val="26"/>
      <w:szCs w:val="26"/>
    </w:rPr>
  </w:style>
  <w:style w:type="character" w:styleId="10652" w:customStyle="1">
    <w:name w:val="Заголовок №1_"/>
    <w:link w:val="11767"/>
    <w:qFormat/>
    <w:pPr>
      <w:pBdr/>
      <w:spacing/>
      <w:ind/>
    </w:pPr>
    <w:rPr>
      <w:sz w:val="23"/>
      <w:szCs w:val="23"/>
      <w:shd w:val="clear" w:color="auto" w:fill="ffffff"/>
    </w:rPr>
  </w:style>
  <w:style w:type="character" w:styleId="10653" w:customStyle="1">
    <w:name w:val="Заголовки рисунков / таблиц Знак"/>
    <w:link w:val="11768"/>
    <w:qFormat/>
    <w:pPr>
      <w:pBdr/>
      <w:spacing/>
      <w:ind/>
    </w:pPr>
    <w:rPr>
      <w:rFonts w:ascii="Arial" w:hAnsi="Arial" w:eastAsia="Times New Roman" w:cs="Times New Roman"/>
      <w:b/>
      <w:color w:val="365f91"/>
      <w:sz w:val="24"/>
      <w:lang w:eastAsia="en-US" w:bidi="en-US"/>
    </w:rPr>
  </w:style>
  <w:style w:type="character" w:styleId="10654" w:customStyle="1">
    <w:name w:val="_1.1.1.1. Знак"/>
    <w:link w:val="13653"/>
    <w:qFormat/>
    <w:pPr>
      <w:pBdr/>
      <w:spacing/>
      <w:ind/>
    </w:pPr>
    <w:rPr>
      <w:rFonts w:ascii="Times New Roman" w:hAnsi="Times New Roman" w:eastAsia="Times New Roman" w:cs="Times New Roman"/>
      <w:b/>
      <w:bCs/>
      <w:i/>
      <w:iCs/>
      <w:sz w:val="26"/>
      <w:szCs w:val="26"/>
    </w:rPr>
  </w:style>
  <w:style w:type="character" w:styleId="10655" w:customStyle="1">
    <w:name w:val="Основной текст (2) + 11 pt"/>
    <w:qFormat/>
    <w:pPr>
      <w:pBdr/>
      <w:spacing/>
      <w:ind/>
    </w:pPr>
    <w:rPr>
      <w:rFonts w:ascii="Times New Roman" w:hAnsi="Times New Roman" w:eastAsia="Times New Roman" w:cs="Times New Roman"/>
      <w:b w:val="0"/>
      <w:bCs w:val="0"/>
      <w:i w:val="0"/>
      <w:iCs w:val="0"/>
      <w:caps w:val="0"/>
      <w:smallCaps w:val="0"/>
      <w:strike w:val="0"/>
      <w:color w:val="000000"/>
      <w:spacing w:val="0"/>
      <w:sz w:val="22"/>
      <w:szCs w:val="22"/>
      <w:u w:val="none"/>
      <w:shd w:val="clear" w:color="auto" w:fill="ffffff"/>
      <w:lang w:val="ru-RU" w:eastAsia="ru-RU" w:bidi="ru-RU"/>
    </w:rPr>
  </w:style>
  <w:style w:type="character" w:styleId="10656" w:customStyle="1">
    <w:name w:val="Основной текст (2) + Verdana;8 pt"/>
    <w:qFormat/>
    <w:pPr>
      <w:pBdr/>
      <w:spacing/>
      <w:ind/>
    </w:pPr>
    <w:rPr>
      <w:rFonts w:ascii="Verdana" w:hAnsi="Verdana" w:eastAsia="Verdana" w:cs="Verdana"/>
      <w:b w:val="0"/>
      <w:bCs w:val="0"/>
      <w:i w:val="0"/>
      <w:iCs w:val="0"/>
      <w:caps w:val="0"/>
      <w:smallCaps w:val="0"/>
      <w:strike w:val="0"/>
      <w:color w:val="000000"/>
      <w:spacing w:val="0"/>
      <w:sz w:val="16"/>
      <w:szCs w:val="16"/>
      <w:u w:val="none"/>
      <w:shd w:val="clear" w:color="auto" w:fill="ffffff"/>
      <w:lang w:val="ru-RU" w:eastAsia="ru-RU" w:bidi="ru-RU"/>
    </w:rPr>
  </w:style>
  <w:style w:type="character" w:styleId="10657" w:customStyle="1">
    <w:name w:val="Основной текст (2) + 9;5 pt"/>
    <w:qFormat/>
    <w:pPr>
      <w:pBdr/>
      <w:spacing/>
      <w:ind/>
    </w:pPr>
    <w:rPr>
      <w:rFonts w:ascii="Times New Roman" w:hAnsi="Times New Roman" w:eastAsia="Times New Roman" w:cs="Times New Roman"/>
      <w:b w:val="0"/>
      <w:bCs w:val="0"/>
      <w:i w:val="0"/>
      <w:iCs w:val="0"/>
      <w:caps w:val="0"/>
      <w:smallCaps w:val="0"/>
      <w:strike w:val="0"/>
      <w:color w:val="000000"/>
      <w:spacing w:val="0"/>
      <w:sz w:val="19"/>
      <w:szCs w:val="19"/>
      <w:u w:val="none"/>
      <w:shd w:val="clear" w:color="auto" w:fill="ffffff"/>
      <w:lang w:val="ru-RU" w:eastAsia="ru-RU" w:bidi="ru-RU"/>
    </w:rPr>
  </w:style>
  <w:style w:type="character" w:styleId="10658" w:customStyle="1">
    <w:name w:val="Основной текст (2) + 9 pt;Полужирный"/>
    <w:qFormat/>
    <w:pPr>
      <w:pBdr/>
      <w:spacing/>
      <w:ind/>
    </w:pPr>
    <w:rPr>
      <w:rFonts w:ascii="Times New Roman" w:hAnsi="Times New Roman" w:eastAsia="Times New Roman" w:cs="Times New Roman"/>
      <w:b/>
      <w:bCs/>
      <w:i w:val="0"/>
      <w:iCs w:val="0"/>
      <w:caps w:val="0"/>
      <w:smallCaps w:val="0"/>
      <w:strike w:val="0"/>
      <w:color w:val="000000"/>
      <w:spacing w:val="0"/>
      <w:sz w:val="18"/>
      <w:szCs w:val="18"/>
      <w:u w:val="none"/>
      <w:shd w:val="clear" w:color="auto" w:fill="ffffff"/>
      <w:lang w:val="ru-RU" w:eastAsia="ru-RU" w:bidi="ru-RU"/>
    </w:rPr>
  </w:style>
  <w:style w:type="character" w:styleId="10659" w:customStyle="1">
    <w:name w:val="Основной текст (4) Exact"/>
    <w:qFormat/>
    <w:pPr>
      <w:pBdr/>
      <w:spacing/>
      <w:ind/>
    </w:pPr>
    <w:rPr>
      <w:rFonts w:ascii="Times New Roman" w:hAnsi="Times New Roman" w:eastAsia="Times New Roman" w:cs="Times New Roman"/>
      <w:b/>
      <w:bCs/>
      <w:i w:val="0"/>
      <w:iCs w:val="0"/>
      <w:caps w:val="0"/>
      <w:smallCaps w:val="0"/>
      <w:strike w:val="0"/>
      <w:sz w:val="18"/>
      <w:szCs w:val="18"/>
      <w:u w:val="none"/>
    </w:rPr>
  </w:style>
  <w:style w:type="character" w:styleId="10660" w:customStyle="1">
    <w:name w:val="Основной текст (5) Exact"/>
    <w:qFormat/>
    <w:pPr>
      <w:pBdr/>
      <w:spacing/>
      <w:ind/>
    </w:pPr>
    <w:rPr>
      <w:rFonts w:ascii="Times New Roman" w:hAnsi="Times New Roman" w:eastAsia="Times New Roman" w:cs="Times New Roman"/>
      <w:b/>
      <w:bCs/>
      <w:i w:val="0"/>
      <w:iCs w:val="0"/>
      <w:caps w:val="0"/>
      <w:smallCaps w:val="0"/>
      <w:strike w:val="0"/>
      <w:sz w:val="18"/>
      <w:szCs w:val="18"/>
      <w:u w:val="none"/>
    </w:rPr>
  </w:style>
  <w:style w:type="character" w:styleId="10661" w:customStyle="1">
    <w:name w:val="Оглавление Exact"/>
    <w:qFormat/>
    <w:pPr>
      <w:pBdr/>
      <w:spacing/>
      <w:ind/>
    </w:pPr>
    <w:rPr>
      <w:rFonts w:ascii="Times New Roman" w:hAnsi="Times New Roman" w:eastAsia="Times New Roman" w:cs="Times New Roman"/>
      <w:b/>
      <w:bCs/>
      <w:i w:val="0"/>
      <w:iCs w:val="0"/>
      <w:caps w:val="0"/>
      <w:smallCaps w:val="0"/>
      <w:strike w:val="0"/>
      <w:color w:val="000000"/>
      <w:spacing w:val="0"/>
      <w:sz w:val="18"/>
      <w:szCs w:val="18"/>
      <w:u w:val="none"/>
      <w:lang w:val="ru-RU" w:eastAsia="ru-RU" w:bidi="ru-RU"/>
    </w:rPr>
  </w:style>
  <w:style w:type="character" w:styleId="10662" w:customStyle="1">
    <w:name w:val="Основной текст (2) + 9 pt"/>
    <w:qFormat/>
    <w:pPr>
      <w:pBdr/>
      <w:spacing/>
      <w:ind/>
    </w:pPr>
    <w:rPr>
      <w:rFonts w:ascii="Times New Roman" w:hAnsi="Times New Roman" w:eastAsia="Times New Roman" w:cs="Times New Roman"/>
      <w:b w:val="0"/>
      <w:bCs w:val="0"/>
      <w:i w:val="0"/>
      <w:iCs w:val="0"/>
      <w:caps w:val="0"/>
      <w:smallCaps w:val="0"/>
      <w:strike w:val="0"/>
      <w:color w:val="000000"/>
      <w:spacing w:val="0"/>
      <w:sz w:val="18"/>
      <w:szCs w:val="18"/>
      <w:u w:val="none"/>
      <w:shd w:val="clear" w:color="auto" w:fill="ffffff"/>
      <w:lang w:val="ru-RU" w:eastAsia="ru-RU" w:bidi="ru-RU"/>
    </w:rPr>
  </w:style>
  <w:style w:type="character" w:styleId="10663" w:customStyle="1">
    <w:name w:val="Основной текст (2) + Полужирный"/>
    <w:qFormat/>
    <w:pPr>
      <w:pBdr/>
      <w:spacing/>
      <w:ind/>
    </w:pPr>
    <w:rPr>
      <w:rFonts w:ascii="Times New Roman" w:hAnsi="Times New Roman" w:eastAsia="Times New Roman" w:cs="Times New Roman"/>
      <w:b/>
      <w:bCs/>
      <w:i w:val="0"/>
      <w:iCs w:val="0"/>
      <w:caps w:val="0"/>
      <w:smallCaps w:val="0"/>
      <w:strike w:val="0"/>
      <w:color w:val="000000"/>
      <w:spacing w:val="0"/>
      <w:sz w:val="19"/>
      <w:szCs w:val="19"/>
      <w:u w:val="none"/>
      <w:shd w:val="clear" w:color="auto" w:fill="ffffff"/>
      <w:lang w:val="ru-RU" w:eastAsia="ru-RU" w:bidi="ru-RU"/>
    </w:rPr>
  </w:style>
  <w:style w:type="character" w:styleId="10664" w:customStyle="1">
    <w:name w:val="Основной текст (2) + Курсив"/>
    <w:qFormat/>
    <w:pPr>
      <w:pBdr/>
      <w:spacing/>
      <w:ind/>
    </w:pPr>
    <w:rPr>
      <w:rFonts w:ascii="Times New Roman" w:hAnsi="Times New Roman" w:eastAsia="Times New Roman" w:cs="Times New Roman"/>
      <w:b w:val="0"/>
      <w:bCs w:val="0"/>
      <w:i/>
      <w:iCs/>
      <w:caps w:val="0"/>
      <w:smallCaps w:val="0"/>
      <w:strike w:val="0"/>
      <w:color w:val="000000"/>
      <w:spacing w:val="0"/>
      <w:sz w:val="19"/>
      <w:szCs w:val="19"/>
      <w:u w:val="none"/>
      <w:shd w:val="clear" w:color="auto" w:fill="ffffff"/>
      <w:lang w:val="ru-RU" w:eastAsia="ru-RU" w:bidi="ru-RU"/>
    </w:rPr>
  </w:style>
  <w:style w:type="character" w:styleId="10665" w:customStyle="1">
    <w:name w:val="заголовок табл Знак1"/>
    <w:link w:val="12038"/>
    <w:qFormat/>
    <w:pPr>
      <w:pBdr/>
      <w:spacing/>
      <w:ind/>
    </w:pPr>
    <w:rPr>
      <w:rFonts w:ascii="Times New Roman" w:hAnsi="Times New Roman" w:eastAsia="Times New Roman" w:cs="Times New Roman"/>
      <w:b/>
      <w:bCs/>
      <w:sz w:val="24"/>
      <w:szCs w:val="24"/>
    </w:rPr>
  </w:style>
  <w:style w:type="character" w:styleId="10666" w:customStyle="1">
    <w:name w:val="Обычный 13 Знак"/>
    <w:qFormat/>
    <w:pPr>
      <w:pBdr/>
      <w:spacing/>
      <w:ind/>
    </w:pPr>
    <w:rPr>
      <w:rFonts w:ascii="Times New Roman" w:hAnsi="Times New Roman" w:cs="Times New Roman"/>
      <w:position w:val="0"/>
      <w:sz w:val="26"/>
      <w:szCs w:val="26"/>
      <w:vertAlign w:val="baseline"/>
    </w:rPr>
  </w:style>
  <w:style w:type="character" w:styleId="10667" w:customStyle="1">
    <w:name w:val="Обычный 13 Знак2"/>
    <w:qFormat/>
    <w:pPr>
      <w:pBdr/>
      <w:spacing/>
      <w:ind/>
    </w:pPr>
    <w:rPr>
      <w:sz w:val="26"/>
      <w:szCs w:val="26"/>
      <w:lang w:val="ru-RU" w:eastAsia="ru-RU"/>
    </w:rPr>
  </w:style>
  <w:style w:type="character" w:styleId="10668" w:customStyle="1">
    <w:name w:val="íîìåð ñòðàíèöû"/>
    <w:basedOn w:val="10543"/>
    <w:qFormat/>
    <w:pPr>
      <w:pBdr/>
      <w:spacing/>
      <w:ind/>
    </w:pPr>
  </w:style>
  <w:style w:type="character" w:styleId="10670" w:customStyle="1">
    <w:name w:val="Подрисуночная надпись Знак"/>
    <w:qFormat/>
    <w:pPr>
      <w:pBdr/>
      <w:spacing/>
      <w:ind/>
    </w:pPr>
    <w:rPr>
      <w:b/>
      <w:bCs/>
      <w:color w:val="000000"/>
      <w:sz w:val="24"/>
      <w:szCs w:val="24"/>
      <w:lang w:val="ru-RU" w:eastAsia="ru-RU"/>
    </w:rPr>
  </w:style>
  <w:style w:type="character" w:styleId="10671" w:customStyle="1">
    <w:name w:val="текст табл Знак"/>
    <w:qFormat/>
    <w:pPr>
      <w:pBdr/>
      <w:spacing/>
      <w:ind/>
    </w:pPr>
    <w:rPr>
      <w:sz w:val="24"/>
      <w:szCs w:val="24"/>
      <w:lang w:val="ru-RU" w:eastAsia="ru-RU"/>
    </w:rPr>
  </w:style>
  <w:style w:type="character" w:styleId="10672" w:customStyle="1">
    <w:name w:val="Основной текст Знак Знак"/>
    <w:qFormat/>
    <w:pPr>
      <w:pBdr/>
      <w:spacing/>
      <w:ind/>
    </w:pPr>
    <w:rPr>
      <w:sz w:val="28"/>
      <w:szCs w:val="28"/>
      <w:lang w:val="ru-RU" w:eastAsia="ru-RU"/>
    </w:rPr>
  </w:style>
  <w:style w:type="character" w:styleId="10673" w:customStyle="1">
    <w:name w:val="Стиль 14 pt"/>
    <w:qFormat/>
    <w:pPr>
      <w:pBdr/>
      <w:spacing/>
      <w:ind/>
    </w:pPr>
    <w:rPr>
      <w:rFonts w:ascii="Times New Roman" w:hAnsi="Times New Roman" w:cs="Times New Roman"/>
      <w:b/>
      <w:bCs/>
      <w:spacing w:val="0"/>
      <w:sz w:val="28"/>
      <w:szCs w:val="28"/>
    </w:rPr>
  </w:style>
  <w:style w:type="character" w:styleId="10674" w:customStyle="1">
    <w:name w:val="Обычный 13 Знак3 Знак Знак Знак1 Знак Знак1"/>
    <w:qFormat/>
    <w:pPr>
      <w:pBdr/>
      <w:spacing/>
      <w:ind/>
    </w:pPr>
    <w:rPr>
      <w:sz w:val="26"/>
      <w:szCs w:val="26"/>
      <w:lang w:val="ru-RU" w:eastAsia="ru-RU"/>
    </w:rPr>
  </w:style>
  <w:style w:type="character" w:styleId="10675" w:customStyle="1">
    <w:name w:val="Строгий1"/>
    <w:qFormat/>
    <w:pPr>
      <w:pBdr/>
      <w:spacing/>
      <w:ind/>
    </w:pPr>
    <w:rPr>
      <w:b/>
      <w:bCs/>
      <w:color w:val="auto"/>
      <w:sz w:val="24"/>
      <w:szCs w:val="24"/>
    </w:rPr>
  </w:style>
  <w:style w:type="character" w:styleId="10676" w:customStyle="1">
    <w:name w:val="Обычный 13 Знак4 Знак"/>
    <w:qFormat/>
    <w:pPr>
      <w:pBdr/>
      <w:spacing/>
      <w:ind/>
    </w:pPr>
    <w:rPr>
      <w:b/>
      <w:bCs/>
      <w:sz w:val="26"/>
      <w:szCs w:val="26"/>
      <w:lang w:val="ru-RU" w:eastAsia="ru-RU"/>
    </w:rPr>
  </w:style>
  <w:style w:type="character" w:styleId="10677" w:customStyle="1">
    <w:name w:val="Обычный 13 Знак3 Знак Знак Знак"/>
    <w:qFormat/>
    <w:pPr>
      <w:pBdr/>
      <w:spacing/>
      <w:ind/>
    </w:pPr>
    <w:rPr>
      <w:sz w:val="26"/>
      <w:szCs w:val="26"/>
      <w:lang w:val="ru-RU" w:eastAsia="ru-RU"/>
    </w:rPr>
  </w:style>
  <w:style w:type="character" w:styleId="10678" w:customStyle="1">
    <w:name w:val="Обычный 13 Знак4 Знак Знак"/>
    <w:qFormat/>
    <w:pPr>
      <w:pBdr/>
      <w:spacing/>
      <w:ind/>
    </w:pPr>
    <w:rPr>
      <w:b/>
      <w:bCs/>
      <w:sz w:val="26"/>
      <w:szCs w:val="26"/>
      <w:lang w:val="ru-RU" w:eastAsia="ru-RU"/>
    </w:rPr>
  </w:style>
  <w:style w:type="character" w:styleId="10679" w:customStyle="1">
    <w:name w:val="Обычный 13 Знак3 Знак Знак1"/>
    <w:qFormat/>
    <w:pPr>
      <w:pBdr/>
      <w:spacing/>
      <w:ind/>
    </w:pPr>
    <w:rPr>
      <w:sz w:val="26"/>
      <w:szCs w:val="26"/>
      <w:lang w:val="ru-RU" w:eastAsia="ru-RU"/>
    </w:rPr>
  </w:style>
  <w:style w:type="character" w:styleId="10680" w:customStyle="1">
    <w:name w:val="Обычный 13 Знак3 Знак Знак Знак1 Знак Знак"/>
    <w:qFormat/>
    <w:pPr>
      <w:pBdr/>
      <w:spacing/>
      <w:ind/>
    </w:pPr>
    <w:rPr>
      <w:sz w:val="26"/>
      <w:szCs w:val="26"/>
      <w:lang w:val="ru-RU" w:eastAsia="ru-RU"/>
    </w:rPr>
  </w:style>
  <w:style w:type="character" w:styleId="10681" w:customStyle="1">
    <w:name w:val="Обычный 13 Знак3 Знак"/>
    <w:qFormat/>
    <w:pPr>
      <w:pBdr/>
      <w:spacing/>
      <w:ind/>
    </w:pPr>
    <w:rPr>
      <w:sz w:val="26"/>
      <w:szCs w:val="26"/>
      <w:lang w:val="ru-RU" w:eastAsia="ru-RU"/>
    </w:rPr>
  </w:style>
  <w:style w:type="character" w:styleId="10682" w:customStyle="1">
    <w:name w:val="Основной текст 2 Знак1"/>
    <w:qFormat/>
    <w:pPr>
      <w:pBdr/>
      <w:spacing/>
      <w:ind/>
    </w:pPr>
    <w:rPr>
      <w:rFonts w:ascii="Times New Roman" w:hAnsi="Times New Roman" w:eastAsia="Times New Roman"/>
      <w:b/>
      <w:sz w:val="24"/>
    </w:rPr>
  </w:style>
  <w:style w:type="character" w:styleId="10683" w:customStyle="1">
    <w:name w:val="подпись рисунка Знак"/>
    <w:qFormat/>
    <w:pPr>
      <w:pBdr/>
      <w:spacing/>
      <w:ind/>
    </w:pPr>
    <w:rPr>
      <w:b/>
      <w:sz w:val="24"/>
      <w:lang w:val="ru-RU" w:eastAsia="ru-RU" w:bidi="ar-SA"/>
    </w:rPr>
  </w:style>
  <w:style w:type="character" w:styleId="10684" w:customStyle="1">
    <w:name w:val="Подрисуночная надпись Знак Знак"/>
    <w:link w:val="12044"/>
    <w:qFormat/>
    <w:pPr>
      <w:pBdr/>
      <w:spacing/>
      <w:ind/>
    </w:pPr>
    <w:rPr>
      <w:rFonts w:ascii="Times New Roman" w:hAnsi="Times New Roman" w:eastAsia="Times New Roman" w:cs="Times New Roman"/>
      <w:b/>
      <w:bCs/>
      <w:sz w:val="24"/>
      <w:szCs w:val="24"/>
    </w:rPr>
  </w:style>
  <w:style w:type="character" w:styleId="10685" w:customStyle="1">
    <w:name w:val="Текст-2 Знак"/>
    <w:link w:val="13633"/>
    <w:qFormat/>
    <w:pPr>
      <w:pBdr/>
      <w:spacing/>
      <w:ind/>
    </w:pPr>
    <w:rPr>
      <w:rFonts w:ascii="Times New Roman CYR" w:hAnsi="Times New Roman CYR" w:eastAsia="Times New Roman" w:cs="Times New Roman CYR"/>
      <w:sz w:val="26"/>
      <w:szCs w:val="26"/>
    </w:rPr>
  </w:style>
  <w:style w:type="character" w:styleId="10686" w:customStyle="1">
    <w:name w:val="НПС Знак"/>
    <w:link w:val="12094"/>
    <w:qFormat/>
    <w:pPr>
      <w:pBdr/>
      <w:spacing/>
      <w:ind/>
    </w:pPr>
    <w:rPr>
      <w:rFonts w:ascii="Times New Roman" w:hAnsi="Times New Roman" w:eastAsia="Times New Roman" w:cs="Times New Roman"/>
      <w:sz w:val="24"/>
      <w:szCs w:val="24"/>
    </w:rPr>
  </w:style>
  <w:style w:type="character" w:styleId="10687" w:customStyle="1">
    <w:name w:val="Таблица 1 Знак"/>
    <w:link w:val="14085"/>
    <w:qFormat/>
    <w:pPr>
      <w:pBdr/>
      <w:spacing/>
      <w:ind/>
    </w:pPr>
    <w:rPr>
      <w:rFonts w:ascii="Times New Roman" w:hAnsi="Times New Roman" w:eastAsia="Times New Roman" w:cs="Times New Roman"/>
      <w:color w:val="000000"/>
      <w:sz w:val="20"/>
      <w:szCs w:val="20"/>
    </w:rPr>
  </w:style>
  <w:style w:type="character" w:styleId="10688" w:customStyle="1">
    <w:name w:val="Текст - 1 Знак"/>
    <w:qFormat/>
    <w:pPr>
      <w:pBdr/>
      <w:spacing/>
      <w:ind/>
    </w:pPr>
    <w:rPr>
      <w:rFonts w:ascii="Times New Roman CYR" w:hAnsi="Times New Roman CYR" w:cs="Times New Roman CYR"/>
      <w:sz w:val="26"/>
      <w:szCs w:val="26"/>
      <w:lang w:val="ru-RU" w:eastAsia="ru-RU"/>
    </w:rPr>
  </w:style>
  <w:style w:type="character" w:styleId="10690" w:customStyle="1">
    <w:name w:val="Подрисуночная надпись Знак1"/>
    <w:qFormat/>
    <w:pPr>
      <w:pBdr/>
      <w:spacing/>
      <w:ind/>
    </w:pPr>
    <w:rPr>
      <w:b/>
      <w:sz w:val="24"/>
    </w:rPr>
  </w:style>
  <w:style w:type="character" w:styleId="10691" w:customStyle="1">
    <w:name w:val="Заголовок рис. Знак"/>
    <w:link w:val="12100"/>
    <w:qFormat/>
    <w:pPr>
      <w:pBdr/>
      <w:spacing/>
      <w:ind/>
    </w:pPr>
    <w:rPr>
      <w:rFonts w:ascii="Times New Roman" w:hAnsi="Times New Roman" w:eastAsia="Times New Roman" w:cs="Times New Roman"/>
      <w:b/>
      <w:sz w:val="24"/>
      <w:szCs w:val="20"/>
    </w:rPr>
  </w:style>
  <w:style w:type="character" w:styleId="10694" w:customStyle="1">
    <w:name w:val="Рис-1 Знак"/>
    <w:link w:val="12102"/>
    <w:qFormat/>
    <w:pPr>
      <w:pBdr/>
      <w:spacing/>
      <w:ind/>
    </w:pPr>
    <w:rPr>
      <w:rFonts w:ascii="Times New Roman" w:hAnsi="Times New Roman" w:eastAsia="Times New Roman" w:cs="Times New Roman"/>
      <w:b/>
      <w:bCs/>
      <w:sz w:val="24"/>
      <w:szCs w:val="24"/>
    </w:rPr>
  </w:style>
  <w:style w:type="character" w:styleId="10695" w:customStyle="1">
    <w:name w:val="Табл-1 Знак"/>
    <w:link w:val="13570"/>
    <w:qFormat/>
    <w:pPr>
      <w:pBdr/>
      <w:spacing/>
      <w:ind/>
    </w:pPr>
    <w:rPr>
      <w:rFonts w:ascii="Times New Roman" w:hAnsi="Times New Roman" w:eastAsia="Times New Roman" w:cs="Times New Roman"/>
      <w:b/>
      <w:bCs/>
      <w:sz w:val="24"/>
      <w:szCs w:val="24"/>
    </w:rPr>
  </w:style>
  <w:style w:type="character" w:styleId="10696" w:customStyle="1">
    <w:name w:val="Таблица-1 Знак"/>
    <w:link w:val="12104"/>
    <w:qFormat/>
    <w:pPr>
      <w:pBdr/>
      <w:spacing/>
      <w:ind/>
    </w:pPr>
    <w:rPr>
      <w:rFonts w:ascii="Times New Roman" w:hAnsi="Times New Roman" w:eastAsia="Times New Roman" w:cs="Times New Roman"/>
      <w:color w:val="000000"/>
      <w:sz w:val="20"/>
      <w:szCs w:val="20"/>
    </w:rPr>
  </w:style>
  <w:style w:type="character" w:styleId="10697" w:customStyle="1">
    <w:name w:val="Заголовок 2;Заголовок 2 Знак1;Заголовок 2 Знак Знак;Знак1 Знак Знак;Знак1 Знак1"/>
    <w:qFormat/>
    <w:pPr>
      <w:pBdr/>
      <w:spacing/>
      <w:ind/>
    </w:pPr>
    <w:rPr>
      <w:b/>
      <w:bCs/>
      <w:sz w:val="24"/>
      <w:szCs w:val="26"/>
      <w:lang w:val="ru-RU" w:eastAsia="ru-RU" w:bidi="ar-SA"/>
    </w:rPr>
  </w:style>
  <w:style w:type="character" w:styleId="10698" w:customStyle="1">
    <w:name w:val="заголовок табл Знак Знак"/>
    <w:qFormat/>
    <w:pPr>
      <w:pBdr/>
      <w:spacing/>
      <w:ind/>
    </w:pPr>
    <w:rPr>
      <w:b/>
      <w:bCs/>
      <w:sz w:val="24"/>
      <w:szCs w:val="24"/>
      <w:lang w:val="ru-RU" w:eastAsia="ru-RU" w:bidi="ar-SA"/>
    </w:rPr>
  </w:style>
  <w:style w:type="character" w:styleId="10699" w:customStyle="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qFormat/>
    <w:pPr>
      <w:pBdr/>
      <w:spacing/>
      <w:ind/>
    </w:pPr>
    <w:rPr>
      <w:b/>
      <w:bCs/>
      <w:sz w:val="26"/>
      <w:szCs w:val="26"/>
      <w:lang w:val="ru-RU" w:eastAsia="ru-RU" w:bidi="ar-SA"/>
    </w:rPr>
  </w:style>
  <w:style w:type="character" w:styleId="10700" w:customStyle="1">
    <w:name w:val="Заголовок табл. Знак"/>
    <w:link w:val="12107"/>
    <w:qFormat/>
    <w:pPr>
      <w:pBdr/>
      <w:spacing/>
      <w:ind/>
    </w:pPr>
    <w:rPr>
      <w:rFonts w:ascii="Times New Roman" w:hAnsi="Times New Roman" w:eastAsia="Times New Roman" w:cs="Times New Roman"/>
      <w:b/>
      <w:sz w:val="24"/>
      <w:szCs w:val="24"/>
    </w:rPr>
  </w:style>
  <w:style w:type="character" w:styleId="10701" w:customStyle="1">
    <w:name w:val="заголовок таблицы Знак Знак"/>
    <w:qFormat/>
    <w:pPr>
      <w:pBdr/>
      <w:spacing/>
      <w:ind/>
    </w:pPr>
    <w:rPr>
      <w:b/>
      <w:sz w:val="24"/>
    </w:rPr>
  </w:style>
  <w:style w:type="character" w:styleId="10702" w:customStyle="1">
    <w:name w:val="Заголовок 1 Знак1"/>
    <w:uiPriority w:val="1"/>
    <w:qFormat/>
    <w:pPr>
      <w:pBdr/>
      <w:spacing/>
      <w:ind/>
    </w:pPr>
    <w:rPr>
      <w:b/>
      <w:bCs/>
      <w:caps/>
      <w:sz w:val="26"/>
      <w:szCs w:val="26"/>
    </w:rPr>
  </w:style>
  <w:style w:type="character" w:styleId="10703" w:customStyle="1">
    <w:name w:val="заголовок табл Знак"/>
    <w:qFormat/>
    <w:pPr>
      <w:pBdr/>
      <w:spacing/>
      <w:ind/>
    </w:pPr>
    <w:rPr>
      <w:b/>
      <w:bCs/>
      <w:sz w:val="24"/>
      <w:szCs w:val="24"/>
      <w:lang w:val="ru-RU" w:eastAsia="ru-RU" w:bidi="ar-SA"/>
    </w:rPr>
  </w:style>
  <w:style w:type="character" w:styleId="10704" w:customStyle="1">
    <w:name w:val="Знак Знак9"/>
    <w:qFormat/>
    <w:pPr>
      <w:pBdr/>
      <w:spacing/>
      <w:ind/>
    </w:pPr>
    <w:rPr>
      <w:lang w:val="ru-RU" w:eastAsia="ru-RU" w:bidi="ar-SA"/>
    </w:rPr>
  </w:style>
  <w:style w:type="character" w:styleId="10705" w:customStyle="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qFormat/>
    <w:pPr>
      <w:pBdr/>
      <w:spacing/>
      <w:ind/>
    </w:pPr>
    <w:rPr>
      <w:b/>
      <w:sz w:val="24"/>
      <w:szCs w:val="24"/>
      <w:lang w:val="ru-RU" w:eastAsia="ru-RU" w:bidi="ar-SA"/>
    </w:rPr>
  </w:style>
  <w:style w:type="character" w:styleId="10706" w:customStyle="1">
    <w:name w:val="Рис.1 Подрисуночная надпись Знак"/>
    <w:qFormat/>
    <w:pPr>
      <w:pBdr/>
      <w:spacing/>
      <w:ind/>
    </w:pPr>
    <w:rPr>
      <w:rFonts w:ascii="Times New Roman" w:hAnsi="Times New Roman"/>
      <w:b/>
      <w:bCs/>
      <w:iCs/>
      <w:sz w:val="24"/>
      <w:szCs w:val="24"/>
      <w:lang w:val="ru-RU" w:eastAsia="ru-RU" w:bidi="ar-SA"/>
    </w:rPr>
  </w:style>
  <w:style w:type="character" w:styleId="10707" w:customStyle="1">
    <w:name w:val="Заголовок 2;Заголовок 2 Знак1;Заголовок 2 Знак Знак;Знак1 Знак Знак;Знак1 Знак11"/>
    <w:qFormat/>
    <w:pPr>
      <w:pBdr/>
      <w:spacing/>
      <w:ind/>
    </w:pPr>
    <w:rPr>
      <w:b/>
      <w:bCs/>
      <w:sz w:val="24"/>
      <w:szCs w:val="26"/>
      <w:lang w:val="ru-RU" w:eastAsia="ru-RU" w:bidi="ar-SA"/>
    </w:rPr>
  </w:style>
  <w:style w:type="character" w:styleId="10708" w:customStyle="1">
    <w:name w:val="Font Style11"/>
    <w:qFormat/>
    <w:pPr>
      <w:pBdr/>
      <w:spacing/>
      <w:ind/>
    </w:pPr>
    <w:rPr>
      <w:rFonts w:ascii="Century Schoolbook" w:hAnsi="Century Schoolbook" w:cs="Century Schoolbook"/>
      <w:color w:val="000000"/>
      <w:sz w:val="22"/>
      <w:szCs w:val="22"/>
    </w:rPr>
  </w:style>
  <w:style w:type="character" w:styleId="10710" w:customStyle="1">
    <w:name w:val="1. Заголовок Знак"/>
    <w:link w:val="12123"/>
    <w:qFormat/>
    <w:pPr>
      <w:pBdr/>
      <w:spacing/>
      <w:ind/>
    </w:pPr>
    <w:rPr>
      <w:rFonts w:ascii="Times New Roman" w:hAnsi="Times New Roman" w:eastAsia="Times New Roman" w:cs="Times New Roman"/>
      <w:b/>
      <w:caps/>
      <w:sz w:val="28"/>
      <w:szCs w:val="26"/>
      <w:lang w:eastAsia="en-US"/>
    </w:rPr>
  </w:style>
  <w:style w:type="character" w:styleId="10712" w:customStyle="1">
    <w:name w:val="отчетный Знак"/>
    <w:link w:val="12124"/>
    <w:qFormat/>
    <w:pPr>
      <w:pBdr/>
      <w:spacing/>
      <w:ind/>
    </w:pPr>
    <w:rPr>
      <w:rFonts w:ascii="Times New Roman CYR" w:hAnsi="Times New Roman CYR" w:eastAsia="Times New Roman" w:cs="Times New Roman"/>
      <w:sz w:val="26"/>
      <w:szCs w:val="26"/>
      <w:lang w:eastAsia="en-US"/>
    </w:rPr>
  </w:style>
  <w:style w:type="character" w:styleId="10713" w:customStyle="1">
    <w:name w:val="z-Начало формы Знак"/>
    <w:basedOn w:val="10543"/>
    <w:link w:val="12125"/>
    <w:uiPriority w:val="99"/>
    <w:qFormat/>
    <w:pPr>
      <w:pBdr/>
      <w:spacing/>
      <w:ind/>
    </w:pPr>
    <w:rPr>
      <w:rFonts w:ascii="Arial" w:hAnsi="Arial" w:eastAsia="Times New Roman" w:cs="Arial"/>
      <w:vanish/>
      <w:sz w:val="16"/>
      <w:szCs w:val="16"/>
    </w:rPr>
  </w:style>
  <w:style w:type="character" w:styleId="10714" w:customStyle="1">
    <w:name w:val="z-Конец формы Знак"/>
    <w:basedOn w:val="10543"/>
    <w:link w:val="12126"/>
    <w:uiPriority w:val="99"/>
    <w:qFormat/>
    <w:pPr>
      <w:pBdr/>
      <w:spacing/>
      <w:ind/>
    </w:pPr>
    <w:rPr>
      <w:rFonts w:ascii="Arial" w:hAnsi="Arial" w:eastAsia="Times New Roman" w:cs="Arial"/>
      <w:vanish/>
      <w:sz w:val="16"/>
      <w:szCs w:val="16"/>
    </w:rPr>
  </w:style>
  <w:style w:type="character" w:styleId="10715" w:customStyle="1">
    <w:name w:val="Основной текст (2) + 9 pt;Малые прописные"/>
    <w:qFormat/>
    <w:pPr>
      <w:pBdr/>
      <w:spacing/>
      <w:ind/>
    </w:pPr>
    <w:rPr>
      <w:rFonts w:ascii="Times New Roman" w:hAnsi="Times New Roman" w:eastAsia="Times New Roman" w:cs="Times New Roman"/>
      <w:b w:val="0"/>
      <w:bCs w:val="0"/>
      <w:i w:val="0"/>
      <w:iCs w:val="0"/>
      <w:smallCaps/>
      <w:strike w:val="0"/>
      <w:color w:val="000000"/>
      <w:spacing w:val="0"/>
      <w:sz w:val="18"/>
      <w:szCs w:val="18"/>
      <w:u w:val="none"/>
      <w:shd w:val="clear" w:color="auto" w:fill="ffffff"/>
      <w:lang w:val="ru-RU" w:eastAsia="ru-RU" w:bidi="ru-RU"/>
    </w:rPr>
  </w:style>
  <w:style w:type="character" w:styleId="10716" w:customStyle="1">
    <w:name w:val="Основной текст (2) + 11 pt;Полужирный"/>
    <w:qFormat/>
    <w:pPr>
      <w:pBdr/>
      <w:spacing/>
      <w:ind/>
    </w:pPr>
    <w:rPr>
      <w:rFonts w:ascii="Times New Roman" w:hAnsi="Times New Roman" w:eastAsia="Times New Roman" w:cs="Times New Roman"/>
      <w:b/>
      <w:bCs/>
      <w:i w:val="0"/>
      <w:iCs w:val="0"/>
      <w:caps w:val="0"/>
      <w:smallCaps w:val="0"/>
      <w:strike w:val="0"/>
      <w:color w:val="000000"/>
      <w:spacing w:val="0"/>
      <w:sz w:val="22"/>
      <w:szCs w:val="22"/>
      <w:u w:val="none"/>
      <w:shd w:val="clear" w:color="auto" w:fill="ffffff"/>
      <w:lang w:val="ru-RU" w:eastAsia="ru-RU" w:bidi="ru-RU"/>
    </w:rPr>
  </w:style>
  <w:style w:type="character" w:styleId="10717" w:customStyle="1">
    <w:name w:val="Основной текст (2) + 11;5 pt"/>
    <w:qFormat/>
    <w:pPr>
      <w:pBdr/>
      <w:spacing/>
      <w:ind/>
    </w:pPr>
    <w:rPr>
      <w:rFonts w:ascii="Times New Roman" w:hAnsi="Times New Roman" w:eastAsia="Times New Roman" w:cs="Times New Roman"/>
      <w:b w:val="0"/>
      <w:bCs w:val="0"/>
      <w:i w:val="0"/>
      <w:iCs w:val="0"/>
      <w:caps w:val="0"/>
      <w:smallCaps w:val="0"/>
      <w:strike w:val="0"/>
      <w:color w:val="000000"/>
      <w:spacing w:val="0"/>
      <w:sz w:val="23"/>
      <w:szCs w:val="23"/>
      <w:u w:val="none"/>
      <w:shd w:val="clear" w:color="auto" w:fill="ffffff"/>
      <w:lang w:val="ru-RU" w:eastAsia="ru-RU" w:bidi="ru-RU"/>
    </w:rPr>
  </w:style>
  <w:style w:type="character" w:styleId="10718" w:customStyle="1">
    <w:name w:val="Основной текст (16) + Курсив;Интервал 0 pt"/>
    <w:qFormat/>
    <w:pPr>
      <w:pBdr/>
      <w:spacing/>
      <w:ind/>
    </w:pPr>
    <w:rPr>
      <w:rFonts w:ascii="Times New Roman" w:hAnsi="Times New Roman" w:eastAsia="Times New Roman" w:cs="Times New Roman"/>
      <w:b w:val="0"/>
      <w:bCs w:val="0"/>
      <w:i/>
      <w:iCs/>
      <w:caps w:val="0"/>
      <w:smallCaps w:val="0"/>
      <w:strike w:val="0"/>
      <w:color w:val="000000"/>
      <w:spacing w:val="-10"/>
      <w:sz w:val="17"/>
      <w:szCs w:val="17"/>
      <w:u w:val="none"/>
      <w:lang w:val="ru-RU" w:eastAsia="ru-RU" w:bidi="ru-RU"/>
    </w:rPr>
  </w:style>
  <w:style w:type="character" w:styleId="10719" w:customStyle="1">
    <w:name w:val="Основной текст (2) + 8 pt"/>
    <w:qFormat/>
    <w:pPr>
      <w:pBdr/>
      <w:spacing/>
      <w:ind/>
    </w:pPr>
    <w:rPr>
      <w:rFonts w:ascii="Times New Roman" w:hAnsi="Times New Roman" w:eastAsia="Times New Roman" w:cs="Times New Roman"/>
      <w:b w:val="0"/>
      <w:bCs w:val="0"/>
      <w:i w:val="0"/>
      <w:iCs w:val="0"/>
      <w:caps w:val="0"/>
      <w:smallCaps w:val="0"/>
      <w:strike w:val="0"/>
      <w:color w:val="000000"/>
      <w:spacing w:val="0"/>
      <w:sz w:val="16"/>
      <w:szCs w:val="16"/>
      <w:u w:val="none"/>
      <w:shd w:val="clear" w:color="auto" w:fill="ffffff"/>
      <w:lang w:val="ru-RU" w:eastAsia="ru-RU" w:bidi="ru-RU"/>
    </w:rPr>
  </w:style>
  <w:style w:type="character" w:styleId="10720" w:customStyle="1">
    <w:name w:val="Основной текст (7)_"/>
    <w:link w:val="12169"/>
    <w:qFormat/>
    <w:pPr>
      <w:pBdr/>
      <w:spacing/>
      <w:ind/>
    </w:pPr>
    <w:rPr>
      <w:b/>
      <w:bCs/>
      <w:shd w:val="clear" w:color="auto" w:fill="ffffff"/>
    </w:rPr>
  </w:style>
  <w:style w:type="character" w:styleId="10721" w:customStyle="1">
    <w:name w:val="Подпись к картинке (28)_"/>
    <w:link w:val="14355"/>
    <w:qFormat/>
    <w:pPr>
      <w:pBdr/>
      <w:spacing/>
      <w:ind/>
    </w:pPr>
    <w:rPr>
      <w:b/>
      <w:bCs/>
      <w:shd w:val="clear" w:color="auto" w:fill="ffffff"/>
    </w:rPr>
  </w:style>
  <w:style w:type="character" w:styleId="10722" w:customStyle="1">
    <w:name w:val="Основной текст (7) + Candara;13 pt;Не полужирный;Интервал -2 pt"/>
    <w:qFormat/>
    <w:pPr>
      <w:pBdr/>
      <w:spacing/>
      <w:ind/>
    </w:pPr>
    <w:rPr>
      <w:rFonts w:ascii="Candara" w:hAnsi="Candara" w:eastAsia="Candara" w:cs="Candara"/>
      <w:b/>
      <w:bCs/>
      <w:i w:val="0"/>
      <w:iCs w:val="0"/>
      <w:caps w:val="0"/>
      <w:smallCaps w:val="0"/>
      <w:strike w:val="0"/>
      <w:color w:val="000000"/>
      <w:spacing w:val="-50"/>
      <w:sz w:val="26"/>
      <w:szCs w:val="26"/>
      <w:u w:val="none"/>
      <w:shd w:val="clear" w:color="auto" w:fill="ffffff"/>
      <w:lang w:val="ru-RU" w:eastAsia="ru-RU" w:bidi="ru-RU"/>
    </w:rPr>
  </w:style>
  <w:style w:type="character" w:styleId="10723" w:customStyle="1">
    <w:name w:val="Колонтитул + 13 pt"/>
    <w:qFormat/>
    <w:pPr>
      <w:pBdr/>
      <w:spacing/>
      <w:ind/>
    </w:pPr>
    <w:rPr>
      <w:color w:val="000000"/>
      <w:spacing w:val="0"/>
      <w:sz w:val="26"/>
      <w:szCs w:val="26"/>
      <w:shd w:val="clear" w:color="auto" w:fill="ffffff"/>
      <w:lang w:val="ru-RU" w:eastAsia="ru-RU" w:bidi="ru-RU"/>
    </w:rPr>
  </w:style>
  <w:style w:type="character" w:styleId="10724" w:customStyle="1">
    <w:name w:val="Основной текст (6)_"/>
    <w:link w:val="13713"/>
    <w:qFormat/>
    <w:pPr>
      <w:pBdr/>
      <w:spacing/>
      <w:ind/>
    </w:pPr>
    <w:rPr>
      <w:b/>
      <w:bCs/>
      <w:sz w:val="28"/>
      <w:szCs w:val="28"/>
      <w:shd w:val="clear" w:color="auto" w:fill="ffffff"/>
    </w:rPr>
  </w:style>
  <w:style w:type="character" w:styleId="10725" w:customStyle="1">
    <w:name w:val="Основной текст (2) + 11;5 pt;Интервал 0 pt"/>
    <w:qFormat/>
    <w:pPr>
      <w:pBdr/>
      <w:spacing/>
      <w:ind/>
    </w:pPr>
    <w:rPr>
      <w:rFonts w:ascii="Times New Roman" w:hAnsi="Times New Roman" w:eastAsia="Times New Roman" w:cs="Times New Roman"/>
      <w:b w:val="0"/>
      <w:bCs w:val="0"/>
      <w:i w:val="0"/>
      <w:iCs w:val="0"/>
      <w:caps w:val="0"/>
      <w:smallCaps w:val="0"/>
      <w:strike w:val="0"/>
      <w:color w:val="000000"/>
      <w:spacing w:val="-10"/>
      <w:sz w:val="23"/>
      <w:szCs w:val="23"/>
      <w:u w:val="none"/>
      <w:shd w:val="clear" w:color="auto" w:fill="ffffff"/>
      <w:lang w:val="ru-RU" w:eastAsia="ru-RU" w:bidi="ru-RU"/>
    </w:rPr>
  </w:style>
  <w:style w:type="character" w:styleId="10726" w:customStyle="1">
    <w:name w:val="Основной текст (2) Exact"/>
    <w:qFormat/>
    <w:pPr>
      <w:pBdr/>
      <w:spacing/>
      <w:ind/>
    </w:pPr>
    <w:rPr>
      <w:rFonts w:ascii="Times New Roman" w:hAnsi="Times New Roman" w:eastAsia="Times New Roman" w:cs="Times New Roman"/>
      <w:b w:val="0"/>
      <w:bCs w:val="0"/>
      <w:i w:val="0"/>
      <w:iCs w:val="0"/>
      <w:caps w:val="0"/>
      <w:smallCaps w:val="0"/>
      <w:strike w:val="0"/>
      <w:sz w:val="28"/>
      <w:szCs w:val="28"/>
      <w:u w:val="none"/>
    </w:rPr>
  </w:style>
  <w:style w:type="character" w:styleId="10727" w:customStyle="1">
    <w:name w:val="Основной текст (2) + 11;5 pt1"/>
    <w:qFormat/>
    <w:pPr>
      <w:pBdr/>
      <w:spacing/>
      <w:ind/>
    </w:pPr>
    <w:rPr>
      <w:rFonts w:ascii="Times New Roman" w:hAnsi="Times New Roman" w:eastAsia="Times New Roman" w:cs="Times New Roman"/>
      <w:b w:val="0"/>
      <w:bCs w:val="0"/>
      <w:i w:val="0"/>
      <w:iCs w:val="0"/>
      <w:caps w:val="0"/>
      <w:smallCaps w:val="0"/>
      <w:strike w:val="0"/>
      <w:color w:val="000000"/>
      <w:spacing w:val="0"/>
      <w:sz w:val="23"/>
      <w:szCs w:val="23"/>
      <w:u w:val="none"/>
      <w:shd w:val="clear" w:color="auto" w:fill="ffffff"/>
      <w:lang w:val="ru-RU" w:eastAsia="ru-RU" w:bidi="ru-RU"/>
    </w:rPr>
  </w:style>
  <w:style w:type="character" w:styleId="10729" w:customStyle="1">
    <w:name w:val="_Обычный Знак"/>
    <w:link w:val="12279"/>
    <w:qFormat/>
    <w:pPr>
      <w:pBdr/>
      <w:spacing/>
      <w:ind/>
    </w:pPr>
    <w:rPr>
      <w:rFonts w:ascii="Calibri" w:hAnsi="Calibri" w:eastAsia="Calibri" w:cs="Calibri"/>
      <w:sz w:val="26"/>
      <w:szCs w:val="26"/>
      <w:lang w:eastAsia="en-US"/>
    </w:rPr>
  </w:style>
  <w:style w:type="character" w:styleId="10730" w:customStyle="1">
    <w:name w:val="_Таблица Знак"/>
    <w:link w:val="12280"/>
    <w:uiPriority w:val="99"/>
    <w:qFormat/>
    <w:pPr>
      <w:pBdr/>
      <w:spacing/>
      <w:ind/>
    </w:pPr>
    <w:rPr>
      <w:rFonts w:ascii="Calibri" w:hAnsi="Calibri" w:eastAsia="Calibri" w:cs="Calibri"/>
      <w:b/>
      <w:bCs/>
      <w:sz w:val="26"/>
      <w:szCs w:val="26"/>
      <w:lang w:eastAsia="en-US"/>
    </w:rPr>
  </w:style>
  <w:style w:type="character" w:styleId="10731" w:customStyle="1">
    <w:name w:val="_Рисунок Знак"/>
    <w:link w:val="12281"/>
    <w:uiPriority w:val="99"/>
    <w:qFormat/>
    <w:pPr>
      <w:pBdr/>
      <w:spacing/>
      <w:ind/>
    </w:pPr>
    <w:rPr>
      <w:rFonts w:ascii="Calibri" w:hAnsi="Calibri" w:eastAsia="Calibri" w:cs="Calibri"/>
      <w:b/>
      <w:bCs/>
      <w:sz w:val="26"/>
      <w:szCs w:val="26"/>
    </w:rPr>
  </w:style>
  <w:style w:type="character" w:styleId="10732" w:customStyle="1">
    <w:name w:val="00_Обычный текст Знак"/>
    <w:link w:val="12282"/>
    <w:qFormat/>
    <w:pPr>
      <w:pBdr/>
      <w:spacing/>
      <w:ind/>
    </w:pPr>
    <w:rPr>
      <w:rFonts w:ascii="Times New Roman" w:hAnsi="Times New Roman" w:eastAsia="Times New Roman" w:cs="Times New Roman"/>
      <w:sz w:val="26"/>
      <w:szCs w:val="26"/>
      <w:lang w:eastAsia="en-US"/>
    </w:rPr>
  </w:style>
  <w:style w:type="character" w:styleId="10733" w:customStyle="1">
    <w:name w:val="1_1 Список ненумерной Знак"/>
    <w:link w:val="12283"/>
    <w:qFormat/>
    <w:pPr>
      <w:pBdr/>
      <w:spacing/>
      <w:ind/>
    </w:pPr>
    <w:rPr>
      <w:rFonts w:ascii="Times New Roman" w:hAnsi="Times New Roman" w:eastAsia="Times New Roman" w:cs="Times New Roman"/>
      <w:sz w:val="26"/>
      <w:szCs w:val="26"/>
      <w:lang w:eastAsia="en-US"/>
    </w:rPr>
  </w:style>
  <w:style w:type="character" w:styleId="10734" w:customStyle="1">
    <w:name w:val="ТЕКСТ Знак"/>
    <w:link w:val="12362"/>
    <w:qFormat/>
    <w:pPr>
      <w:pBdr/>
      <w:spacing/>
      <w:ind/>
    </w:pPr>
    <w:rPr>
      <w:rFonts w:ascii="Times New Roman" w:hAnsi="Times New Roman" w:eastAsia="Calibri" w:cs="Times New Roman"/>
      <w:sz w:val="24"/>
      <w:szCs w:val="24"/>
      <w:lang w:eastAsia="en-US"/>
    </w:rPr>
  </w:style>
  <w:style w:type="character" w:styleId="10735" w:customStyle="1">
    <w:name w:val="Мой 11 Знак"/>
    <w:link w:val="13751"/>
    <w:qFormat/>
    <w:pPr>
      <w:pBdr/>
      <w:spacing/>
      <w:ind/>
    </w:pPr>
    <w:rPr>
      <w:rFonts w:ascii="Times New Roman" w:hAnsi="Times New Roman" w:eastAsia="Calibri" w:cs="Times New Roman"/>
      <w:b/>
      <w:bCs/>
      <w:iCs/>
      <w:sz w:val="26"/>
      <w:szCs w:val="26"/>
      <w:lang w:eastAsia="en-US"/>
    </w:rPr>
  </w:style>
  <w:style w:type="character" w:styleId="10736" w:customStyle="1">
    <w:name w:val="Мой Таб Знак"/>
    <w:link w:val="12366"/>
    <w:qFormat/>
    <w:pPr>
      <w:pBdr/>
      <w:spacing/>
      <w:ind/>
    </w:pPr>
    <w:rPr>
      <w:rFonts w:ascii="Times New Roman" w:hAnsi="Times New Roman" w:eastAsia="Calibri" w:cs="Times New Roman"/>
      <w:b/>
      <w:sz w:val="24"/>
      <w:szCs w:val="24"/>
      <w:lang w:eastAsia="en-US"/>
    </w:rPr>
  </w:style>
  <w:style w:type="character" w:styleId="10737" w:customStyle="1">
    <w:name w:val="Стиль6 Знак"/>
    <w:link w:val="12367"/>
    <w:qFormat/>
    <w:pPr>
      <w:pBdr/>
      <w:spacing/>
      <w:ind/>
    </w:pPr>
    <w:rPr>
      <w:rFonts w:ascii="Times New Roman" w:hAnsi="Times New Roman" w:eastAsia="Calibri" w:cs="Times New Roman"/>
      <w:b/>
      <w:sz w:val="24"/>
      <w:szCs w:val="24"/>
      <w:lang w:eastAsia="en-US"/>
    </w:rPr>
  </w:style>
  <w:style w:type="character" w:styleId="10738" w:customStyle="1">
    <w:name w:val="Мой Рис. Знак"/>
    <w:link w:val="12368"/>
    <w:qFormat/>
    <w:pPr>
      <w:pBdr/>
      <w:spacing/>
      <w:ind/>
    </w:pPr>
    <w:rPr>
      <w:rFonts w:ascii="Times New Roman" w:hAnsi="Times New Roman" w:eastAsia="Calibri" w:cs="Times New Roman"/>
      <w:b/>
      <w:szCs w:val="24"/>
      <w:lang w:eastAsia="en-US"/>
    </w:rPr>
  </w:style>
  <w:style w:type="character" w:styleId="10739" w:customStyle="1">
    <w:name w:val="Рисунок картинка Знак"/>
    <w:link w:val="12369"/>
    <w:qFormat/>
    <w:pPr>
      <w:pBdr/>
      <w:spacing/>
      <w:ind/>
    </w:pPr>
    <w:rPr>
      <w:rFonts w:ascii="Times New Roman" w:hAnsi="Times New Roman" w:eastAsia="Calibri" w:cs="Times New Roman"/>
      <w:b/>
      <w:sz w:val="24"/>
      <w:szCs w:val="28"/>
    </w:rPr>
  </w:style>
  <w:style w:type="character" w:styleId="10740" w:customStyle="1">
    <w:name w:val="Мой без № Знак"/>
    <w:link w:val="12370"/>
    <w:qFormat/>
    <w:pPr>
      <w:pBdr/>
      <w:spacing/>
      <w:ind/>
    </w:pPr>
    <w:rPr>
      <w:rFonts w:ascii="Times New Roman" w:hAnsi="Times New Roman"/>
      <w:b/>
      <w:sz w:val="28"/>
      <w:szCs w:val="28"/>
    </w:rPr>
  </w:style>
  <w:style w:type="character" w:styleId="10741" w:customStyle="1">
    <w:name w:val="Мой текст книги Знак"/>
    <w:link w:val="12371"/>
    <w:qFormat/>
    <w:pPr>
      <w:pBdr/>
      <w:spacing/>
      <w:ind/>
    </w:pPr>
    <w:rPr>
      <w:rFonts w:ascii="Times New Roman" w:hAnsi="Times New Roman"/>
      <w:sz w:val="24"/>
      <w:szCs w:val="24"/>
    </w:rPr>
  </w:style>
  <w:style w:type="character" w:styleId="10742" w:customStyle="1">
    <w:name w:val="Стиль3 Знак"/>
    <w:link w:val="13752"/>
    <w:qFormat/>
    <w:pPr>
      <w:pBdr/>
      <w:spacing/>
      <w:ind/>
    </w:pPr>
    <w:rPr>
      <w:rFonts w:ascii="Times New Roman" w:hAnsi="Times New Roman" w:eastAsia="Times New Roman" w:cs="Times New Roman"/>
      <w:b/>
      <w:bCs/>
      <w:sz w:val="24"/>
      <w:szCs w:val="24"/>
    </w:rPr>
  </w:style>
  <w:style w:type="character" w:styleId="10743" w:customStyle="1">
    <w:name w:val="Основной текст (25) Exact"/>
    <w:link w:val="13718"/>
    <w:qFormat/>
    <w:pPr>
      <w:pBdr/>
      <w:spacing/>
      <w:ind/>
    </w:pPr>
    <w:rPr>
      <w:sz w:val="18"/>
      <w:szCs w:val="18"/>
      <w:shd w:val="clear" w:color="auto" w:fill="ffffff"/>
    </w:rPr>
  </w:style>
  <w:style w:type="character" w:styleId="10744" w:customStyle="1">
    <w:name w:val="Основной текст (25) + Интервал 1 pt Exact"/>
    <w:qFormat/>
    <w:pPr>
      <w:pBdr/>
      <w:spacing/>
      <w:ind/>
    </w:pPr>
    <w:rPr>
      <w:rFonts w:ascii="Tahoma" w:hAnsi="Tahoma" w:eastAsia="Tahoma" w:cs="Tahoma"/>
      <w:color w:val="000000"/>
      <w:spacing w:val="20"/>
      <w:sz w:val="18"/>
      <w:szCs w:val="18"/>
      <w:shd w:val="clear" w:color="auto" w:fill="ffffff"/>
      <w:lang w:val="ru-RU" w:eastAsia="ru-RU" w:bidi="ru-RU"/>
    </w:rPr>
  </w:style>
  <w:style w:type="character" w:styleId="10745" w:customStyle="1">
    <w:name w:val="Подпись к таблице_"/>
    <w:link w:val="12374"/>
    <w:qFormat/>
    <w:pPr>
      <w:pBdr/>
      <w:spacing/>
      <w:ind/>
    </w:pPr>
    <w:rPr>
      <w:rFonts w:ascii="Times New Roman" w:hAnsi="Times New Roman" w:eastAsia="Times New Roman"/>
      <w:shd w:val="clear" w:color="auto" w:fill="ffffff"/>
    </w:rPr>
  </w:style>
  <w:style w:type="character" w:styleId="10746" w:customStyle="1">
    <w:name w:val="Основной текст (2) + 10;5 pt;Полужирный"/>
    <w:qFormat/>
    <w:pPr>
      <w:pBdr/>
      <w:spacing/>
      <w:ind/>
    </w:pPr>
    <w:rPr>
      <w:rFonts w:ascii="Times New Roman" w:hAnsi="Times New Roman" w:eastAsia="Times New Roman" w:cs="Times New Roman"/>
      <w:b/>
      <w:bCs/>
      <w:i w:val="0"/>
      <w:iCs w:val="0"/>
      <w:caps w:val="0"/>
      <w:smallCaps w:val="0"/>
      <w:strike w:val="0"/>
      <w:color w:val="000000"/>
      <w:spacing w:val="0"/>
      <w:sz w:val="21"/>
      <w:szCs w:val="21"/>
      <w:u w:val="none"/>
      <w:shd w:val="clear" w:color="auto" w:fill="ffffff"/>
      <w:lang w:val="ru-RU" w:eastAsia="ru-RU" w:bidi="ru-RU"/>
    </w:rPr>
  </w:style>
  <w:style w:type="character" w:styleId="10747" w:customStyle="1">
    <w:name w:val="Основной текст (2) + 12 pt"/>
    <w:qFormat/>
    <w:pPr>
      <w:pBdr/>
      <w:spacing/>
      <w:ind/>
    </w:pPr>
    <w:rPr>
      <w:rFonts w:ascii="Times New Roman" w:hAnsi="Times New Roman" w:eastAsia="Times New Roman" w:cs="Times New Roman"/>
      <w:b w:val="0"/>
      <w:bCs w:val="0"/>
      <w:i w:val="0"/>
      <w:iCs w:val="0"/>
      <w:caps w:val="0"/>
      <w:smallCaps w:val="0"/>
      <w:strike w:val="0"/>
      <w:color w:val="000000"/>
      <w:spacing w:val="0"/>
      <w:sz w:val="24"/>
      <w:szCs w:val="24"/>
      <w:u w:val="none"/>
      <w:shd w:val="clear" w:color="auto" w:fill="ffffff"/>
      <w:lang w:val="ru-RU" w:eastAsia="ru-RU" w:bidi="ru-RU"/>
    </w:rPr>
  </w:style>
  <w:style w:type="character" w:styleId="10748" w:customStyle="1">
    <w:name w:val="Основной текст (2) + Arial Narrow;14 pt;Полужирный"/>
    <w:qFormat/>
    <w:pPr>
      <w:pBdr/>
      <w:spacing/>
      <w:ind/>
    </w:pPr>
    <w:rPr>
      <w:rFonts w:ascii="Arial Narrow" w:hAnsi="Arial Narrow" w:eastAsia="Arial Narrow" w:cs="Arial Narrow"/>
      <w:b/>
      <w:bCs/>
      <w:i w:val="0"/>
      <w:iCs w:val="0"/>
      <w:caps w:val="0"/>
      <w:smallCaps w:val="0"/>
      <w:strike w:val="0"/>
      <w:color w:val="000000"/>
      <w:spacing w:val="0"/>
      <w:sz w:val="28"/>
      <w:szCs w:val="28"/>
      <w:u w:val="none"/>
      <w:shd w:val="clear" w:color="auto" w:fill="ffffff"/>
      <w:lang w:val="ru-RU" w:eastAsia="ru-RU" w:bidi="ru-RU"/>
    </w:rPr>
  </w:style>
  <w:style w:type="character" w:styleId="10749" w:customStyle="1">
    <w:name w:val="Основной текст (2) + 9 pt7"/>
    <w:qFormat/>
    <w:pPr>
      <w:pBdr/>
      <w:spacing/>
      <w:ind/>
    </w:pPr>
    <w:rPr>
      <w:rFonts w:ascii="Times New Roman" w:hAnsi="Times New Roman" w:eastAsia="Times New Roman" w:cs="Times New Roman"/>
      <w:b w:val="0"/>
      <w:bCs w:val="0"/>
      <w:i w:val="0"/>
      <w:iCs w:val="0"/>
      <w:caps w:val="0"/>
      <w:smallCaps w:val="0"/>
      <w:strike w:val="0"/>
      <w:color w:val="000000"/>
      <w:spacing w:val="0"/>
      <w:sz w:val="18"/>
      <w:szCs w:val="18"/>
      <w:u w:val="none"/>
      <w:shd w:val="clear" w:color="auto" w:fill="ffffff"/>
      <w:lang w:val="ru-RU" w:eastAsia="ru-RU" w:bidi="ru-RU"/>
    </w:rPr>
  </w:style>
  <w:style w:type="character" w:styleId="10750" w:customStyle="1">
    <w:name w:val="Основной текст (2) + 9 pt;Курсив2"/>
    <w:qFormat/>
    <w:pPr>
      <w:pBdr/>
      <w:spacing/>
      <w:ind/>
    </w:pPr>
    <w:rPr>
      <w:rFonts w:ascii="Times New Roman" w:hAnsi="Times New Roman" w:eastAsia="Times New Roman" w:cs="Times New Roman"/>
      <w:b w:val="0"/>
      <w:bCs w:val="0"/>
      <w:i/>
      <w:iCs/>
      <w:caps w:val="0"/>
      <w:smallCaps w:val="0"/>
      <w:strike w:val="0"/>
      <w:color w:val="000000"/>
      <w:spacing w:val="0"/>
      <w:sz w:val="18"/>
      <w:szCs w:val="18"/>
      <w:u w:val="none"/>
      <w:shd w:val="clear" w:color="auto" w:fill="ffffff"/>
      <w:lang w:val="ru-RU" w:eastAsia="ru-RU" w:bidi="ru-RU"/>
    </w:rPr>
  </w:style>
  <w:style w:type="character" w:styleId="10751" w:customStyle="1">
    <w:name w:val="Основной текст (2) + 10;5 pt;Полужирный1"/>
    <w:qFormat/>
    <w:pPr>
      <w:pBdr/>
      <w:spacing/>
      <w:ind/>
    </w:pPr>
    <w:rPr>
      <w:rFonts w:ascii="Times New Roman" w:hAnsi="Times New Roman" w:eastAsia="Times New Roman" w:cs="Times New Roman"/>
      <w:b/>
      <w:bCs/>
      <w:i w:val="0"/>
      <w:iCs w:val="0"/>
      <w:caps w:val="0"/>
      <w:smallCaps w:val="0"/>
      <w:strike w:val="0"/>
      <w:color w:val="000000"/>
      <w:spacing w:val="0"/>
      <w:sz w:val="21"/>
      <w:szCs w:val="21"/>
      <w:u w:val="none"/>
      <w:shd w:val="clear" w:color="auto" w:fill="ffffff"/>
      <w:lang w:val="ru-RU" w:eastAsia="ru-RU" w:bidi="ru-RU"/>
    </w:rPr>
  </w:style>
  <w:style w:type="character" w:styleId="10752" w:customStyle="1">
    <w:name w:val="Основной текст (2) + Trebuchet MS;10 pt;Интервал 0 pt"/>
    <w:qFormat/>
    <w:pPr>
      <w:pBdr/>
      <w:spacing/>
      <w:ind/>
    </w:pPr>
    <w:rPr>
      <w:rFonts w:ascii="Trebuchet MS" w:hAnsi="Trebuchet MS" w:eastAsia="Trebuchet MS" w:cs="Trebuchet MS"/>
      <w:b w:val="0"/>
      <w:bCs w:val="0"/>
      <w:i w:val="0"/>
      <w:iCs w:val="0"/>
      <w:caps w:val="0"/>
      <w:smallCaps w:val="0"/>
      <w:strike w:val="0"/>
      <w:color w:val="000000"/>
      <w:spacing w:val="10"/>
      <w:sz w:val="20"/>
      <w:szCs w:val="20"/>
      <w:u w:val="none"/>
      <w:shd w:val="clear" w:color="auto" w:fill="ffffff"/>
      <w:lang w:val="ru-RU" w:eastAsia="ru-RU" w:bidi="ru-RU"/>
    </w:rPr>
  </w:style>
  <w:style w:type="character" w:styleId="10754" w:customStyle="1">
    <w:name w:val="Основной текст (2) + Arial;6;5 pt2"/>
    <w:qFormat/>
    <w:pPr>
      <w:pBdr/>
      <w:spacing/>
      <w:ind/>
    </w:pPr>
    <w:rPr>
      <w:rFonts w:ascii="Arial" w:hAnsi="Arial" w:eastAsia="Arial" w:cs="Arial"/>
      <w:b w:val="0"/>
      <w:bCs w:val="0"/>
      <w:i w:val="0"/>
      <w:iCs w:val="0"/>
      <w:caps w:val="0"/>
      <w:smallCaps w:val="0"/>
      <w:strike w:val="0"/>
      <w:color w:val="000000"/>
      <w:spacing w:val="0"/>
      <w:sz w:val="13"/>
      <w:szCs w:val="13"/>
      <w:u w:val="none"/>
      <w:shd w:val="clear" w:color="auto" w:fill="ffffff"/>
      <w:lang w:val="ru-RU" w:eastAsia="ru-RU" w:bidi="ru-RU"/>
    </w:rPr>
  </w:style>
  <w:style w:type="character" w:styleId="10755" w:customStyle="1">
    <w:name w:val="Основной текст (97)_"/>
    <w:link w:val="12376"/>
    <w:qFormat/>
    <w:pPr>
      <w:pBdr/>
      <w:spacing/>
      <w:ind/>
    </w:pPr>
    <w:rPr>
      <w:rFonts w:ascii="Times New Roman" w:hAnsi="Times New Roman" w:eastAsia="Times New Roman"/>
      <w:i/>
      <w:iCs/>
      <w:sz w:val="18"/>
      <w:szCs w:val="18"/>
      <w:shd w:val="clear" w:color="auto" w:fill="ffffff"/>
    </w:rPr>
  </w:style>
  <w:style w:type="character" w:styleId="10756" w:customStyle="1">
    <w:name w:val="Основной текст (9) + Times New Roman;9 pt;Полужирный Exact"/>
    <w:qFormat/>
    <w:pPr>
      <w:pBdr/>
      <w:spacing/>
      <w:ind/>
    </w:pPr>
    <w:rPr>
      <w:rFonts w:ascii="Times New Roman" w:hAnsi="Times New Roman" w:eastAsia="Times New Roman" w:cs="Times New Roman"/>
      <w:b/>
      <w:bCs/>
      <w:i w:val="0"/>
      <w:iCs w:val="0"/>
      <w:caps w:val="0"/>
      <w:smallCaps w:val="0"/>
      <w:strike w:val="0"/>
      <w:color w:val="000000"/>
      <w:spacing w:val="0"/>
      <w:sz w:val="18"/>
      <w:szCs w:val="18"/>
      <w:u w:val="none"/>
      <w:lang w:val="ru-RU" w:eastAsia="ru-RU" w:bidi="ru-RU"/>
    </w:rPr>
  </w:style>
  <w:style w:type="character" w:styleId="10760" w:customStyle="1">
    <w:name w:val="Основной текст (8)_"/>
    <w:link w:val="13722"/>
    <w:qFormat/>
    <w:pPr>
      <w:pBdr/>
      <w:spacing/>
      <w:ind/>
    </w:pPr>
    <w:rPr>
      <w:rFonts w:ascii="Trebuchet MS" w:hAnsi="Trebuchet MS" w:eastAsia="Trebuchet MS" w:cs="Trebuchet MS"/>
      <w:sz w:val="26"/>
      <w:szCs w:val="26"/>
      <w:shd w:val="clear" w:color="auto" w:fill="ffffff"/>
    </w:rPr>
  </w:style>
  <w:style w:type="character" w:styleId="10762" w:customStyle="1">
    <w:name w:val="Основной текст (159)_"/>
    <w:link w:val="12380"/>
    <w:qFormat/>
    <w:pPr>
      <w:pBdr/>
      <w:spacing/>
      <w:ind/>
    </w:pPr>
    <w:rPr>
      <w:rFonts w:ascii="Times New Roman" w:hAnsi="Times New Roman" w:eastAsia="Times New Roman"/>
      <w:shd w:val="clear" w:color="auto" w:fill="ffffff"/>
    </w:rPr>
  </w:style>
  <w:style w:type="character" w:styleId="10763" w:customStyle="1">
    <w:name w:val="Основной текст (159) + 11 pt;Малые прописные"/>
    <w:qFormat/>
    <w:pPr>
      <w:pBdr/>
      <w:spacing/>
      <w:ind/>
    </w:pPr>
    <w:rPr>
      <w:rFonts w:ascii="Times New Roman" w:hAnsi="Times New Roman" w:eastAsia="Times New Roman"/>
      <w:smallCaps/>
      <w:color w:val="000000"/>
      <w:spacing w:val="0"/>
      <w:sz w:val="22"/>
      <w:szCs w:val="22"/>
      <w:shd w:val="clear" w:color="auto" w:fill="ffffff"/>
      <w:lang w:val="en-US" w:eastAsia="en-US" w:bidi="en-US"/>
    </w:rPr>
  </w:style>
  <w:style w:type="character" w:styleId="10764" w:customStyle="1">
    <w:name w:val="Основной текст (159) + Arial;5;5 pt;Малые прописные"/>
    <w:qFormat/>
    <w:pPr>
      <w:pBdr/>
      <w:spacing/>
      <w:ind/>
    </w:pPr>
    <w:rPr>
      <w:rFonts w:ascii="Arial" w:hAnsi="Arial" w:eastAsia="Arial" w:cs="Arial"/>
      <w:smallCaps/>
      <w:color w:val="000000"/>
      <w:spacing w:val="0"/>
      <w:sz w:val="11"/>
      <w:szCs w:val="11"/>
      <w:shd w:val="clear" w:color="auto" w:fill="ffffff"/>
      <w:lang w:val="ru-RU" w:eastAsia="ru-RU" w:bidi="ru-RU"/>
    </w:rPr>
  </w:style>
  <w:style w:type="character" w:styleId="10765" w:customStyle="1">
    <w:name w:val="Основной текст (159) + Малые прописные"/>
    <w:qFormat/>
    <w:pPr>
      <w:pBdr/>
      <w:spacing/>
      <w:ind/>
    </w:pPr>
    <w:rPr>
      <w:rFonts w:ascii="Times New Roman" w:hAnsi="Times New Roman" w:eastAsia="Times New Roman" w:cs="Times New Roman"/>
      <w:smallCaps/>
      <w:color w:val="000000"/>
      <w:spacing w:val="0"/>
      <w:sz w:val="24"/>
      <w:szCs w:val="24"/>
      <w:shd w:val="clear" w:color="auto" w:fill="ffffff"/>
      <w:lang w:val="en-US" w:eastAsia="en-US" w:bidi="en-US"/>
    </w:rPr>
  </w:style>
  <w:style w:type="character" w:styleId="10766" w:customStyle="1">
    <w:name w:val="Основной текст (159) Exact"/>
    <w:qFormat/>
    <w:pPr>
      <w:pBdr/>
      <w:spacing/>
      <w:ind/>
    </w:pPr>
    <w:rPr>
      <w:rFonts w:ascii="Times New Roman" w:hAnsi="Times New Roman" w:eastAsia="Times New Roman" w:cs="Times New Roman"/>
      <w:b w:val="0"/>
      <w:bCs w:val="0"/>
      <w:i w:val="0"/>
      <w:iCs w:val="0"/>
      <w:caps w:val="0"/>
      <w:smallCaps w:val="0"/>
      <w:strike w:val="0"/>
      <w:u w:val="none"/>
    </w:rPr>
  </w:style>
  <w:style w:type="character" w:styleId="10767" w:customStyle="1">
    <w:name w:val="Основной текст (62) Exact"/>
    <w:link w:val="13759"/>
    <w:qFormat/>
    <w:pPr>
      <w:pBdr/>
      <w:spacing/>
      <w:ind/>
    </w:pPr>
    <w:rPr>
      <w:rFonts w:ascii="Arial" w:hAnsi="Arial" w:eastAsia="Arial" w:cs="Arial"/>
      <w:sz w:val="13"/>
      <w:szCs w:val="13"/>
      <w:shd w:val="clear" w:color="auto" w:fill="ffffff"/>
    </w:rPr>
  </w:style>
  <w:style w:type="character" w:styleId="10769" w:customStyle="1">
    <w:name w:val="Основной текст (31)"/>
    <w:qFormat/>
    <w:pPr>
      <w:pBdr/>
      <w:spacing/>
      <w:ind/>
    </w:pPr>
    <w:rPr>
      <w:rFonts w:ascii="Times New Roman" w:hAnsi="Times New Roman" w:eastAsia="Times New Roman"/>
      <w:i/>
      <w:iCs/>
      <w:color w:val="000000"/>
      <w:spacing w:val="0"/>
      <w:sz w:val="22"/>
      <w:szCs w:val="22"/>
      <w:u w:val="single"/>
      <w:shd w:val="clear" w:color="auto" w:fill="ffffff"/>
      <w:lang w:val="ru-RU" w:eastAsia="ru-RU" w:bidi="ru-RU"/>
    </w:rPr>
  </w:style>
  <w:style w:type="character" w:styleId="10770" w:customStyle="1">
    <w:name w:val="Основной текст (2) + 8 pt5"/>
    <w:qFormat/>
    <w:pPr>
      <w:pBdr/>
      <w:spacing/>
      <w:ind/>
    </w:pPr>
    <w:rPr>
      <w:rFonts w:ascii="Times New Roman" w:hAnsi="Times New Roman" w:eastAsia="Times New Roman" w:cs="Times New Roman"/>
      <w:b w:val="0"/>
      <w:bCs w:val="0"/>
      <w:i w:val="0"/>
      <w:iCs w:val="0"/>
      <w:caps w:val="0"/>
      <w:smallCaps w:val="0"/>
      <w:strike w:val="0"/>
      <w:color w:val="000000"/>
      <w:spacing w:val="0"/>
      <w:sz w:val="16"/>
      <w:szCs w:val="16"/>
      <w:u w:val="none"/>
      <w:shd w:val="clear" w:color="auto" w:fill="ffffff"/>
      <w:lang w:val="ru-RU" w:eastAsia="ru-RU" w:bidi="ru-RU"/>
    </w:rPr>
  </w:style>
  <w:style w:type="character" w:styleId="10771" w:customStyle="1">
    <w:name w:val="Основной текст (18)_"/>
    <w:link w:val="13977"/>
    <w:qFormat/>
    <w:pPr>
      <w:pBdr/>
      <w:spacing/>
      <w:ind/>
    </w:pPr>
    <w:rPr>
      <w:rFonts w:ascii="Times New Roman" w:hAnsi="Times New Roman" w:eastAsia="Times New Roman"/>
      <w:b/>
      <w:bCs/>
      <w:i/>
      <w:iCs/>
      <w:shd w:val="clear" w:color="auto" w:fill="ffffff"/>
    </w:rPr>
  </w:style>
  <w:style w:type="character" w:styleId="10772" w:customStyle="1">
    <w:name w:val="Основной текст (159) + Полужирный;Курсив"/>
    <w:qFormat/>
    <w:pPr>
      <w:pBdr/>
      <w:spacing/>
      <w:ind/>
    </w:pPr>
    <w:rPr>
      <w:rFonts w:ascii="Times New Roman" w:hAnsi="Times New Roman" w:eastAsia="Times New Roman" w:cs="Times New Roman"/>
      <w:b/>
      <w:bCs/>
      <w:i/>
      <w:iCs/>
      <w:color w:val="000000"/>
      <w:spacing w:val="0"/>
      <w:sz w:val="24"/>
      <w:szCs w:val="24"/>
      <w:u w:val="single"/>
      <w:shd w:val="clear" w:color="auto" w:fill="ffffff"/>
      <w:lang w:val="ru-RU" w:eastAsia="ru-RU" w:bidi="ru-RU"/>
    </w:rPr>
  </w:style>
  <w:style w:type="character" w:styleId="10773" w:customStyle="1">
    <w:name w:val="Основной текст (159) + Полужирный;Курсив1"/>
    <w:qFormat/>
    <w:pPr>
      <w:pBdr/>
      <w:spacing/>
      <w:ind/>
    </w:pPr>
    <w:rPr>
      <w:rFonts w:ascii="Times New Roman" w:hAnsi="Times New Roman" w:eastAsia="Times New Roman" w:cs="Times New Roman"/>
      <w:b/>
      <w:bCs/>
      <w:i/>
      <w:iCs/>
      <w:color w:val="000000"/>
      <w:spacing w:val="0"/>
      <w:sz w:val="24"/>
      <w:szCs w:val="24"/>
      <w:shd w:val="clear" w:color="auto" w:fill="ffffff"/>
      <w:lang w:val="ru-RU" w:eastAsia="ru-RU" w:bidi="ru-RU"/>
    </w:rPr>
  </w:style>
  <w:style w:type="character" w:styleId="10774" w:customStyle="1">
    <w:name w:val="Основной текст (159)2"/>
    <w:qFormat/>
    <w:pPr>
      <w:pBdr/>
      <w:spacing/>
      <w:ind/>
    </w:pPr>
    <w:rPr>
      <w:rFonts w:ascii="Times New Roman" w:hAnsi="Times New Roman" w:eastAsia="Times New Roman" w:cs="Times New Roman"/>
      <w:b w:val="0"/>
      <w:bCs w:val="0"/>
      <w:i w:val="0"/>
      <w:iCs w:val="0"/>
      <w:caps w:val="0"/>
      <w:smallCaps w:val="0"/>
      <w:strike w:val="0"/>
      <w:color w:val="000000"/>
      <w:spacing w:val="0"/>
      <w:sz w:val="24"/>
      <w:szCs w:val="24"/>
      <w:u w:val="none"/>
      <w:shd w:val="clear" w:color="auto" w:fill="ffffff"/>
      <w:lang w:val="ru-RU" w:eastAsia="ru-RU" w:bidi="ru-RU"/>
    </w:rPr>
  </w:style>
  <w:style w:type="character" w:styleId="10775" w:customStyle="1">
    <w:name w:val="Заголовок №7 (2)_"/>
    <w:link w:val="12384"/>
    <w:qFormat/>
    <w:pPr>
      <w:pBdr/>
      <w:spacing/>
      <w:ind/>
    </w:pPr>
    <w:rPr>
      <w:rFonts w:ascii="Times New Roman" w:hAnsi="Times New Roman" w:eastAsia="Times New Roman"/>
      <w:sz w:val="28"/>
      <w:szCs w:val="28"/>
      <w:shd w:val="clear" w:color="auto" w:fill="ffffff"/>
    </w:rPr>
  </w:style>
  <w:style w:type="character" w:styleId="10776" w:customStyle="1">
    <w:name w:val="Основной текст (2) + 9 pt;Полужирный2"/>
    <w:qFormat/>
    <w:pPr>
      <w:pBdr/>
      <w:spacing/>
      <w:ind/>
    </w:pPr>
    <w:rPr>
      <w:rFonts w:ascii="Times New Roman" w:hAnsi="Times New Roman" w:eastAsia="Times New Roman" w:cs="Times New Roman"/>
      <w:b/>
      <w:bCs/>
      <w:i w:val="0"/>
      <w:iCs w:val="0"/>
      <w:caps w:val="0"/>
      <w:smallCaps w:val="0"/>
      <w:strike w:val="0"/>
      <w:color w:val="000000"/>
      <w:spacing w:val="0"/>
      <w:sz w:val="18"/>
      <w:szCs w:val="18"/>
      <w:u w:val="none"/>
      <w:shd w:val="clear" w:color="auto" w:fill="ffffff"/>
      <w:lang w:val="ru-RU" w:eastAsia="ru-RU" w:bidi="ru-RU"/>
    </w:rPr>
  </w:style>
  <w:style w:type="character" w:styleId="10777" w:customStyle="1">
    <w:name w:val="Основной текст (2) + 7;5 pt1"/>
    <w:qFormat/>
    <w:pPr>
      <w:pBdr/>
      <w:spacing/>
      <w:ind/>
    </w:pPr>
    <w:rPr>
      <w:rFonts w:ascii="Times New Roman" w:hAnsi="Times New Roman" w:eastAsia="Times New Roman" w:cs="Times New Roman"/>
      <w:b w:val="0"/>
      <w:bCs w:val="0"/>
      <w:i w:val="0"/>
      <w:iCs w:val="0"/>
      <w:caps w:val="0"/>
      <w:smallCaps w:val="0"/>
      <w:strike w:val="0"/>
      <w:color w:val="000000"/>
      <w:spacing w:val="0"/>
      <w:sz w:val="15"/>
      <w:szCs w:val="15"/>
      <w:u w:val="none"/>
      <w:shd w:val="clear" w:color="auto" w:fill="ffffff"/>
      <w:lang w:val="ru-RU" w:eastAsia="ru-RU" w:bidi="ru-RU"/>
    </w:rPr>
  </w:style>
  <w:style w:type="character" w:styleId="10778" w:customStyle="1">
    <w:name w:val="Основной текст (2) + 12 pt;Полужирный1"/>
    <w:qFormat/>
    <w:pPr>
      <w:pBdr/>
      <w:spacing/>
      <w:ind/>
    </w:pPr>
    <w:rPr>
      <w:rFonts w:ascii="Times New Roman" w:hAnsi="Times New Roman" w:eastAsia="Times New Roman" w:cs="Times New Roman"/>
      <w:b/>
      <w:bCs/>
      <w:i w:val="0"/>
      <w:iCs w:val="0"/>
      <w:caps w:val="0"/>
      <w:smallCaps w:val="0"/>
      <w:strike w:val="0"/>
      <w:color w:val="000000"/>
      <w:spacing w:val="0"/>
      <w:sz w:val="24"/>
      <w:szCs w:val="24"/>
      <w:u w:val="none"/>
      <w:shd w:val="clear" w:color="auto" w:fill="ffffff"/>
      <w:lang w:val="ru-RU" w:eastAsia="ru-RU" w:bidi="ru-RU"/>
    </w:rPr>
  </w:style>
  <w:style w:type="character" w:styleId="10779" w:customStyle="1">
    <w:name w:val="Основной текст (6) Exact"/>
    <w:qFormat/>
    <w:pPr>
      <w:pBdr/>
      <w:spacing/>
      <w:ind/>
    </w:pPr>
    <w:rPr>
      <w:rFonts w:ascii="Times New Roman" w:hAnsi="Times New Roman" w:eastAsia="Times New Roman" w:cs="Times New Roman"/>
      <w:b/>
      <w:bCs/>
      <w:i w:val="0"/>
      <w:iCs w:val="0"/>
      <w:caps w:val="0"/>
      <w:smallCaps w:val="0"/>
      <w:strike w:val="0"/>
      <w:color w:val="000000"/>
      <w:spacing w:val="0"/>
      <w:sz w:val="22"/>
      <w:szCs w:val="22"/>
      <w:u w:val="none"/>
      <w:lang w:val="ru-RU" w:eastAsia="ru-RU" w:bidi="ru-RU"/>
    </w:rPr>
  </w:style>
  <w:style w:type="character" w:styleId="10781" w:customStyle="1">
    <w:name w:val="Колонтитул + 12 pt;Интервал 1 pt"/>
    <w:qFormat/>
    <w:pPr>
      <w:pBdr/>
      <w:spacing/>
      <w:ind/>
    </w:pPr>
    <w:rPr>
      <w:rFonts w:ascii="Times New Roman" w:hAnsi="Times New Roman" w:eastAsia="Times New Roman" w:cs="Times New Roman"/>
      <w:b w:val="0"/>
      <w:bCs w:val="0"/>
      <w:i w:val="0"/>
      <w:iCs w:val="0"/>
      <w:caps w:val="0"/>
      <w:smallCaps w:val="0"/>
      <w:strike w:val="0"/>
      <w:color w:val="000000"/>
      <w:spacing w:val="30"/>
      <w:sz w:val="24"/>
      <w:szCs w:val="24"/>
      <w:u w:val="none"/>
      <w:lang w:val="ru-RU" w:eastAsia="ru-RU" w:bidi="ru-RU"/>
    </w:rPr>
  </w:style>
  <w:style w:type="character" w:styleId="10782" w:customStyle="1">
    <w:name w:val="Основной текст (3) + 7;5 pt;Полужирный"/>
    <w:qFormat/>
    <w:pPr>
      <w:pBdr/>
      <w:spacing/>
      <w:ind/>
    </w:pPr>
    <w:rPr>
      <w:rFonts w:ascii="Tahoma" w:hAnsi="Tahoma" w:eastAsia="Tahoma" w:cs="Tahoma"/>
      <w:b/>
      <w:bCs/>
      <w:i w:val="0"/>
      <w:iCs w:val="0"/>
      <w:caps w:val="0"/>
      <w:smallCaps w:val="0"/>
      <w:strike w:val="0"/>
      <w:color w:val="000000"/>
      <w:spacing w:val="0"/>
      <w:sz w:val="15"/>
      <w:szCs w:val="15"/>
      <w:u w:val="none"/>
      <w:lang w:val="ru-RU" w:eastAsia="ru-RU" w:bidi="ru-RU"/>
    </w:rPr>
  </w:style>
  <w:style w:type="character" w:styleId="10784" w:customStyle="1">
    <w:name w:val="Основной текст (18)"/>
    <w:qFormat/>
    <w:pPr>
      <w:pBdr/>
      <w:spacing/>
      <w:ind/>
    </w:pPr>
    <w:rPr>
      <w:rFonts w:ascii="Times New Roman" w:hAnsi="Times New Roman" w:eastAsia="Times New Roman" w:cs="Times New Roman"/>
      <w:b/>
      <w:bCs/>
      <w:i/>
      <w:iCs/>
      <w:caps w:val="0"/>
      <w:smallCaps w:val="0"/>
      <w:strike w:val="0"/>
      <w:color w:val="000000"/>
      <w:spacing w:val="0"/>
      <w:sz w:val="22"/>
      <w:szCs w:val="22"/>
      <w:u w:val="single"/>
      <w:shd w:val="clear" w:color="auto" w:fill="ffffff"/>
      <w:lang w:val="ru-RU" w:eastAsia="ru-RU" w:bidi="ru-RU"/>
    </w:rPr>
  </w:style>
  <w:style w:type="character" w:styleId="10785" w:customStyle="1">
    <w:name w:val="Основной текст (43)_"/>
    <w:link w:val="13767"/>
    <w:qFormat/>
    <w:pPr>
      <w:pBdr/>
      <w:spacing/>
      <w:ind/>
    </w:pPr>
    <w:rPr>
      <w:rFonts w:ascii="Arial" w:hAnsi="Arial" w:eastAsia="Arial" w:cs="Arial"/>
      <w:sz w:val="13"/>
      <w:szCs w:val="13"/>
      <w:shd w:val="clear" w:color="auto" w:fill="ffffff"/>
    </w:rPr>
  </w:style>
  <w:style w:type="character" w:styleId="10786" w:customStyle="1">
    <w:name w:val="Заголовок №7 (6) Exact"/>
    <w:link w:val="14387"/>
    <w:qFormat/>
    <w:pPr>
      <w:pBdr/>
      <w:spacing/>
      <w:ind/>
    </w:pPr>
    <w:rPr>
      <w:rFonts w:ascii="Times New Roman" w:hAnsi="Times New Roman" w:eastAsia="Times New Roman"/>
      <w:sz w:val="26"/>
      <w:szCs w:val="26"/>
      <w:shd w:val="clear" w:color="auto" w:fill="ffffff"/>
    </w:rPr>
  </w:style>
  <w:style w:type="character" w:styleId="10787" w:customStyle="1">
    <w:name w:val="Основной текст (68)_"/>
    <w:qFormat/>
    <w:pPr>
      <w:pBdr/>
      <w:spacing/>
      <w:ind/>
    </w:pPr>
    <w:rPr>
      <w:rFonts w:ascii="Arial" w:hAnsi="Arial" w:eastAsia="Arial" w:cs="Arial"/>
      <w:b w:val="0"/>
      <w:bCs w:val="0"/>
      <w:i w:val="0"/>
      <w:iCs w:val="0"/>
      <w:caps w:val="0"/>
      <w:smallCaps w:val="0"/>
      <w:strike w:val="0"/>
      <w:sz w:val="18"/>
      <w:szCs w:val="18"/>
      <w:u w:val="none"/>
    </w:rPr>
  </w:style>
  <w:style w:type="character" w:styleId="10788" w:customStyle="1">
    <w:name w:val="Основной текст (68)"/>
    <w:qFormat/>
    <w:pPr>
      <w:pBdr/>
      <w:spacing/>
      <w:ind/>
    </w:pPr>
    <w:rPr>
      <w:rFonts w:ascii="Arial" w:hAnsi="Arial" w:eastAsia="Arial" w:cs="Arial"/>
      <w:b w:val="0"/>
      <w:bCs w:val="0"/>
      <w:i w:val="0"/>
      <w:iCs w:val="0"/>
      <w:caps w:val="0"/>
      <w:smallCaps w:val="0"/>
      <w:strike w:val="0"/>
      <w:color w:val="000000"/>
      <w:spacing w:val="0"/>
      <w:sz w:val="18"/>
      <w:szCs w:val="18"/>
      <w:u w:val="none"/>
      <w:lang w:val="ru-RU" w:eastAsia="ru-RU" w:bidi="ru-RU"/>
    </w:rPr>
  </w:style>
  <w:style w:type="character" w:styleId="10789" w:customStyle="1">
    <w:name w:val="!!_1.для Таблиц Знак"/>
    <w:link w:val="12385"/>
    <w:qFormat/>
    <w:pPr>
      <w:pBdr/>
      <w:spacing/>
      <w:ind/>
    </w:pPr>
    <w:rPr>
      <w:rFonts w:ascii="Times New Roman" w:hAnsi="Times New Roman" w:eastAsia="Calibri" w:cs="Calibri"/>
      <w:bCs/>
      <w:sz w:val="20"/>
      <w:szCs w:val="26"/>
    </w:rPr>
  </w:style>
  <w:style w:type="character" w:styleId="10790" w:customStyle="1">
    <w:name w:val="_1.1.Маркер Знак"/>
    <w:link w:val="13832"/>
    <w:qFormat/>
    <w:pPr>
      <w:pBdr/>
      <w:spacing/>
      <w:ind/>
    </w:pPr>
    <w:rPr>
      <w:rFonts w:ascii="Times New Roman" w:hAnsi="Times New Roman" w:eastAsia="Times New Roman" w:cs="Times New Roman"/>
      <w:bCs/>
      <w:sz w:val="24"/>
      <w:szCs w:val="26"/>
      <w:lang w:eastAsia="en-US"/>
    </w:rPr>
  </w:style>
  <w:style w:type="character" w:styleId="10791" w:customStyle="1">
    <w:name w:val="Подпись к картинке Exact"/>
    <w:link w:val="12401"/>
    <w:qFormat/>
    <w:pPr>
      <w:pBdr/>
      <w:spacing/>
      <w:ind/>
    </w:pPr>
    <w:rPr>
      <w:rFonts w:ascii="Times New Roman" w:hAnsi="Times New Roman" w:eastAsia="Times New Roman"/>
      <w:shd w:val="clear" w:color="auto" w:fill="ffffff"/>
    </w:rPr>
  </w:style>
  <w:style w:type="character" w:styleId="10792" w:customStyle="1">
    <w:name w:val="Основной текст (2) + 7 pt"/>
    <w:qFormat/>
    <w:pPr>
      <w:pBdr/>
      <w:spacing/>
      <w:ind/>
    </w:pPr>
    <w:rPr>
      <w:rFonts w:ascii="Times New Roman" w:hAnsi="Times New Roman" w:eastAsia="Times New Roman" w:cs="Times New Roman"/>
      <w:b w:val="0"/>
      <w:bCs w:val="0"/>
      <w:i w:val="0"/>
      <w:iCs w:val="0"/>
      <w:caps w:val="0"/>
      <w:smallCaps w:val="0"/>
      <w:strike w:val="0"/>
      <w:color w:val="000000"/>
      <w:spacing w:val="0"/>
      <w:sz w:val="14"/>
      <w:szCs w:val="14"/>
      <w:u w:val="none"/>
      <w:shd w:val="clear" w:color="auto" w:fill="ffffff"/>
      <w:lang w:val="ru-RU" w:eastAsia="ru-RU" w:bidi="ru-RU"/>
    </w:rPr>
  </w:style>
  <w:style w:type="character" w:styleId="10793" w:customStyle="1">
    <w:name w:val="Подпись к таблице Exact"/>
    <w:qFormat/>
    <w:pPr>
      <w:pBdr/>
      <w:spacing/>
      <w:ind/>
    </w:pPr>
    <w:rPr>
      <w:rFonts w:ascii="Times New Roman" w:hAnsi="Times New Roman" w:eastAsia="Times New Roman" w:cs="Times New Roman"/>
      <w:b w:val="0"/>
      <w:bCs w:val="0"/>
      <w:i w:val="0"/>
      <w:iCs w:val="0"/>
      <w:caps w:val="0"/>
      <w:smallCaps w:val="0"/>
      <w:strike w:val="0"/>
      <w:sz w:val="22"/>
      <w:szCs w:val="22"/>
      <w:u w:val="none"/>
    </w:rPr>
  </w:style>
  <w:style w:type="character" w:styleId="10795" w:customStyle="1">
    <w:name w:val="Основной текст (18) Exact"/>
    <w:qFormat/>
    <w:pPr>
      <w:pBdr/>
      <w:spacing/>
      <w:ind/>
    </w:pPr>
    <w:rPr>
      <w:rFonts w:ascii="Times New Roman" w:hAnsi="Times New Roman" w:eastAsia="Times New Roman" w:cs="Times New Roman"/>
      <w:b/>
      <w:bCs/>
      <w:i/>
      <w:iCs/>
      <w:caps w:val="0"/>
      <w:smallCaps w:val="0"/>
      <w:strike w:val="0"/>
      <w:sz w:val="22"/>
      <w:szCs w:val="22"/>
      <w:u w:val="none"/>
    </w:rPr>
  </w:style>
  <w:style w:type="character" w:styleId="10796" w:customStyle="1">
    <w:name w:val="Основной текст (113) Exact"/>
    <w:link w:val="13598"/>
    <w:qFormat/>
    <w:pPr>
      <w:pBdr/>
      <w:spacing/>
      <w:ind/>
    </w:pPr>
    <w:rPr>
      <w:rFonts w:ascii="Times New Roman" w:hAnsi="Times New Roman" w:eastAsia="Times New Roman"/>
      <w:sz w:val="21"/>
      <w:szCs w:val="21"/>
      <w:shd w:val="clear" w:color="auto" w:fill="ffffff"/>
    </w:rPr>
  </w:style>
  <w:style w:type="character" w:styleId="10797" w:customStyle="1">
    <w:name w:val="Основной текст (113) + Arial;11 pt Exact"/>
    <w:qFormat/>
    <w:pPr>
      <w:pBdr/>
      <w:spacing/>
      <w:ind/>
    </w:pPr>
    <w:rPr>
      <w:rFonts w:ascii="Arial" w:hAnsi="Arial" w:eastAsia="Arial" w:cs="Arial"/>
      <w:b/>
      <w:bCs/>
      <w:color w:val="000000"/>
      <w:spacing w:val="0"/>
      <w:sz w:val="22"/>
      <w:szCs w:val="22"/>
      <w:shd w:val="clear" w:color="auto" w:fill="ffffff"/>
      <w:lang w:val="ru-RU" w:eastAsia="ru-RU" w:bidi="ru-RU"/>
    </w:rPr>
  </w:style>
  <w:style w:type="character" w:styleId="10798" w:customStyle="1">
    <w:name w:val="Заголовок №7 (9) Exact"/>
    <w:link w:val="12404"/>
    <w:qFormat/>
    <w:pPr>
      <w:pBdr/>
      <w:spacing/>
      <w:ind/>
    </w:pPr>
    <w:rPr>
      <w:rFonts w:ascii="Times New Roman" w:hAnsi="Times New Roman" w:eastAsia="Times New Roman"/>
      <w:b/>
      <w:bCs/>
      <w:shd w:val="clear" w:color="auto" w:fill="ffffff"/>
    </w:rPr>
  </w:style>
  <w:style w:type="character" w:styleId="10799" w:customStyle="1">
    <w:name w:val="Основной текст (2) + Franklin Gothic Heavy;7 pt"/>
    <w:qFormat/>
    <w:pPr>
      <w:pBdr/>
      <w:spacing/>
      <w:ind/>
    </w:pPr>
    <w:rPr>
      <w:rFonts w:ascii="Franklin Gothic Heavy" w:hAnsi="Franklin Gothic Heavy" w:eastAsia="Franklin Gothic Heavy" w:cs="Franklin Gothic Heavy"/>
      <w:b w:val="0"/>
      <w:bCs w:val="0"/>
      <w:i w:val="0"/>
      <w:iCs w:val="0"/>
      <w:caps w:val="0"/>
      <w:smallCaps w:val="0"/>
      <w:strike w:val="0"/>
      <w:color w:val="000000"/>
      <w:spacing w:val="0"/>
      <w:sz w:val="14"/>
      <w:szCs w:val="14"/>
      <w:u w:val="none"/>
      <w:shd w:val="clear" w:color="auto" w:fill="ffffff"/>
      <w:lang w:val="ru-RU" w:eastAsia="ru-RU" w:bidi="ru-RU"/>
    </w:rPr>
  </w:style>
  <w:style w:type="character" w:styleId="10800" w:customStyle="1">
    <w:name w:val="Основной текст (2) + Курсив Exact"/>
    <w:qFormat/>
    <w:pPr>
      <w:pBdr/>
      <w:spacing/>
      <w:ind/>
    </w:pPr>
    <w:rPr>
      <w:rFonts w:ascii="Times New Roman" w:hAnsi="Times New Roman" w:eastAsia="Times New Roman" w:cs="Times New Roman"/>
      <w:b w:val="0"/>
      <w:bCs w:val="0"/>
      <w:i/>
      <w:iCs/>
      <w:caps w:val="0"/>
      <w:smallCaps w:val="0"/>
      <w:strike w:val="0"/>
      <w:color w:val="000000"/>
      <w:spacing w:val="0"/>
      <w:sz w:val="22"/>
      <w:szCs w:val="22"/>
      <w:u w:val="none"/>
      <w:shd w:val="clear" w:color="auto" w:fill="ffffff"/>
      <w:lang w:val="ru-RU" w:eastAsia="ru-RU" w:bidi="ru-RU"/>
    </w:rPr>
  </w:style>
  <w:style w:type="character" w:styleId="10801" w:customStyle="1">
    <w:name w:val="Основной текст (2) + Tahoma;10 pt Exact"/>
    <w:qFormat/>
    <w:pPr>
      <w:pBdr/>
      <w:spacing/>
      <w:ind/>
    </w:pPr>
    <w:rPr>
      <w:rFonts w:ascii="Tahoma" w:hAnsi="Tahoma" w:eastAsia="Tahoma" w:cs="Tahoma"/>
      <w:b w:val="0"/>
      <w:bCs w:val="0"/>
      <w:i w:val="0"/>
      <w:iCs w:val="0"/>
      <w:caps w:val="0"/>
      <w:smallCaps w:val="0"/>
      <w:strike w:val="0"/>
      <w:color w:val="000000"/>
      <w:spacing w:val="0"/>
      <w:sz w:val="20"/>
      <w:szCs w:val="20"/>
      <w:u w:val="none"/>
      <w:shd w:val="clear" w:color="auto" w:fill="ffffff"/>
      <w:lang w:val="ru-RU" w:eastAsia="ru-RU" w:bidi="ru-RU"/>
    </w:rPr>
  </w:style>
  <w:style w:type="character" w:styleId="10802" w:customStyle="1">
    <w:name w:val="Основной текст (73)_"/>
    <w:link w:val="12405"/>
    <w:qFormat/>
    <w:pPr>
      <w:pBdr/>
      <w:spacing/>
      <w:ind/>
    </w:pPr>
    <w:rPr>
      <w:rFonts w:ascii="Arial Narrow" w:hAnsi="Arial Narrow" w:eastAsia="Arial Narrow" w:cs="Arial Narrow"/>
      <w:spacing w:val="-20"/>
      <w:sz w:val="16"/>
      <w:szCs w:val="16"/>
      <w:shd w:val="clear" w:color="auto" w:fill="ffffff"/>
    </w:rPr>
  </w:style>
  <w:style w:type="character" w:styleId="10803" w:customStyle="1">
    <w:name w:val="Заголовок №6 Exact"/>
    <w:link w:val="12406"/>
    <w:qFormat/>
    <w:pPr>
      <w:pBdr/>
      <w:spacing/>
      <w:ind/>
    </w:pPr>
    <w:rPr>
      <w:rFonts w:ascii="Times New Roman" w:hAnsi="Times New Roman" w:eastAsia="Times New Roman"/>
      <w:shd w:val="clear" w:color="auto" w:fill="ffffff"/>
    </w:rPr>
  </w:style>
  <w:style w:type="character" w:styleId="10804" w:customStyle="1">
    <w:name w:val="Основной текст (36)_"/>
    <w:link w:val="12407"/>
    <w:qFormat/>
    <w:pPr>
      <w:pBdr/>
      <w:spacing/>
      <w:ind/>
    </w:pPr>
    <w:rPr>
      <w:rFonts w:ascii="Times New Roman" w:hAnsi="Times New Roman" w:eastAsia="Times New Roman"/>
      <w:b/>
      <w:bCs/>
      <w:sz w:val="21"/>
      <w:szCs w:val="21"/>
      <w:shd w:val="clear" w:color="auto" w:fill="ffffff"/>
    </w:rPr>
  </w:style>
  <w:style w:type="character" w:styleId="10805" w:customStyle="1">
    <w:name w:val="Основной текст (31) + Tahoma;10 pt;Не курсив"/>
    <w:qFormat/>
    <w:pPr>
      <w:pBdr/>
      <w:spacing/>
      <w:ind/>
    </w:pPr>
    <w:rPr>
      <w:rFonts w:ascii="Tahoma" w:hAnsi="Tahoma" w:eastAsia="Tahoma" w:cs="Tahoma"/>
      <w:b w:val="0"/>
      <w:bCs w:val="0"/>
      <w:i/>
      <w:iCs/>
      <w:caps w:val="0"/>
      <w:smallCaps w:val="0"/>
      <w:strike w:val="0"/>
      <w:color w:val="000000"/>
      <w:spacing w:val="0"/>
      <w:sz w:val="20"/>
      <w:szCs w:val="20"/>
      <w:u w:val="none"/>
      <w:shd w:val="clear" w:color="auto" w:fill="ffffff"/>
      <w:lang w:val="ru-RU" w:eastAsia="ru-RU" w:bidi="ru-RU"/>
    </w:rPr>
  </w:style>
  <w:style w:type="character" w:styleId="10806" w:customStyle="1">
    <w:name w:val="Основной текст (2) + 9 pt;Курсив"/>
    <w:qFormat/>
    <w:pPr>
      <w:pBdr/>
      <w:spacing/>
      <w:ind/>
    </w:pPr>
    <w:rPr>
      <w:rFonts w:ascii="Times New Roman" w:hAnsi="Times New Roman" w:eastAsia="Times New Roman" w:cs="Times New Roman"/>
      <w:b w:val="0"/>
      <w:bCs w:val="0"/>
      <w:i/>
      <w:iCs/>
      <w:caps w:val="0"/>
      <w:smallCaps w:val="0"/>
      <w:strike w:val="0"/>
      <w:color w:val="000000"/>
      <w:spacing w:val="0"/>
      <w:sz w:val="18"/>
      <w:szCs w:val="18"/>
      <w:u w:val="none"/>
      <w:shd w:val="clear" w:color="auto" w:fill="ffffff"/>
      <w:lang w:val="ru-RU" w:eastAsia="ru-RU" w:bidi="ru-RU"/>
    </w:rPr>
  </w:style>
  <w:style w:type="character" w:styleId="10807" w:customStyle="1">
    <w:name w:val="Основной текст (96)_"/>
    <w:link w:val="12408"/>
    <w:qFormat/>
    <w:pPr>
      <w:pBdr/>
      <w:spacing/>
      <w:ind/>
    </w:pPr>
    <w:rPr>
      <w:sz w:val="15"/>
      <w:szCs w:val="15"/>
      <w:shd w:val="clear" w:color="auto" w:fill="ffffff"/>
    </w:rPr>
  </w:style>
  <w:style w:type="character" w:styleId="10808" w:customStyle="1">
    <w:name w:val="Основной текст (47) Exact"/>
    <w:link w:val="12409"/>
    <w:qFormat/>
    <w:pPr>
      <w:pBdr/>
      <w:spacing/>
      <w:ind/>
    </w:pPr>
    <w:rPr>
      <w:rFonts w:ascii="Times New Roman" w:hAnsi="Times New Roman" w:eastAsia="Times New Roman"/>
      <w:sz w:val="28"/>
      <w:szCs w:val="28"/>
      <w:shd w:val="clear" w:color="auto" w:fill="ffffff"/>
    </w:rPr>
  </w:style>
  <w:style w:type="character" w:styleId="10810" w:customStyle="1">
    <w:name w:val="Основной текст (155)_"/>
    <w:link w:val="12410"/>
    <w:qFormat/>
    <w:pPr>
      <w:pBdr/>
      <w:spacing/>
      <w:ind/>
    </w:pPr>
    <w:rPr>
      <w:rFonts w:ascii="Arial" w:hAnsi="Arial" w:eastAsia="Arial" w:cs="Arial"/>
      <w:sz w:val="14"/>
      <w:szCs w:val="14"/>
      <w:shd w:val="clear" w:color="auto" w:fill="ffffff"/>
    </w:rPr>
  </w:style>
  <w:style w:type="character" w:styleId="10811" w:customStyle="1">
    <w:name w:val="Основной текст (159) + 11 pt"/>
    <w:qFormat/>
    <w:pPr>
      <w:pBdr/>
      <w:spacing/>
      <w:ind/>
    </w:pPr>
    <w:rPr>
      <w:rFonts w:ascii="Times New Roman" w:hAnsi="Times New Roman" w:eastAsia="Times New Roman" w:cs="Times New Roman"/>
      <w:b w:val="0"/>
      <w:bCs w:val="0"/>
      <w:i w:val="0"/>
      <w:iCs w:val="0"/>
      <w:caps w:val="0"/>
      <w:smallCaps w:val="0"/>
      <w:strike w:val="0"/>
      <w:color w:val="000000"/>
      <w:spacing w:val="0"/>
      <w:sz w:val="22"/>
      <w:szCs w:val="22"/>
      <w:u w:val="none"/>
      <w:shd w:val="clear" w:color="auto" w:fill="ffffff"/>
      <w:lang w:val="ru-RU" w:eastAsia="ru-RU" w:bidi="ru-RU"/>
    </w:rPr>
  </w:style>
  <w:style w:type="character" w:styleId="10812" w:customStyle="1">
    <w:name w:val="Подпись к таблице (15) Exact"/>
    <w:link w:val="13974"/>
    <w:qFormat/>
    <w:pPr>
      <w:pBdr/>
      <w:spacing/>
      <w:ind/>
    </w:pPr>
    <w:rPr>
      <w:rFonts w:ascii="Trebuchet MS" w:hAnsi="Trebuchet MS" w:eastAsia="Trebuchet MS" w:cs="Trebuchet MS"/>
      <w:i/>
      <w:iCs/>
      <w:sz w:val="16"/>
      <w:szCs w:val="16"/>
      <w:shd w:val="clear" w:color="auto" w:fill="ffffff"/>
    </w:rPr>
  </w:style>
  <w:style w:type="character" w:styleId="10813" w:customStyle="1">
    <w:name w:val="Основной текст (159) + Малые прописные Exact"/>
    <w:qFormat/>
    <w:pPr>
      <w:pBdr/>
      <w:spacing/>
      <w:ind/>
    </w:pPr>
    <w:rPr>
      <w:rFonts w:ascii="Times New Roman" w:hAnsi="Times New Roman" w:eastAsia="Times New Roman" w:cs="Times New Roman"/>
      <w:b w:val="0"/>
      <w:bCs w:val="0"/>
      <w:i w:val="0"/>
      <w:iCs w:val="0"/>
      <w:smallCaps/>
      <w:strike w:val="0"/>
      <w:color w:val="000000"/>
      <w:spacing w:val="0"/>
      <w:sz w:val="24"/>
      <w:szCs w:val="24"/>
      <w:u w:val="none"/>
      <w:shd w:val="clear" w:color="auto" w:fill="ffffff"/>
      <w:lang w:val="en-US" w:eastAsia="en-US" w:bidi="en-US"/>
    </w:rPr>
  </w:style>
  <w:style w:type="character" w:styleId="10814" w:customStyle="1">
    <w:name w:val="Основной текст (159) + Arial;5;5 pt;Малые прописные Exact"/>
    <w:qFormat/>
    <w:pPr>
      <w:pBdr/>
      <w:spacing/>
      <w:ind/>
    </w:pPr>
    <w:rPr>
      <w:rFonts w:ascii="Arial" w:hAnsi="Arial" w:eastAsia="Arial" w:cs="Arial"/>
      <w:b w:val="0"/>
      <w:bCs w:val="0"/>
      <w:i w:val="0"/>
      <w:iCs w:val="0"/>
      <w:smallCaps/>
      <w:strike w:val="0"/>
      <w:color w:val="000000"/>
      <w:spacing w:val="0"/>
      <w:sz w:val="11"/>
      <w:szCs w:val="11"/>
      <w:u w:val="none"/>
      <w:shd w:val="clear" w:color="auto" w:fill="ffffff"/>
      <w:lang w:val="ru-RU" w:eastAsia="ru-RU" w:bidi="ru-RU"/>
    </w:rPr>
  </w:style>
  <w:style w:type="character" w:styleId="10815" w:customStyle="1">
    <w:name w:val="Текст титула Знак"/>
    <w:link w:val="12413"/>
    <w:qFormat/>
    <w:pPr>
      <w:pBdr/>
      <w:spacing/>
      <w:ind/>
    </w:pPr>
    <w:rPr>
      <w:rFonts w:ascii="Times New Roman" w:hAnsi="Times New Roman" w:eastAsia="Times New Roman" w:cs="Times New Roman"/>
      <w:b/>
      <w:sz w:val="24"/>
      <w:szCs w:val="20"/>
      <w:lang w:eastAsia="en-US"/>
    </w:rPr>
  </w:style>
  <w:style w:type="character" w:styleId="10816" w:customStyle="1">
    <w:name w:val="0.0 Текст Знак"/>
    <w:link w:val="12415"/>
    <w:qFormat/>
    <w:pPr>
      <w:pBdr/>
      <w:spacing/>
      <w:ind/>
    </w:pPr>
    <w:rPr>
      <w:rFonts w:ascii="Times New Roman" w:hAnsi="Times New Roman" w:eastAsia="Times New Roman" w:cs="Arial"/>
      <w:sz w:val="28"/>
      <w:lang w:eastAsia="en-US"/>
    </w:rPr>
  </w:style>
  <w:style w:type="character" w:styleId="10817" w:customStyle="1">
    <w:name w:val="Основной текст (2) + 6 pt"/>
    <w:qFormat/>
    <w:pPr>
      <w:pBdr/>
      <w:spacing/>
      <w:ind/>
    </w:pPr>
    <w:rPr>
      <w:rFonts w:ascii="Arial" w:hAnsi="Arial" w:eastAsia="Arial" w:cs="Arial"/>
      <w:b w:val="0"/>
      <w:bCs w:val="0"/>
      <w:i w:val="0"/>
      <w:iCs w:val="0"/>
      <w:caps w:val="0"/>
      <w:smallCaps w:val="0"/>
      <w:strike w:val="0"/>
      <w:color w:val="000000"/>
      <w:spacing w:val="0"/>
      <w:sz w:val="12"/>
      <w:szCs w:val="12"/>
      <w:u w:val="none"/>
      <w:shd w:val="clear" w:color="auto" w:fill="ffffff"/>
      <w:lang w:val="ru-RU" w:eastAsia="ru-RU" w:bidi="ru-RU"/>
    </w:rPr>
  </w:style>
  <w:style w:type="character" w:styleId="10818" w:customStyle="1">
    <w:name w:val="Основной текст (2) + 8 pt;Полужирный"/>
    <w:qFormat/>
    <w:pPr>
      <w:pBdr/>
      <w:spacing/>
      <w:ind/>
    </w:pPr>
    <w:rPr>
      <w:rFonts w:ascii="Arial" w:hAnsi="Arial" w:eastAsia="Arial" w:cs="Arial"/>
      <w:b/>
      <w:bCs/>
      <w:i w:val="0"/>
      <w:iCs w:val="0"/>
      <w:caps w:val="0"/>
      <w:smallCaps w:val="0"/>
      <w:strike w:val="0"/>
      <w:color w:val="000000"/>
      <w:spacing w:val="0"/>
      <w:sz w:val="16"/>
      <w:szCs w:val="16"/>
      <w:u w:val="none"/>
      <w:shd w:val="clear" w:color="auto" w:fill="ffffff"/>
      <w:lang w:val="ru-RU" w:eastAsia="ru-RU" w:bidi="ru-RU"/>
    </w:rPr>
  </w:style>
  <w:style w:type="character" w:styleId="10819" w:customStyle="1">
    <w:name w:val="! AAA ! Знак"/>
    <w:link w:val="12420"/>
    <w:uiPriority w:val="99"/>
    <w:qFormat/>
    <w:pPr>
      <w:pBdr/>
      <w:spacing/>
      <w:ind/>
    </w:pPr>
    <w:rPr>
      <w:sz w:val="24"/>
      <w:szCs w:val="16"/>
    </w:rPr>
  </w:style>
  <w:style w:type="character" w:styleId="10822" w:customStyle="1">
    <w:name w:val="Заголовок 6 Знак1"/>
    <w:qFormat/>
    <w:pPr>
      <w:pBdr/>
      <w:spacing/>
      <w:ind/>
    </w:pPr>
    <w:rPr>
      <w:rFonts w:ascii="Cambria" w:hAnsi="Cambria" w:eastAsia="Times New Roman" w:cs="Times New Roman"/>
      <w:color w:val="243f60"/>
    </w:rPr>
  </w:style>
  <w:style w:type="character" w:styleId="10825" w:customStyle="1">
    <w:name w:val="Заголовок 9 Знак1"/>
    <w:qFormat/>
    <w:pPr>
      <w:pBdr/>
      <w:spacing/>
      <w:ind/>
    </w:pPr>
    <w:rPr>
      <w:rFonts w:ascii="Cambria" w:hAnsi="Cambria" w:eastAsia="Times New Roman" w:cs="Times New Roman"/>
      <w:i/>
      <w:iCs/>
      <w:color w:val="272727"/>
      <w:sz w:val="21"/>
      <w:szCs w:val="21"/>
    </w:rPr>
  </w:style>
  <w:style w:type="character" w:styleId="10827" w:customStyle="1">
    <w:name w:val="Цитата 2 Знак1"/>
    <w:uiPriority w:val="29"/>
    <w:qFormat/>
    <w:pPr>
      <w:pBdr/>
      <w:spacing/>
      <w:ind/>
    </w:pPr>
    <w:rPr>
      <w:i/>
      <w:iCs/>
      <w:color w:val="404040"/>
    </w:rPr>
  </w:style>
  <w:style w:type="character" w:styleId="10828" w:customStyle="1">
    <w:name w:val="Выделенная цитата Знак1"/>
    <w:uiPriority w:val="30"/>
    <w:qFormat/>
    <w:pPr>
      <w:pBdr/>
      <w:spacing/>
      <w:ind/>
    </w:pPr>
    <w:rPr>
      <w:i/>
      <w:iCs/>
      <w:color w:val="4f81bd"/>
    </w:rPr>
  </w:style>
  <w:style w:type="character" w:styleId="10829" w:customStyle="1">
    <w:name w:val="Мой 1 Знак"/>
    <w:link w:val="12364"/>
    <w:qFormat/>
    <w:pPr>
      <w:pBdr/>
      <w:spacing/>
      <w:ind/>
    </w:pPr>
    <w:rPr>
      <w:rFonts w:ascii="Times New Roman" w:hAnsi="Times New Roman" w:eastAsia="TimesNewRomanPSMT" w:cs="Times New Roman"/>
      <w:b/>
      <w:color w:val="0070c0"/>
      <w:sz w:val="28"/>
      <w:szCs w:val="20"/>
      <w:lang w:eastAsia="en-US"/>
    </w:rPr>
  </w:style>
  <w:style w:type="character" w:styleId="10831" w:customStyle="1">
    <w:name w:val="в таблицу Знак"/>
    <w:link w:val="12434"/>
    <w:qFormat/>
    <w:pPr>
      <w:pBdr/>
      <w:spacing/>
      <w:ind/>
    </w:pPr>
    <w:rPr>
      <w:rFonts w:ascii="Times New Roman" w:hAnsi="Times New Roman" w:eastAsia="Times New Roman" w:cs="Times New Roman"/>
      <w:sz w:val="20"/>
      <w:szCs w:val="20"/>
    </w:rPr>
  </w:style>
  <w:style w:type="character" w:styleId="10832" w:customStyle="1">
    <w:name w:val="мой для рисунка Знак"/>
    <w:link w:val="12435"/>
    <w:qFormat/>
    <w:pPr>
      <w:pBdr/>
      <w:spacing/>
      <w:ind/>
    </w:pPr>
    <w:rPr>
      <w:rFonts w:ascii="Times New Roman" w:hAnsi="Times New Roman" w:eastAsia="Calibri" w:cs="Times New Roman"/>
      <w:b/>
      <w:sz w:val="24"/>
      <w:szCs w:val="28"/>
    </w:rPr>
  </w:style>
  <w:style w:type="character" w:styleId="10833" w:customStyle="1">
    <w:name w:val="таблица Знак"/>
    <w:link w:val="12090"/>
    <w:qFormat/>
    <w:pPr>
      <w:pBdr/>
      <w:spacing/>
      <w:ind/>
    </w:pPr>
    <w:rPr>
      <w:rFonts w:ascii="Times New Roman" w:hAnsi="Times New Roman" w:eastAsia="Times New Roman" w:cs="Arial"/>
      <w:b/>
      <w:sz w:val="24"/>
      <w:szCs w:val="20"/>
    </w:rPr>
  </w:style>
  <w:style w:type="character" w:styleId="10834" w:customStyle="1">
    <w:name w:val="Мой Рисунок Знак"/>
    <w:link w:val="12436"/>
    <w:qFormat/>
    <w:pPr>
      <w:pBdr/>
      <w:spacing/>
      <w:ind/>
    </w:pPr>
    <w:rPr>
      <w:rFonts w:ascii="Arial" w:hAnsi="Arial" w:eastAsia="Times New Roman" w:cs="Arial"/>
      <w:sz w:val="24"/>
      <w:szCs w:val="20"/>
    </w:rPr>
  </w:style>
  <w:style w:type="character" w:styleId="10835" w:customStyle="1">
    <w:name w:val="Стиль №3 Знак"/>
    <w:link w:val="12437"/>
    <w:qFormat/>
    <w:pPr>
      <w:pBdr/>
      <w:spacing/>
      <w:ind/>
    </w:pPr>
    <w:rPr>
      <w:rFonts w:ascii="Arial" w:hAnsi="Arial" w:eastAsia="Times New Roman" w:cs="Arial"/>
      <w:sz w:val="24"/>
      <w:szCs w:val="20"/>
    </w:rPr>
  </w:style>
  <w:style w:type="character" w:styleId="10837" w:customStyle="1">
    <w:name w:val="Стиль №6 Знак"/>
    <w:link w:val="12439"/>
    <w:qFormat/>
    <w:pPr>
      <w:pBdr/>
      <w:spacing/>
      <w:ind/>
    </w:pPr>
    <w:rPr>
      <w:rFonts w:ascii="Arial" w:hAnsi="Arial" w:eastAsia="Times New Roman" w:cs="Times New Roman"/>
      <w:sz w:val="20"/>
      <w:szCs w:val="28"/>
    </w:rPr>
  </w:style>
  <w:style w:type="character" w:styleId="10838" w:customStyle="1">
    <w:name w:val="Стиль №5 Знак"/>
    <w:link w:val="12440"/>
    <w:qFormat/>
    <w:pPr>
      <w:pBdr/>
      <w:spacing/>
      <w:ind/>
    </w:pPr>
    <w:rPr>
      <w:rFonts w:ascii="Times New Roman" w:hAnsi="Times New Roman" w:eastAsia="Times New Roman" w:cs="Arial"/>
      <w:sz w:val="24"/>
      <w:szCs w:val="20"/>
    </w:rPr>
  </w:style>
  <w:style w:type="character" w:styleId="10839" w:customStyle="1">
    <w:name w:val="Стиль №4 Знак"/>
    <w:link w:val="13520"/>
    <w:qFormat/>
    <w:pPr>
      <w:pBdr/>
      <w:spacing/>
      <w:ind/>
    </w:pPr>
    <w:rPr>
      <w:rFonts w:ascii="Arial" w:hAnsi="Arial" w:eastAsia="Calibri"/>
      <w:b/>
      <w:bCs/>
      <w:sz w:val="24"/>
    </w:rPr>
  </w:style>
  <w:style w:type="character" w:styleId="10840" w:customStyle="1">
    <w:name w:val="Стиль №8 Знак"/>
    <w:link w:val="12442"/>
    <w:qFormat/>
    <w:pPr>
      <w:pBdr/>
      <w:spacing/>
      <w:ind/>
    </w:pPr>
    <w:rPr>
      <w:rFonts w:ascii="Times New Roman" w:hAnsi="Times New Roman" w:eastAsia="Times New Roman" w:cs="Times New Roman"/>
      <w:b/>
      <w:sz w:val="24"/>
      <w:szCs w:val="24"/>
    </w:rPr>
  </w:style>
  <w:style w:type="character" w:styleId="10841" w:customStyle="1">
    <w:name w:val="Стиль №12 Знак"/>
    <w:link w:val="12443"/>
    <w:qFormat/>
    <w:pPr>
      <w:pBdr/>
      <w:spacing/>
      <w:ind/>
    </w:pPr>
    <w:rPr>
      <w:rFonts w:ascii="Times New Roman" w:hAnsi="Times New Roman" w:eastAsia="Calibri" w:cs="Times New Roman"/>
      <w:i/>
      <w:sz w:val="24"/>
    </w:rPr>
  </w:style>
  <w:style w:type="character" w:styleId="10842" w:customStyle="1">
    <w:name w:val="Стиль №11 Знак"/>
    <w:link w:val="13838"/>
    <w:qFormat/>
    <w:pPr>
      <w:pBdr/>
      <w:spacing/>
      <w:ind/>
    </w:pPr>
    <w:rPr>
      <w:rFonts w:ascii="Times New Roman" w:hAnsi="Times New Roman" w:eastAsia="Calibri" w:cs="Times New Roman"/>
      <w:sz w:val="24"/>
    </w:rPr>
  </w:style>
  <w:style w:type="character" w:styleId="10843" w:customStyle="1">
    <w:name w:val="Стиль №10 Знак"/>
    <w:link w:val="12445"/>
    <w:qFormat/>
    <w:pPr>
      <w:pBdr/>
      <w:spacing/>
      <w:ind/>
    </w:pPr>
    <w:rPr>
      <w:rFonts w:ascii="Arial" w:hAnsi="Arial" w:eastAsia="Times New Roman" w:cs="Arial"/>
      <w:i/>
      <w:sz w:val="24"/>
      <w:szCs w:val="20"/>
    </w:rPr>
  </w:style>
  <w:style w:type="character" w:styleId="10844" w:customStyle="1">
    <w:name w:val="Стиль №9 Знак"/>
    <w:link w:val="13723"/>
    <w:qFormat/>
    <w:pPr>
      <w:pBdr/>
      <w:spacing/>
      <w:ind/>
    </w:pPr>
    <w:rPr>
      <w:rFonts w:ascii="Times New Roman" w:hAnsi="Times New Roman" w:eastAsia="Calibri" w:cs="Times New Roman"/>
      <w:sz w:val="24"/>
    </w:rPr>
  </w:style>
  <w:style w:type="character" w:styleId="10845" w:customStyle="1">
    <w:name w:val="МОЯ ТАБЛИЦА Знак"/>
    <w:link w:val="12447"/>
    <w:qFormat/>
    <w:pPr>
      <w:pBdr/>
      <w:spacing/>
      <w:ind/>
    </w:pPr>
    <w:rPr>
      <w:rFonts w:ascii="Arial" w:hAnsi="Arial" w:eastAsia="Times New Roman" w:cs="Times New Roman"/>
      <w:bCs/>
      <w:sz w:val="24"/>
      <w:szCs w:val="28"/>
    </w:rPr>
  </w:style>
  <w:style w:type="character" w:styleId="10846" w:customStyle="1">
    <w:name w:val="таблица новая Знак"/>
    <w:link w:val="12448"/>
    <w:qFormat/>
    <w:pPr>
      <w:pBdr/>
      <w:spacing/>
      <w:ind/>
    </w:pPr>
    <w:rPr>
      <w:rFonts w:ascii="Arial" w:hAnsi="Arial" w:eastAsia="Times New Roman" w:cs="Times New Roman"/>
      <w:sz w:val="20"/>
      <w:szCs w:val="28"/>
    </w:rPr>
  </w:style>
  <w:style w:type="character" w:styleId="10847" w:customStyle="1">
    <w:name w:val="текст Знак"/>
    <w:link w:val="12449"/>
    <w:qFormat/>
    <w:pPr>
      <w:pBdr/>
      <w:spacing/>
      <w:ind/>
    </w:pPr>
    <w:rPr>
      <w:rFonts w:ascii="Arial" w:hAnsi="Arial" w:eastAsia="Times New Roman" w:cs="Arial"/>
      <w:bCs/>
      <w:sz w:val="24"/>
      <w:szCs w:val="24"/>
    </w:rPr>
  </w:style>
  <w:style w:type="character" w:styleId="10848" w:customStyle="1">
    <w:name w:val="Font Style47"/>
    <w:qFormat/>
    <w:pPr>
      <w:pBdr/>
      <w:spacing/>
      <w:ind/>
    </w:pPr>
    <w:rPr>
      <w:rFonts w:ascii="Times New Roman" w:hAnsi="Times New Roman" w:cs="Times New Roman"/>
      <w:sz w:val="26"/>
      <w:szCs w:val="26"/>
    </w:rPr>
  </w:style>
  <w:style w:type="character" w:styleId="10850" w:customStyle="1">
    <w:name w:val="ТАБЛ. Знак"/>
    <w:link w:val="12483"/>
    <w:qFormat/>
    <w:pPr>
      <w:pBdr/>
      <w:spacing/>
      <w:ind/>
    </w:pPr>
    <w:rPr>
      <w:rFonts w:ascii="Times New Roman" w:hAnsi="Times New Roman" w:eastAsia="Calibri" w:cs="Times New Roman"/>
      <w:b/>
      <w:sz w:val="24"/>
      <w:szCs w:val="24"/>
      <w:lang w:eastAsia="en-US"/>
    </w:rPr>
  </w:style>
  <w:style w:type="character" w:styleId="10851" w:customStyle="1">
    <w:name w:val="ТАБЛ Знак"/>
    <w:link w:val="12363"/>
    <w:qFormat/>
    <w:pPr>
      <w:pBdr/>
      <w:spacing/>
      <w:ind/>
    </w:pPr>
    <w:rPr>
      <w:rFonts w:ascii="Times New Roman" w:hAnsi="Times New Roman" w:eastAsia="Calibri" w:cs="Times New Roman"/>
      <w:b/>
      <w:sz w:val="24"/>
      <w:szCs w:val="24"/>
      <w:lang w:eastAsia="en-US"/>
    </w:rPr>
  </w:style>
  <w:style w:type="character" w:styleId="10852" w:customStyle="1">
    <w:name w:val="Текст Табл Знак"/>
    <w:link w:val="12486"/>
    <w:qFormat/>
    <w:pPr>
      <w:pBdr/>
      <w:spacing/>
      <w:ind/>
    </w:pPr>
    <w:rPr>
      <w:rFonts w:ascii="Times New Roman" w:hAnsi="Times New Roman" w:eastAsia="Times New Roman" w:cs="Times New Roman"/>
      <w:color w:val="000000"/>
      <w:sz w:val="20"/>
      <w:szCs w:val="24"/>
      <w:lang w:eastAsia="en-US"/>
    </w:rPr>
  </w:style>
  <w:style w:type="character" w:styleId="10853" w:customStyle="1">
    <w:name w:val="Текст Табл- Знак"/>
    <w:link w:val="12487"/>
    <w:qFormat/>
    <w:pPr>
      <w:pBdr/>
      <w:spacing/>
      <w:ind/>
    </w:pPr>
    <w:rPr>
      <w:rFonts w:ascii="Times New Roman" w:hAnsi="Times New Roman" w:eastAsia="Times New Roman" w:cs="Times New Roman"/>
      <w:color w:val="000000"/>
      <w:sz w:val="20"/>
      <w:szCs w:val="24"/>
      <w:lang w:eastAsia="en-US"/>
    </w:rPr>
  </w:style>
  <w:style w:type="character" w:styleId="10854" w:customStyle="1">
    <w:name w:val="Приложение Знак"/>
    <w:link w:val="13068"/>
    <w:qFormat/>
    <w:pPr>
      <w:pBdr/>
      <w:spacing/>
      <w:ind/>
    </w:pPr>
    <w:rPr>
      <w:rFonts w:ascii="Times New Roman" w:hAnsi="Times New Roman" w:eastAsia="Times New Roman" w:cs="Times New Roman"/>
      <w:b/>
      <w:caps/>
      <w:sz w:val="24"/>
      <w:szCs w:val="24"/>
      <w:lang w:eastAsia="en-US"/>
    </w:rPr>
  </w:style>
  <w:style w:type="character" w:styleId="10856" w:customStyle="1">
    <w:name w:val="Список-1 Знак"/>
    <w:link w:val="12490"/>
    <w:qFormat/>
    <w:pPr>
      <w:pBdr/>
      <w:spacing/>
      <w:ind/>
    </w:pPr>
    <w:rPr>
      <w:rFonts w:ascii="Times New Roman" w:hAnsi="Times New Roman" w:eastAsia="Times New Roman" w:cs="Times New Roman"/>
      <w:sz w:val="24"/>
      <w:szCs w:val="20"/>
      <w:lang w:eastAsia="en-US"/>
    </w:rPr>
  </w:style>
  <w:style w:type="character" w:styleId="10858" w:customStyle="1">
    <w:name w:val="ConsPlusCell Знак"/>
    <w:link w:val="11450"/>
    <w:qFormat/>
    <w:pPr>
      <w:pBdr/>
      <w:spacing/>
      <w:ind/>
    </w:pPr>
    <w:rPr>
      <w:rFonts w:ascii="Arial" w:hAnsi="Arial" w:eastAsia="Times New Roman" w:cs="Arial"/>
      <w:lang w:val="en-US" w:bidi="en-US"/>
    </w:rPr>
  </w:style>
  <w:style w:type="character" w:styleId="10859" w:customStyle="1">
    <w:name w:val="Заголовок-4 Знак"/>
    <w:link w:val="12492"/>
    <w:qFormat/>
    <w:pPr>
      <w:pBdr/>
      <w:spacing/>
      <w:ind/>
    </w:pPr>
    <w:rPr>
      <w:rFonts w:ascii="Times New Roman" w:hAnsi="Times New Roman" w:eastAsia="TimesNewRomanPSMT" w:cs="Times New Roman"/>
      <w:b/>
      <w:i/>
      <w:sz w:val="26"/>
      <w:szCs w:val="26"/>
      <w:lang w:eastAsia="en-US"/>
    </w:rPr>
  </w:style>
  <w:style w:type="character" w:styleId="10860" w:customStyle="1">
    <w:name w:val="Рисунок Знак"/>
    <w:link w:val="13069"/>
    <w:qFormat/>
    <w:pPr>
      <w:pBdr/>
      <w:spacing/>
      <w:ind/>
    </w:pPr>
    <w:rPr>
      <w:b/>
      <w:bCs/>
      <w:i/>
      <w:sz w:val="24"/>
    </w:rPr>
  </w:style>
  <w:style w:type="character" w:styleId="10861" w:customStyle="1">
    <w:name w:val="Рисунок Знак Знак Знак"/>
    <w:link w:val="12494"/>
    <w:qFormat/>
    <w:pPr>
      <w:pBdr/>
      <w:spacing/>
      <w:ind/>
    </w:pPr>
    <w:rPr>
      <w:rFonts w:ascii="Times New Roman" w:hAnsi="Times New Roman" w:eastAsia="Times New Roman" w:cs="Times New Roman"/>
      <w:b/>
      <w:bCs/>
      <w:i/>
      <w:sz w:val="24"/>
      <w:szCs w:val="24"/>
      <w:lang w:eastAsia="en-US"/>
    </w:rPr>
  </w:style>
  <w:style w:type="character" w:styleId="10863" w:customStyle="1">
    <w:name w:val="в табл Знак"/>
    <w:link w:val="12496"/>
    <w:qFormat/>
    <w:pPr>
      <w:pBdr/>
      <w:spacing/>
      <w:ind/>
    </w:pPr>
    <w:rPr>
      <w:rFonts w:ascii="Times New Roman" w:hAnsi="Times New Roman" w:eastAsia="Times New Roman" w:cs="Times New Roman"/>
      <w:sz w:val="24"/>
      <w:szCs w:val="20"/>
      <w:lang w:eastAsia="en-US"/>
    </w:rPr>
  </w:style>
  <w:style w:type="character" w:styleId="10864" w:customStyle="1">
    <w:name w:val="Жирный текст Знак"/>
    <w:link w:val="12497"/>
    <w:qFormat/>
    <w:pPr>
      <w:pBdr/>
      <w:spacing/>
      <w:ind/>
    </w:pPr>
    <w:rPr>
      <w:rFonts w:ascii="Times New Roman" w:hAnsi="Times New Roman" w:eastAsia="Calibri" w:cs="Times New Roman"/>
      <w:b/>
      <w:sz w:val="24"/>
      <w:szCs w:val="24"/>
      <w:lang w:eastAsia="en-US"/>
    </w:rPr>
  </w:style>
  <w:style w:type="character" w:styleId="10865" w:customStyle="1">
    <w:name w:val="Font Style624"/>
    <w:uiPriority w:val="99"/>
    <w:qFormat/>
    <w:pPr>
      <w:pBdr/>
      <w:spacing/>
      <w:ind/>
    </w:pPr>
    <w:rPr>
      <w:rFonts w:ascii="Times New Roman" w:hAnsi="Times New Roman" w:cs="Times New Roman"/>
      <w:sz w:val="26"/>
      <w:szCs w:val="26"/>
    </w:rPr>
  </w:style>
  <w:style w:type="character" w:styleId="10866" w:customStyle="1">
    <w:name w:val="Font Style621"/>
    <w:uiPriority w:val="99"/>
    <w:qFormat/>
    <w:pPr>
      <w:pBdr/>
      <w:spacing/>
      <w:ind/>
    </w:pPr>
    <w:rPr>
      <w:rFonts w:ascii="Times New Roman" w:hAnsi="Times New Roman" w:cs="Times New Roman"/>
      <w:sz w:val="22"/>
      <w:szCs w:val="22"/>
    </w:rPr>
  </w:style>
  <w:style w:type="character" w:styleId="10867" w:customStyle="1">
    <w:name w:val="Заг. без № Знак"/>
    <w:link w:val="12498"/>
    <w:qFormat/>
    <w:pPr>
      <w:pBdr/>
      <w:spacing/>
      <w:ind/>
    </w:pPr>
    <w:rPr>
      <w:rFonts w:ascii="Times New Roman" w:hAnsi="Times New Roman" w:eastAsia="Calibri" w:cs="Times New Roman"/>
      <w:b/>
      <w:i/>
      <w:sz w:val="24"/>
      <w:szCs w:val="24"/>
      <w:lang w:eastAsia="en-US"/>
    </w:rPr>
  </w:style>
  <w:style w:type="character" w:styleId="10868" w:customStyle="1">
    <w:name w:val="Нумерация М Знак"/>
    <w:link w:val="12499"/>
    <w:qFormat/>
    <w:pPr>
      <w:pBdr/>
      <w:spacing/>
      <w:ind/>
    </w:pPr>
    <w:rPr>
      <w:rFonts w:ascii="Times New Roman" w:hAnsi="Times New Roman" w:eastAsia="Calibri" w:cs="Times New Roman"/>
      <w:b/>
      <w:i/>
      <w:sz w:val="24"/>
      <w:szCs w:val="24"/>
      <w:lang w:eastAsia="en-US"/>
    </w:rPr>
  </w:style>
  <w:style w:type="character" w:styleId="10869" w:customStyle="1">
    <w:name w:val="Font Style644"/>
    <w:uiPriority w:val="99"/>
    <w:qFormat/>
    <w:pPr>
      <w:pBdr/>
      <w:spacing/>
      <w:ind/>
    </w:pPr>
    <w:rPr>
      <w:rFonts w:ascii="Times New Roman" w:hAnsi="Times New Roman" w:cs="Times New Roman"/>
      <w:sz w:val="26"/>
      <w:szCs w:val="26"/>
    </w:rPr>
  </w:style>
  <w:style w:type="character" w:styleId="10870" w:customStyle="1">
    <w:name w:val="Font Style638"/>
    <w:uiPriority w:val="99"/>
    <w:qFormat/>
    <w:pPr>
      <w:pBdr/>
      <w:spacing/>
      <w:ind/>
    </w:pPr>
    <w:rPr>
      <w:rFonts w:ascii="Times New Roman" w:hAnsi="Times New Roman" w:cs="Times New Roman"/>
      <w:sz w:val="18"/>
      <w:szCs w:val="18"/>
    </w:rPr>
  </w:style>
  <w:style w:type="character" w:styleId="10871" w:customStyle="1">
    <w:name w:val="Font Style640"/>
    <w:uiPriority w:val="99"/>
    <w:qFormat/>
    <w:pPr>
      <w:pBdr/>
      <w:spacing/>
      <w:ind/>
    </w:pPr>
    <w:rPr>
      <w:rFonts w:ascii="Times New Roman" w:hAnsi="Times New Roman" w:cs="Times New Roman"/>
      <w:sz w:val="22"/>
      <w:szCs w:val="22"/>
    </w:rPr>
  </w:style>
  <w:style w:type="character" w:styleId="10872" w:customStyle="1">
    <w:name w:val="Стиль4 Знак"/>
    <w:link w:val="12500"/>
    <w:qFormat/>
    <w:pPr>
      <w:pBdr/>
      <w:spacing/>
      <w:ind/>
    </w:pPr>
    <w:rPr>
      <w:rFonts w:ascii="Times New Roman" w:hAnsi="Times New Roman" w:eastAsia="Calibri" w:cs="Times New Roman"/>
      <w:sz w:val="24"/>
      <w:szCs w:val="24"/>
      <w:lang w:eastAsia="ar-SA"/>
    </w:rPr>
  </w:style>
  <w:style w:type="character" w:styleId="10874" w:customStyle="1">
    <w:name w:val="Font Style505"/>
    <w:uiPriority w:val="99"/>
    <w:qFormat/>
    <w:pPr>
      <w:pBdr/>
      <w:spacing/>
      <w:ind/>
    </w:pPr>
    <w:rPr>
      <w:rFonts w:ascii="Times New Roman" w:hAnsi="Times New Roman" w:cs="Times New Roman"/>
      <w:sz w:val="26"/>
      <w:szCs w:val="26"/>
    </w:rPr>
  </w:style>
  <w:style w:type="character" w:styleId="10875" w:customStyle="1">
    <w:name w:val="Font Style515"/>
    <w:uiPriority w:val="99"/>
    <w:qFormat/>
    <w:pPr>
      <w:pBdr/>
      <w:spacing/>
      <w:ind/>
    </w:pPr>
    <w:rPr>
      <w:rFonts w:ascii="Times New Roman" w:hAnsi="Times New Roman" w:cs="Times New Roman"/>
      <w:sz w:val="26"/>
      <w:szCs w:val="26"/>
    </w:rPr>
  </w:style>
  <w:style w:type="character" w:styleId="10876" w:customStyle="1">
    <w:name w:val="номер страницы"/>
    <w:qFormat/>
    <w:pPr>
      <w:pBdr/>
      <w:spacing/>
      <w:ind/>
    </w:pPr>
  </w:style>
  <w:style w:type="character" w:styleId="10877" w:customStyle="1">
    <w:name w:val="Font Style68"/>
    <w:uiPriority w:val="99"/>
    <w:qFormat/>
    <w:pPr>
      <w:pBdr/>
      <w:spacing/>
      <w:ind/>
    </w:pPr>
    <w:rPr>
      <w:rFonts w:ascii="Times New Roman" w:hAnsi="Times New Roman" w:cs="Times New Roman"/>
      <w:sz w:val="22"/>
      <w:szCs w:val="22"/>
    </w:rPr>
  </w:style>
  <w:style w:type="character" w:styleId="10878" w:customStyle="1">
    <w:name w:val="Font Style70"/>
    <w:uiPriority w:val="99"/>
    <w:qFormat/>
    <w:pPr>
      <w:pBdr/>
      <w:spacing/>
      <w:ind/>
    </w:pPr>
    <w:rPr>
      <w:rFonts w:ascii="Times New Roman" w:hAnsi="Times New Roman" w:cs="Times New Roman"/>
      <w:b/>
      <w:bCs/>
      <w:sz w:val="20"/>
      <w:szCs w:val="20"/>
    </w:rPr>
  </w:style>
  <w:style w:type="character" w:styleId="10879" w:customStyle="1">
    <w:name w:val="Font Style480"/>
    <w:qFormat/>
    <w:pPr>
      <w:pBdr/>
      <w:spacing/>
      <w:ind/>
    </w:pPr>
    <w:rPr>
      <w:rFonts w:ascii="Times New Roman" w:hAnsi="Times New Roman" w:cs="Times New Roman"/>
      <w:sz w:val="26"/>
      <w:szCs w:val="26"/>
    </w:rPr>
  </w:style>
  <w:style w:type="character" w:styleId="10880" w:customStyle="1">
    <w:name w:val="Font Style483"/>
    <w:uiPriority w:val="99"/>
    <w:qFormat/>
    <w:pPr>
      <w:pBdr/>
      <w:spacing/>
      <w:ind/>
    </w:pPr>
    <w:rPr>
      <w:rFonts w:ascii="Times New Roman" w:hAnsi="Times New Roman" w:cs="Times New Roman"/>
      <w:sz w:val="24"/>
      <w:szCs w:val="24"/>
    </w:rPr>
  </w:style>
  <w:style w:type="character" w:styleId="10881" w:customStyle="1">
    <w:name w:val="Font Style534"/>
    <w:uiPriority w:val="99"/>
    <w:qFormat/>
    <w:pPr>
      <w:pBdr/>
      <w:spacing/>
      <w:ind/>
    </w:pPr>
    <w:rPr>
      <w:rFonts w:ascii="Times New Roman" w:hAnsi="Times New Roman" w:cs="Times New Roman"/>
      <w:i/>
      <w:iCs/>
      <w:sz w:val="26"/>
      <w:szCs w:val="26"/>
    </w:rPr>
  </w:style>
  <w:style w:type="character" w:styleId="10883" w:customStyle="1">
    <w:name w:val="Font Style454"/>
    <w:uiPriority w:val="99"/>
    <w:qFormat/>
    <w:pPr>
      <w:pBdr/>
      <w:spacing/>
      <w:ind/>
    </w:pPr>
    <w:rPr>
      <w:rFonts w:ascii="Times New Roman" w:hAnsi="Times New Roman" w:cs="Times New Roman"/>
      <w:sz w:val="26"/>
      <w:szCs w:val="26"/>
    </w:rPr>
  </w:style>
  <w:style w:type="character" w:styleId="10884" w:customStyle="1">
    <w:name w:val="Font Style442"/>
    <w:uiPriority w:val="99"/>
    <w:qFormat/>
    <w:pPr>
      <w:pBdr/>
      <w:spacing/>
      <w:ind/>
    </w:pPr>
    <w:rPr>
      <w:rFonts w:ascii="Times New Roman" w:hAnsi="Times New Roman" w:cs="Times New Roman"/>
      <w:b/>
      <w:bCs/>
      <w:i/>
      <w:iCs/>
      <w:sz w:val="18"/>
      <w:szCs w:val="18"/>
    </w:rPr>
  </w:style>
  <w:style w:type="character" w:styleId="10885" w:customStyle="1">
    <w:name w:val="Font Style481"/>
    <w:uiPriority w:val="99"/>
    <w:qFormat/>
    <w:pPr>
      <w:pBdr/>
      <w:spacing/>
      <w:ind/>
    </w:pPr>
    <w:rPr>
      <w:rFonts w:ascii="Times New Roman" w:hAnsi="Times New Roman" w:cs="Times New Roman"/>
      <w:b/>
      <w:bCs/>
      <w:i/>
      <w:iCs/>
      <w:sz w:val="22"/>
      <w:szCs w:val="22"/>
    </w:rPr>
  </w:style>
  <w:style w:type="character" w:styleId="10886" w:customStyle="1">
    <w:name w:val="Font Style485"/>
    <w:uiPriority w:val="99"/>
    <w:qFormat/>
    <w:pPr>
      <w:pBdr/>
      <w:spacing/>
      <w:ind/>
    </w:pPr>
    <w:rPr>
      <w:rFonts w:ascii="Times New Roman" w:hAnsi="Times New Roman" w:cs="Times New Roman"/>
      <w:b/>
      <w:bCs/>
      <w:i/>
      <w:iCs/>
      <w:sz w:val="26"/>
      <w:szCs w:val="26"/>
    </w:rPr>
  </w:style>
  <w:style w:type="character" w:styleId="10887" w:customStyle="1">
    <w:name w:val="Font Style540"/>
    <w:uiPriority w:val="99"/>
    <w:qFormat/>
    <w:pPr>
      <w:pBdr/>
      <w:spacing/>
      <w:ind/>
    </w:pPr>
    <w:rPr>
      <w:rFonts w:ascii="Georgia" w:hAnsi="Georgia" w:cs="Georgia"/>
      <w:b/>
      <w:bCs/>
      <w:i/>
      <w:iCs/>
      <w:sz w:val="42"/>
      <w:szCs w:val="42"/>
    </w:rPr>
  </w:style>
  <w:style w:type="character" w:styleId="10888" w:customStyle="1">
    <w:name w:val="Font Style45"/>
    <w:uiPriority w:val="99"/>
    <w:qFormat/>
    <w:pPr>
      <w:pBdr/>
      <w:spacing/>
      <w:ind/>
    </w:pPr>
    <w:rPr>
      <w:rFonts w:ascii="Microsoft Sans Serif" w:hAnsi="Microsoft Sans Serif" w:cs="Microsoft Sans Serif"/>
      <w:sz w:val="18"/>
      <w:szCs w:val="18"/>
    </w:rPr>
  </w:style>
  <w:style w:type="character" w:styleId="10889" w:customStyle="1">
    <w:name w:val="Font Style44"/>
    <w:uiPriority w:val="99"/>
    <w:qFormat/>
    <w:pPr>
      <w:pBdr/>
      <w:spacing/>
      <w:ind/>
    </w:pPr>
    <w:rPr>
      <w:rFonts w:ascii="Times New Roman" w:hAnsi="Times New Roman" w:cs="Times New Roman"/>
      <w:b/>
      <w:bCs/>
      <w:spacing w:val="-10"/>
      <w:sz w:val="18"/>
      <w:szCs w:val="18"/>
    </w:rPr>
  </w:style>
  <w:style w:type="character" w:styleId="10890" w:customStyle="1">
    <w:name w:val="Font Style54"/>
    <w:qFormat/>
    <w:pPr>
      <w:pBdr/>
      <w:spacing/>
      <w:ind/>
    </w:pPr>
    <w:rPr>
      <w:rFonts w:ascii="Times New Roman" w:hAnsi="Times New Roman" w:cs="Times New Roman"/>
      <w:sz w:val="20"/>
      <w:szCs w:val="20"/>
    </w:rPr>
  </w:style>
  <w:style w:type="character" w:styleId="10891" w:customStyle="1">
    <w:name w:val="Font Style55"/>
    <w:uiPriority w:val="99"/>
    <w:qFormat/>
    <w:pPr>
      <w:pBdr/>
      <w:spacing/>
      <w:ind/>
    </w:pPr>
    <w:rPr>
      <w:rFonts w:ascii="Microsoft Sans Serif" w:hAnsi="Microsoft Sans Serif" w:cs="Microsoft Sans Serif"/>
      <w:b/>
      <w:bCs/>
      <w:spacing w:val="-20"/>
      <w:sz w:val="16"/>
      <w:szCs w:val="16"/>
    </w:rPr>
  </w:style>
  <w:style w:type="character" w:styleId="10892" w:customStyle="1">
    <w:name w:val="Font Style56"/>
    <w:uiPriority w:val="99"/>
    <w:qFormat/>
    <w:pPr>
      <w:pBdr/>
      <w:spacing/>
      <w:ind/>
    </w:pPr>
    <w:rPr>
      <w:rFonts w:ascii="Microsoft Sans Serif" w:hAnsi="Microsoft Sans Serif" w:cs="Microsoft Sans Serif"/>
      <w:b/>
      <w:bCs/>
      <w:sz w:val="18"/>
      <w:szCs w:val="18"/>
    </w:rPr>
  </w:style>
  <w:style w:type="character" w:styleId="10893" w:customStyle="1">
    <w:name w:val="Font Style383"/>
    <w:uiPriority w:val="99"/>
    <w:qFormat/>
    <w:pPr>
      <w:pBdr/>
      <w:spacing/>
      <w:ind/>
    </w:pPr>
    <w:rPr>
      <w:rFonts w:ascii="Times New Roman" w:hAnsi="Times New Roman" w:cs="Times New Roman"/>
      <w:sz w:val="22"/>
      <w:szCs w:val="22"/>
    </w:rPr>
  </w:style>
  <w:style w:type="character" w:styleId="10894" w:customStyle="1">
    <w:name w:val="Font Style387"/>
    <w:uiPriority w:val="99"/>
    <w:qFormat/>
    <w:pPr>
      <w:pBdr/>
      <w:spacing/>
      <w:ind/>
    </w:pPr>
    <w:rPr>
      <w:rFonts w:ascii="Times New Roman" w:hAnsi="Times New Roman" w:cs="Times New Roman"/>
      <w:i/>
      <w:iCs/>
      <w:sz w:val="22"/>
      <w:szCs w:val="22"/>
    </w:rPr>
  </w:style>
  <w:style w:type="character" w:styleId="10895" w:customStyle="1">
    <w:name w:val="Font Style371"/>
    <w:uiPriority w:val="99"/>
    <w:qFormat/>
    <w:pPr>
      <w:pBdr/>
      <w:spacing/>
      <w:ind/>
    </w:pPr>
    <w:rPr>
      <w:rFonts w:ascii="Times New Roman" w:hAnsi="Times New Roman" w:cs="Times New Roman"/>
      <w:b/>
      <w:bCs/>
      <w:sz w:val="22"/>
      <w:szCs w:val="22"/>
    </w:rPr>
  </w:style>
  <w:style w:type="character" w:styleId="10896" w:customStyle="1">
    <w:name w:val="Font Style395"/>
    <w:uiPriority w:val="99"/>
    <w:qFormat/>
    <w:pPr>
      <w:pBdr/>
      <w:spacing/>
      <w:ind/>
    </w:pPr>
    <w:rPr>
      <w:rFonts w:ascii="Times New Roman" w:hAnsi="Times New Roman" w:cs="Times New Roman"/>
      <w:sz w:val="20"/>
      <w:szCs w:val="20"/>
    </w:rPr>
  </w:style>
  <w:style w:type="character" w:styleId="10897" w:customStyle="1">
    <w:name w:val="Font Style403"/>
    <w:uiPriority w:val="99"/>
    <w:qFormat/>
    <w:pPr>
      <w:pBdr/>
      <w:spacing/>
      <w:ind/>
    </w:pPr>
    <w:rPr>
      <w:rFonts w:ascii="Times New Roman" w:hAnsi="Times New Roman" w:cs="Times New Roman"/>
      <w:b/>
      <w:bCs/>
      <w:sz w:val="18"/>
      <w:szCs w:val="18"/>
    </w:rPr>
  </w:style>
  <w:style w:type="character" w:styleId="10898" w:customStyle="1">
    <w:name w:val="Font Style438"/>
    <w:uiPriority w:val="99"/>
    <w:qFormat/>
    <w:pPr>
      <w:pBdr/>
      <w:spacing/>
      <w:ind/>
    </w:pPr>
    <w:rPr>
      <w:rFonts w:ascii="Times New Roman" w:hAnsi="Times New Roman" w:cs="Times New Roman"/>
      <w:b/>
      <w:bCs/>
      <w:sz w:val="20"/>
      <w:szCs w:val="20"/>
    </w:rPr>
  </w:style>
  <w:style w:type="character" w:styleId="10899" w:customStyle="1">
    <w:name w:val="Font Style439"/>
    <w:uiPriority w:val="99"/>
    <w:qFormat/>
    <w:pPr>
      <w:pBdr/>
      <w:spacing/>
      <w:ind/>
    </w:pPr>
    <w:rPr>
      <w:rFonts w:ascii="Arial Unicode MS" w:hAnsi="Arial Unicode MS" w:eastAsia="Arial Unicode MS" w:cs="Arial Unicode MS"/>
      <w:sz w:val="20"/>
      <w:szCs w:val="20"/>
    </w:rPr>
  </w:style>
  <w:style w:type="character" w:styleId="10901" w:customStyle="1">
    <w:name w:val="Font Style452"/>
    <w:uiPriority w:val="99"/>
    <w:qFormat/>
    <w:pPr>
      <w:pBdr/>
      <w:spacing/>
      <w:ind/>
    </w:pPr>
    <w:rPr>
      <w:rFonts w:ascii="Times New Roman" w:hAnsi="Times New Roman" w:cs="Times New Roman"/>
      <w:b/>
      <w:bCs/>
      <w:sz w:val="18"/>
      <w:szCs w:val="18"/>
    </w:rPr>
  </w:style>
  <w:style w:type="character" w:styleId="10902" w:customStyle="1">
    <w:name w:val="Font Style473"/>
    <w:uiPriority w:val="99"/>
    <w:qFormat/>
    <w:pPr>
      <w:pBdr/>
      <w:spacing/>
      <w:ind/>
    </w:pPr>
    <w:rPr>
      <w:rFonts w:ascii="Franklin Gothic Demi Cond" w:hAnsi="Franklin Gothic Demi Cond" w:cs="Franklin Gothic Demi Cond"/>
      <w:sz w:val="14"/>
      <w:szCs w:val="14"/>
    </w:rPr>
  </w:style>
  <w:style w:type="character" w:styleId="10903" w:customStyle="1">
    <w:name w:val="Font Style499"/>
    <w:uiPriority w:val="99"/>
    <w:qFormat/>
    <w:pPr>
      <w:pBdr/>
      <w:spacing/>
      <w:ind/>
    </w:pPr>
    <w:rPr>
      <w:rFonts w:ascii="Franklin Gothic Demi Cond" w:hAnsi="Franklin Gothic Demi Cond" w:cs="Franklin Gothic Demi Cond"/>
      <w:sz w:val="16"/>
      <w:szCs w:val="16"/>
    </w:rPr>
  </w:style>
  <w:style w:type="character" w:styleId="10904" w:customStyle="1">
    <w:name w:val="Font Style557"/>
    <w:uiPriority w:val="99"/>
    <w:qFormat/>
    <w:pPr>
      <w:pBdr/>
      <w:spacing/>
      <w:ind/>
    </w:pPr>
    <w:rPr>
      <w:rFonts w:ascii="Arial" w:hAnsi="Arial" w:cs="Arial"/>
      <w:b/>
      <w:bCs/>
      <w:sz w:val="8"/>
      <w:szCs w:val="8"/>
    </w:rPr>
  </w:style>
  <w:style w:type="character" w:styleId="10905" w:customStyle="1">
    <w:name w:val="Font Style558"/>
    <w:uiPriority w:val="99"/>
    <w:qFormat/>
    <w:pPr>
      <w:pBdr/>
      <w:spacing/>
      <w:ind/>
    </w:pPr>
    <w:rPr>
      <w:rFonts w:ascii="Trebuchet MS" w:hAnsi="Trebuchet MS" w:cs="Trebuchet MS"/>
      <w:sz w:val="24"/>
      <w:szCs w:val="24"/>
    </w:rPr>
  </w:style>
  <w:style w:type="character" w:styleId="10906" w:customStyle="1">
    <w:name w:val="Font Style559"/>
    <w:uiPriority w:val="99"/>
    <w:qFormat/>
    <w:pPr>
      <w:pBdr/>
      <w:spacing/>
      <w:ind/>
    </w:pPr>
    <w:rPr>
      <w:rFonts w:ascii="Trebuchet MS" w:hAnsi="Trebuchet MS" w:cs="Trebuchet MS"/>
      <w:b/>
      <w:bCs/>
      <w:sz w:val="18"/>
      <w:szCs w:val="18"/>
    </w:rPr>
  </w:style>
  <w:style w:type="character" w:styleId="10907" w:customStyle="1">
    <w:name w:val="Font Style560"/>
    <w:uiPriority w:val="99"/>
    <w:qFormat/>
    <w:pPr>
      <w:pBdr/>
      <w:spacing/>
      <w:ind/>
    </w:pPr>
    <w:rPr>
      <w:rFonts w:ascii="Arial" w:hAnsi="Arial" w:cs="Arial"/>
      <w:sz w:val="18"/>
      <w:szCs w:val="18"/>
    </w:rPr>
  </w:style>
  <w:style w:type="character" w:styleId="10908" w:customStyle="1">
    <w:name w:val="Font Style561"/>
    <w:uiPriority w:val="99"/>
    <w:qFormat/>
    <w:pPr>
      <w:pBdr/>
      <w:spacing/>
      <w:ind/>
    </w:pPr>
    <w:rPr>
      <w:rFonts w:ascii="Times New Roman" w:hAnsi="Times New Roman" w:cs="Times New Roman"/>
      <w:b/>
      <w:bCs/>
      <w:sz w:val="20"/>
      <w:szCs w:val="20"/>
    </w:rPr>
  </w:style>
  <w:style w:type="character" w:styleId="10909" w:customStyle="1">
    <w:name w:val="Font Style475"/>
    <w:uiPriority w:val="99"/>
    <w:qFormat/>
    <w:pPr>
      <w:pBdr/>
      <w:spacing/>
      <w:ind/>
    </w:pPr>
    <w:rPr>
      <w:rFonts w:ascii="Franklin Gothic Demi Cond" w:hAnsi="Franklin Gothic Demi Cond" w:cs="Franklin Gothic Demi Cond"/>
      <w:smallCaps/>
      <w:sz w:val="16"/>
      <w:szCs w:val="16"/>
    </w:rPr>
  </w:style>
  <w:style w:type="character" w:styleId="10910" w:customStyle="1">
    <w:name w:val="Font Style536"/>
    <w:uiPriority w:val="99"/>
    <w:qFormat/>
    <w:pPr>
      <w:pBdr/>
      <w:spacing/>
      <w:ind/>
    </w:pPr>
    <w:rPr>
      <w:rFonts w:ascii="Times New Roman" w:hAnsi="Times New Roman" w:cs="Times New Roman"/>
      <w:b/>
      <w:bCs/>
      <w:sz w:val="16"/>
      <w:szCs w:val="16"/>
    </w:rPr>
  </w:style>
  <w:style w:type="character" w:styleId="10911" w:customStyle="1">
    <w:name w:val="Font Style554"/>
    <w:uiPriority w:val="99"/>
    <w:qFormat/>
    <w:pPr>
      <w:pBdr/>
      <w:spacing/>
      <w:ind/>
    </w:pPr>
    <w:rPr>
      <w:rFonts w:ascii="Times New Roman" w:hAnsi="Times New Roman" w:cs="Times New Roman"/>
      <w:b/>
      <w:bCs/>
      <w:sz w:val="22"/>
      <w:szCs w:val="22"/>
    </w:rPr>
  </w:style>
  <w:style w:type="character" w:styleId="10912" w:customStyle="1">
    <w:name w:val="Font Style562"/>
    <w:uiPriority w:val="99"/>
    <w:qFormat/>
    <w:pPr>
      <w:pBdr/>
      <w:spacing/>
      <w:ind/>
    </w:pPr>
    <w:rPr>
      <w:rFonts w:ascii="Arial" w:hAnsi="Arial" w:cs="Arial"/>
      <w:b/>
      <w:bCs/>
      <w:sz w:val="18"/>
      <w:szCs w:val="18"/>
    </w:rPr>
  </w:style>
  <w:style w:type="character" w:styleId="10913" w:customStyle="1">
    <w:name w:val="Font Style563"/>
    <w:uiPriority w:val="99"/>
    <w:qFormat/>
    <w:pPr>
      <w:pBdr/>
      <w:spacing/>
      <w:ind/>
    </w:pPr>
    <w:rPr>
      <w:rFonts w:ascii="Trebuchet MS" w:hAnsi="Trebuchet MS" w:cs="Trebuchet MS"/>
      <w:sz w:val="24"/>
      <w:szCs w:val="24"/>
    </w:rPr>
  </w:style>
  <w:style w:type="character" w:styleId="10914" w:customStyle="1">
    <w:name w:val="Font Style564"/>
    <w:uiPriority w:val="99"/>
    <w:qFormat/>
    <w:pPr>
      <w:pBdr/>
      <w:spacing/>
      <w:ind/>
    </w:pPr>
    <w:rPr>
      <w:rFonts w:ascii="Franklin Gothic Demi Cond" w:hAnsi="Franklin Gothic Demi Cond" w:cs="Franklin Gothic Demi Cond"/>
      <w:b/>
      <w:bCs/>
      <w:sz w:val="22"/>
      <w:szCs w:val="22"/>
    </w:rPr>
  </w:style>
  <w:style w:type="character" w:styleId="10915" w:customStyle="1">
    <w:name w:val="Font Style565"/>
    <w:uiPriority w:val="99"/>
    <w:qFormat/>
    <w:pPr>
      <w:pBdr/>
      <w:spacing/>
      <w:ind/>
    </w:pPr>
    <w:rPr>
      <w:rFonts w:ascii="Arial" w:hAnsi="Arial" w:cs="Arial"/>
      <w:sz w:val="18"/>
      <w:szCs w:val="18"/>
    </w:rPr>
  </w:style>
  <w:style w:type="character" w:styleId="10916" w:customStyle="1">
    <w:name w:val="Font Style566"/>
    <w:uiPriority w:val="99"/>
    <w:qFormat/>
    <w:pPr>
      <w:pBdr/>
      <w:spacing/>
      <w:ind/>
    </w:pPr>
    <w:rPr>
      <w:rFonts w:ascii="Trebuchet MS" w:hAnsi="Trebuchet MS" w:cs="Trebuchet MS"/>
      <w:sz w:val="22"/>
      <w:szCs w:val="22"/>
    </w:rPr>
  </w:style>
  <w:style w:type="character" w:styleId="10917" w:customStyle="1">
    <w:name w:val="Font Style506"/>
    <w:uiPriority w:val="99"/>
    <w:qFormat/>
    <w:pPr>
      <w:pBdr/>
      <w:spacing/>
      <w:ind/>
    </w:pPr>
    <w:rPr>
      <w:rFonts w:ascii="Times New Roman" w:hAnsi="Times New Roman" w:cs="Times New Roman"/>
      <w:sz w:val="22"/>
      <w:szCs w:val="22"/>
    </w:rPr>
  </w:style>
  <w:style w:type="character" w:styleId="10918" w:customStyle="1">
    <w:name w:val="Font Style457"/>
    <w:uiPriority w:val="99"/>
    <w:qFormat/>
    <w:pPr>
      <w:pBdr/>
      <w:spacing/>
      <w:ind/>
    </w:pPr>
    <w:rPr>
      <w:rFonts w:ascii="Times New Roman" w:hAnsi="Times New Roman" w:cs="Times New Roman"/>
      <w:b/>
      <w:bCs/>
      <w:i/>
      <w:iCs/>
      <w:sz w:val="20"/>
      <w:szCs w:val="20"/>
    </w:rPr>
  </w:style>
  <w:style w:type="character" w:styleId="10919" w:customStyle="1">
    <w:name w:val="Font Style525"/>
    <w:uiPriority w:val="99"/>
    <w:qFormat/>
    <w:pPr>
      <w:pBdr/>
      <w:spacing/>
      <w:ind/>
    </w:pPr>
    <w:rPr>
      <w:rFonts w:ascii="Franklin Gothic Demi Cond" w:hAnsi="Franklin Gothic Demi Cond" w:cs="Franklin Gothic Demi Cond"/>
      <w:b/>
      <w:bCs/>
      <w:i/>
      <w:iCs/>
      <w:sz w:val="38"/>
      <w:szCs w:val="38"/>
    </w:rPr>
  </w:style>
  <w:style w:type="character" w:styleId="10920" w:customStyle="1">
    <w:name w:val="Font Style461"/>
    <w:uiPriority w:val="99"/>
    <w:qFormat/>
    <w:pPr>
      <w:pBdr/>
      <w:spacing/>
      <w:ind/>
    </w:pPr>
    <w:rPr>
      <w:rFonts w:ascii="Times New Roman" w:hAnsi="Times New Roman" w:cs="Times New Roman"/>
      <w:b/>
      <w:bCs/>
      <w:i/>
      <w:iCs/>
      <w:spacing w:val="-10"/>
      <w:sz w:val="22"/>
      <w:szCs w:val="22"/>
    </w:rPr>
  </w:style>
  <w:style w:type="character" w:styleId="10921" w:customStyle="1">
    <w:name w:val="Font Style509"/>
    <w:uiPriority w:val="99"/>
    <w:qFormat/>
    <w:pPr>
      <w:pBdr/>
      <w:spacing/>
      <w:ind/>
    </w:pPr>
    <w:rPr>
      <w:rFonts w:ascii="Franklin Gothic Demi Cond" w:hAnsi="Franklin Gothic Demi Cond" w:cs="Franklin Gothic Demi Cond"/>
      <w:sz w:val="22"/>
      <w:szCs w:val="22"/>
    </w:rPr>
  </w:style>
  <w:style w:type="character" w:styleId="10922" w:customStyle="1">
    <w:name w:val="Font Style510"/>
    <w:uiPriority w:val="99"/>
    <w:qFormat/>
    <w:pPr>
      <w:pBdr/>
      <w:spacing/>
      <w:ind/>
    </w:pPr>
    <w:rPr>
      <w:rFonts w:ascii="Times New Roman" w:hAnsi="Times New Roman" w:cs="Times New Roman"/>
      <w:b/>
      <w:bCs/>
      <w:i/>
      <w:iCs/>
      <w:sz w:val="16"/>
      <w:szCs w:val="16"/>
    </w:rPr>
  </w:style>
  <w:style w:type="character" w:styleId="10923" w:customStyle="1">
    <w:name w:val="Font Style551"/>
    <w:uiPriority w:val="99"/>
    <w:qFormat/>
    <w:pPr>
      <w:pBdr/>
      <w:spacing/>
      <w:ind/>
    </w:pPr>
    <w:rPr>
      <w:rFonts w:ascii="Times New Roman" w:hAnsi="Times New Roman" w:cs="Times New Roman"/>
      <w:i/>
      <w:iCs/>
      <w:sz w:val="26"/>
      <w:szCs w:val="26"/>
    </w:rPr>
  </w:style>
  <w:style w:type="character" w:styleId="10924" w:customStyle="1">
    <w:name w:val="Font Style568"/>
    <w:uiPriority w:val="99"/>
    <w:qFormat/>
    <w:pPr>
      <w:pBdr/>
      <w:spacing/>
      <w:ind/>
    </w:pPr>
    <w:rPr>
      <w:rFonts w:ascii="Times New Roman" w:hAnsi="Times New Roman" w:cs="Times New Roman"/>
      <w:i/>
      <w:iCs/>
      <w:sz w:val="22"/>
      <w:szCs w:val="22"/>
    </w:rPr>
  </w:style>
  <w:style w:type="character" w:styleId="10925" w:customStyle="1">
    <w:name w:val="Font Style571"/>
    <w:uiPriority w:val="99"/>
    <w:qFormat/>
    <w:pPr>
      <w:pBdr/>
      <w:spacing/>
      <w:ind/>
    </w:pPr>
    <w:rPr>
      <w:rFonts w:ascii="Times New Roman" w:hAnsi="Times New Roman" w:cs="Times New Roman"/>
      <w:sz w:val="22"/>
      <w:szCs w:val="22"/>
    </w:rPr>
  </w:style>
  <w:style w:type="character" w:styleId="10926" w:customStyle="1">
    <w:name w:val="Font Style585"/>
    <w:uiPriority w:val="99"/>
    <w:qFormat/>
    <w:pPr>
      <w:pBdr/>
      <w:spacing/>
      <w:ind/>
    </w:pPr>
    <w:rPr>
      <w:rFonts w:ascii="Times New Roman" w:hAnsi="Times New Roman" w:cs="Times New Roman"/>
      <w:sz w:val="28"/>
      <w:szCs w:val="28"/>
    </w:rPr>
  </w:style>
  <w:style w:type="character" w:styleId="10927" w:customStyle="1">
    <w:name w:val="Font Style584"/>
    <w:uiPriority w:val="99"/>
    <w:qFormat/>
    <w:pPr>
      <w:pBdr/>
      <w:spacing/>
      <w:ind/>
    </w:pPr>
    <w:rPr>
      <w:rFonts w:ascii="Times New Roman" w:hAnsi="Times New Roman" w:cs="Times New Roman"/>
      <w:b/>
      <w:bCs/>
      <w:sz w:val="18"/>
      <w:szCs w:val="18"/>
    </w:rPr>
  </w:style>
  <w:style w:type="character" w:styleId="10929" w:customStyle="1">
    <w:name w:val="Font Style603"/>
    <w:uiPriority w:val="99"/>
    <w:qFormat/>
    <w:pPr>
      <w:pBdr/>
      <w:spacing/>
      <w:ind/>
    </w:pPr>
    <w:rPr>
      <w:rFonts w:ascii="Times New Roman" w:hAnsi="Times New Roman" w:cs="Times New Roman"/>
      <w:b/>
      <w:bCs/>
      <w:sz w:val="22"/>
      <w:szCs w:val="22"/>
    </w:rPr>
  </w:style>
  <w:style w:type="character" w:styleId="10930" w:customStyle="1">
    <w:name w:val="Font Style635"/>
    <w:uiPriority w:val="99"/>
    <w:qFormat/>
    <w:pPr>
      <w:pBdr/>
      <w:spacing/>
      <w:ind/>
    </w:pPr>
    <w:rPr>
      <w:rFonts w:ascii="Times New Roman" w:hAnsi="Times New Roman" w:cs="Times New Roman"/>
      <w:sz w:val="16"/>
      <w:szCs w:val="16"/>
    </w:rPr>
  </w:style>
  <w:style w:type="character" w:styleId="10931" w:customStyle="1">
    <w:name w:val="Font Style512"/>
    <w:uiPriority w:val="99"/>
    <w:qFormat/>
    <w:pPr>
      <w:pBdr/>
      <w:spacing/>
      <w:ind/>
    </w:pPr>
    <w:rPr>
      <w:rFonts w:ascii="Times New Roman" w:hAnsi="Times New Roman" w:cs="Times New Roman"/>
      <w:sz w:val="26"/>
      <w:szCs w:val="26"/>
    </w:rPr>
  </w:style>
  <w:style w:type="character" w:styleId="10932" w:customStyle="1">
    <w:name w:val="Слабое выделение2"/>
    <w:qFormat/>
    <w:pPr>
      <w:pBdr/>
      <w:spacing/>
      <w:ind/>
    </w:pPr>
    <w:rPr>
      <w:i/>
      <w:iCs/>
      <w:color w:val="808080"/>
    </w:rPr>
  </w:style>
  <w:style w:type="character" w:styleId="10933" w:customStyle="1">
    <w:name w:val="Font Style630"/>
    <w:uiPriority w:val="99"/>
    <w:qFormat/>
    <w:pPr>
      <w:pBdr/>
      <w:spacing/>
      <w:ind/>
    </w:pPr>
    <w:rPr>
      <w:rFonts w:ascii="Times New Roman" w:hAnsi="Times New Roman" w:cs="Times New Roman"/>
      <w:sz w:val="20"/>
      <w:szCs w:val="20"/>
    </w:rPr>
  </w:style>
  <w:style w:type="character" w:styleId="10934" w:customStyle="1">
    <w:name w:val="Font Style662"/>
    <w:uiPriority w:val="99"/>
    <w:qFormat/>
    <w:pPr>
      <w:pBdr/>
      <w:spacing/>
      <w:ind/>
    </w:pPr>
    <w:rPr>
      <w:rFonts w:ascii="Times New Roman" w:hAnsi="Times New Roman" w:cs="Times New Roman"/>
      <w:sz w:val="38"/>
      <w:szCs w:val="38"/>
    </w:rPr>
  </w:style>
  <w:style w:type="character" w:styleId="10935" w:customStyle="1">
    <w:name w:val="Font Style611"/>
    <w:uiPriority w:val="99"/>
    <w:qFormat/>
    <w:pPr>
      <w:pBdr/>
      <w:spacing/>
      <w:ind/>
    </w:pPr>
    <w:rPr>
      <w:rFonts w:ascii="Times New Roman" w:hAnsi="Times New Roman" w:cs="Times New Roman"/>
      <w:sz w:val="20"/>
      <w:szCs w:val="20"/>
    </w:rPr>
  </w:style>
  <w:style w:type="character" w:styleId="10936" w:customStyle="1">
    <w:name w:val="Font Style687"/>
    <w:uiPriority w:val="99"/>
    <w:qFormat/>
    <w:pPr>
      <w:pBdr/>
      <w:spacing/>
      <w:ind/>
    </w:pPr>
    <w:rPr>
      <w:rFonts w:ascii="Times New Roman" w:hAnsi="Times New Roman" w:cs="Times New Roman"/>
      <w:sz w:val="30"/>
      <w:szCs w:val="30"/>
    </w:rPr>
  </w:style>
  <w:style w:type="character" w:styleId="10937" w:customStyle="1">
    <w:name w:val="Font Style596"/>
    <w:uiPriority w:val="99"/>
    <w:qFormat/>
    <w:pPr>
      <w:pBdr/>
      <w:spacing/>
      <w:ind/>
    </w:pPr>
    <w:rPr>
      <w:rFonts w:ascii="Times New Roman" w:hAnsi="Times New Roman" w:cs="Times New Roman"/>
      <w:b/>
      <w:bCs/>
      <w:sz w:val="20"/>
      <w:szCs w:val="20"/>
    </w:rPr>
  </w:style>
  <w:style w:type="character" w:styleId="10938" w:customStyle="1">
    <w:name w:val="Формулы нумерация"/>
    <w:uiPriority w:val="1"/>
    <w:qFormat/>
    <w:pPr>
      <w:pBdr/>
      <w:spacing/>
      <w:ind/>
    </w:pPr>
    <w:rPr>
      <w:rFonts w:ascii="Times New Roman" w:hAnsi="Times New Roman"/>
      <w:b w:val="0"/>
      <w:bCs/>
      <w:sz w:val="24"/>
    </w:rPr>
  </w:style>
  <w:style w:type="character" w:styleId="10940" w:customStyle="1">
    <w:name w:val="Красная строка Знак"/>
    <w:basedOn w:val="10584"/>
    <w:qFormat/>
    <w:pPr>
      <w:pBdr/>
      <w:spacing/>
      <w:ind/>
    </w:pPr>
    <w:rPr>
      <w:rFonts w:ascii="Times New Roman" w:hAnsi="Times New Roman" w:eastAsia="Times New Roman" w:cs="Times New Roman"/>
      <w:sz w:val="24"/>
      <w:szCs w:val="24"/>
      <w:lang w:val="en-US" w:eastAsia="en-US" w:bidi="en-US"/>
    </w:rPr>
  </w:style>
  <w:style w:type="character" w:styleId="10942" w:customStyle="1">
    <w:name w:val="Font Style14"/>
    <w:qFormat/>
    <w:pPr>
      <w:pBdr/>
      <w:spacing/>
      <w:ind/>
    </w:pPr>
    <w:rPr>
      <w:rFonts w:ascii="Century Schoolbook" w:hAnsi="Century Schoolbook" w:cs="Century Schoolbook"/>
      <w:sz w:val="18"/>
      <w:szCs w:val="18"/>
    </w:rPr>
  </w:style>
  <w:style w:type="character" w:styleId="10943" w:customStyle="1">
    <w:name w:val="Font Style15"/>
    <w:uiPriority w:val="99"/>
    <w:qFormat/>
    <w:pPr>
      <w:pBdr/>
      <w:spacing/>
      <w:ind/>
    </w:pPr>
    <w:rPr>
      <w:rFonts w:ascii="Century Schoolbook" w:hAnsi="Century Schoolbook" w:cs="Century Schoolbook"/>
      <w:i/>
      <w:iCs/>
      <w:spacing w:val="-10"/>
      <w:sz w:val="18"/>
      <w:szCs w:val="18"/>
    </w:rPr>
  </w:style>
  <w:style w:type="character" w:styleId="10944" w:customStyle="1">
    <w:name w:val="Font Style12"/>
    <w:qFormat/>
    <w:pPr>
      <w:pBdr/>
      <w:spacing/>
      <w:ind/>
    </w:pPr>
    <w:rPr>
      <w:rFonts w:ascii="Times New Roman" w:hAnsi="Times New Roman" w:cs="Times New Roman"/>
      <w:sz w:val="22"/>
      <w:szCs w:val="22"/>
    </w:rPr>
  </w:style>
  <w:style w:type="character" w:styleId="10945" w:customStyle="1">
    <w:name w:val="Font Style13"/>
    <w:uiPriority w:val="99"/>
    <w:qFormat/>
    <w:pPr>
      <w:pBdr/>
      <w:spacing/>
      <w:ind/>
    </w:pPr>
    <w:rPr>
      <w:rFonts w:ascii="Times New Roman" w:hAnsi="Times New Roman" w:cs="Times New Roman"/>
      <w:b/>
      <w:bCs/>
      <w:sz w:val="22"/>
      <w:szCs w:val="22"/>
    </w:rPr>
  </w:style>
  <w:style w:type="character" w:styleId="10946" w:customStyle="1">
    <w:name w:val="Таблица Знак"/>
    <w:link w:val="13070"/>
    <w:qFormat/>
    <w:pPr>
      <w:pBdr/>
      <w:spacing/>
      <w:ind/>
    </w:pPr>
    <w:rPr>
      <w:rFonts w:ascii="Times New Roman" w:hAnsi="Times New Roman" w:eastAsia="Times New Roman" w:cs="Times New Roman"/>
      <w:b/>
      <w:szCs w:val="20"/>
      <w:lang w:eastAsia="en-US"/>
    </w:rPr>
  </w:style>
  <w:style w:type="character" w:styleId="10947" w:customStyle="1">
    <w:name w:val="Font Style18"/>
    <w:uiPriority w:val="99"/>
    <w:qFormat/>
    <w:pPr>
      <w:pBdr/>
      <w:spacing/>
      <w:ind/>
    </w:pPr>
    <w:rPr>
      <w:rFonts w:ascii="Times New Roman" w:hAnsi="Times New Roman" w:cs="Times New Roman"/>
      <w:b/>
      <w:bCs/>
      <w:sz w:val="20"/>
      <w:szCs w:val="20"/>
    </w:rPr>
  </w:style>
  <w:style w:type="character" w:styleId="10948" w:customStyle="1">
    <w:name w:val="Рисунок подпись Знак"/>
    <w:link w:val="12610"/>
    <w:qFormat/>
    <w:pPr>
      <w:pBdr/>
      <w:spacing/>
      <w:ind/>
    </w:pPr>
    <w:rPr>
      <w:rFonts w:ascii="Times New Roman" w:hAnsi="Times New Roman" w:eastAsia="Times New Roman" w:cs="Times New Roman"/>
      <w:b/>
      <w:bCs/>
      <w:szCs w:val="24"/>
      <w:lang w:eastAsia="en-US"/>
    </w:rPr>
  </w:style>
  <w:style w:type="character" w:styleId="10949" w:customStyle="1">
    <w:name w:val="Стиль5 Знак"/>
    <w:link w:val="13521"/>
    <w:qFormat/>
    <w:pPr>
      <w:pBdr/>
      <w:spacing/>
      <w:ind/>
    </w:pPr>
    <w:rPr>
      <w:rFonts w:ascii="Times New Roman" w:hAnsi="Times New Roman" w:eastAsia="Times New Roman" w:cs="Times New Roman"/>
      <w:sz w:val="24"/>
      <w:szCs w:val="24"/>
      <w:lang w:eastAsia="en-US"/>
    </w:rPr>
  </w:style>
  <w:style w:type="character" w:styleId="10951" w:customStyle="1">
    <w:name w:val="Мой рис. Знак"/>
    <w:link w:val="12614"/>
    <w:qFormat/>
    <w:pPr>
      <w:pBdr/>
      <w:spacing/>
      <w:ind/>
    </w:pPr>
    <w:rPr>
      <w:rFonts w:ascii="Times New Roman" w:hAnsi="Times New Roman" w:eastAsia="Calibri" w:cs="Times New Roman"/>
      <w:b/>
      <w:szCs w:val="24"/>
      <w:lang w:eastAsia="en-US"/>
    </w:rPr>
  </w:style>
  <w:style w:type="character" w:styleId="10952" w:customStyle="1">
    <w:name w:val="0 Основной текст Знак"/>
    <w:link w:val="12616"/>
    <w:qFormat/>
    <w:pPr>
      <w:pBdr/>
      <w:spacing/>
      <w:ind/>
    </w:pPr>
    <w:rPr>
      <w:rFonts w:ascii="Times New Roman" w:hAnsi="Times New Roman" w:eastAsia="Batang" w:cs="Times New Roman"/>
      <w:color w:val="000000"/>
      <w:sz w:val="28"/>
      <w:szCs w:val="28"/>
    </w:rPr>
  </w:style>
  <w:style w:type="character" w:styleId="10953" w:customStyle="1">
    <w:name w:val="xdtextbox1"/>
    <w:qFormat/>
    <w:pPr>
      <w:pBdr/>
      <w:spacing/>
      <w:ind/>
    </w:pPr>
    <w:rPr>
      <w:color w:val="000000"/>
      <w:shd w:val="clear" w:color="auto" w:fill="ffffff"/>
    </w:rPr>
  </w:style>
  <w:style w:type="character" w:styleId="10954" w:customStyle="1">
    <w:name w:val="Стиль7 Знак"/>
    <w:link w:val="12621"/>
    <w:qFormat/>
    <w:pPr>
      <w:pBdr/>
      <w:spacing/>
      <w:ind/>
    </w:pPr>
    <w:rPr>
      <w:rFonts w:ascii="Times New Roman" w:hAnsi="Times New Roman" w:eastAsia="Calibri" w:cs="Calibri"/>
      <w:color w:val="00b050"/>
      <w:sz w:val="24"/>
      <w:szCs w:val="28"/>
    </w:rPr>
  </w:style>
  <w:style w:type="character" w:styleId="10955" w:customStyle="1">
    <w:name w:val="Font Style1165"/>
    <w:uiPriority w:val="99"/>
    <w:qFormat/>
    <w:pPr>
      <w:pBdr/>
      <w:spacing/>
      <w:ind/>
    </w:pPr>
    <w:rPr>
      <w:rFonts w:ascii="Times New Roman" w:hAnsi="Times New Roman" w:cs="Times New Roman"/>
      <w:color w:val="000000"/>
      <w:sz w:val="24"/>
      <w:szCs w:val="24"/>
    </w:rPr>
  </w:style>
  <w:style w:type="character" w:styleId="10956" w:customStyle="1">
    <w:name w:val="Гипертекстовая ссылка"/>
    <w:uiPriority w:val="99"/>
    <w:qFormat/>
    <w:pPr>
      <w:pBdr/>
      <w:spacing/>
      <w:ind/>
    </w:pPr>
    <w:rPr>
      <w:rFonts w:cs="Times New Roman"/>
      <w:b w:val="0"/>
      <w:color w:val="106bbe"/>
    </w:rPr>
  </w:style>
  <w:style w:type="character" w:styleId="10958" w:customStyle="1">
    <w:name w:val="Основной текст (2) + Интервал 1 pt"/>
    <w:qFormat/>
    <w:pPr>
      <w:pBdr/>
      <w:spacing/>
      <w:ind/>
    </w:pPr>
    <w:rPr>
      <w:rFonts w:ascii="Arial" w:hAnsi="Arial" w:eastAsia="Arial" w:cs="Arial"/>
      <w:b w:val="0"/>
      <w:bCs w:val="0"/>
      <w:i w:val="0"/>
      <w:iCs w:val="0"/>
      <w:caps w:val="0"/>
      <w:smallCaps w:val="0"/>
      <w:strike w:val="0"/>
      <w:color w:val="000000"/>
      <w:spacing w:val="30"/>
      <w:sz w:val="22"/>
      <w:szCs w:val="22"/>
      <w:u w:val="none"/>
      <w:shd w:val="clear" w:color="auto" w:fill="ffffff"/>
      <w:lang w:val="ru-RU" w:eastAsia="ru-RU" w:bidi="ru-RU"/>
    </w:rPr>
  </w:style>
  <w:style w:type="character" w:styleId="10960" w:customStyle="1">
    <w:name w:val="s_10"/>
    <w:basedOn w:val="10543"/>
    <w:qFormat/>
    <w:pPr>
      <w:pBdr/>
      <w:spacing/>
      <w:ind/>
    </w:pPr>
  </w:style>
  <w:style w:type="character" w:styleId="10961" w:customStyle="1">
    <w:name w:val="Основной текст (2) + 8;5 pt;Полужирный"/>
    <w:qFormat/>
    <w:pPr>
      <w:pBdr/>
      <w:spacing/>
      <w:ind/>
    </w:pPr>
    <w:rPr>
      <w:rFonts w:ascii="Arial" w:hAnsi="Arial" w:eastAsia="Arial" w:cs="Arial"/>
      <w:b/>
      <w:bCs/>
      <w:i w:val="0"/>
      <w:iCs w:val="0"/>
      <w:caps w:val="0"/>
      <w:smallCaps w:val="0"/>
      <w:strike w:val="0"/>
      <w:color w:val="000000"/>
      <w:spacing w:val="0"/>
      <w:sz w:val="17"/>
      <w:szCs w:val="17"/>
      <w:u w:val="none"/>
      <w:shd w:val="clear" w:color="auto" w:fill="ffffff"/>
      <w:lang w:val="ru-RU" w:eastAsia="ru-RU" w:bidi="ru-RU"/>
    </w:rPr>
  </w:style>
  <w:style w:type="character" w:styleId="10962" w:customStyle="1">
    <w:name w:val="Основной текст (2) + 8;5 pt"/>
    <w:qFormat/>
    <w:pPr>
      <w:pBdr/>
      <w:spacing/>
      <w:ind/>
    </w:pPr>
    <w:rPr>
      <w:rFonts w:ascii="Arial" w:hAnsi="Arial" w:eastAsia="Arial" w:cs="Arial"/>
      <w:b w:val="0"/>
      <w:bCs w:val="0"/>
      <w:i w:val="0"/>
      <w:iCs w:val="0"/>
      <w:caps w:val="0"/>
      <w:smallCaps w:val="0"/>
      <w:strike w:val="0"/>
      <w:color w:val="000000"/>
      <w:spacing w:val="0"/>
      <w:sz w:val="17"/>
      <w:szCs w:val="17"/>
      <w:u w:val="none"/>
      <w:shd w:val="clear" w:color="auto" w:fill="ffffff"/>
      <w:lang w:val="ru-RU" w:eastAsia="ru-RU" w:bidi="ru-RU"/>
    </w:rPr>
  </w:style>
  <w:style w:type="character" w:styleId="10963" w:customStyle="1">
    <w:name w:val="Основной текст (2) + 9;5 pt;Полужирный"/>
    <w:qFormat/>
    <w:pPr>
      <w:pBdr/>
      <w:spacing/>
      <w:ind/>
    </w:pPr>
    <w:rPr>
      <w:rFonts w:ascii="Arial" w:hAnsi="Arial" w:eastAsia="Arial" w:cs="Arial"/>
      <w:b/>
      <w:bCs/>
      <w:i w:val="0"/>
      <w:iCs w:val="0"/>
      <w:caps w:val="0"/>
      <w:smallCaps w:val="0"/>
      <w:strike w:val="0"/>
      <w:color w:val="000000"/>
      <w:spacing w:val="0"/>
      <w:sz w:val="19"/>
      <w:szCs w:val="19"/>
      <w:u w:val="none"/>
      <w:shd w:val="clear" w:color="auto" w:fill="ffffff"/>
      <w:lang w:val="ru-RU" w:eastAsia="ru-RU" w:bidi="ru-RU"/>
    </w:rPr>
  </w:style>
  <w:style w:type="character" w:styleId="10968" w:customStyle="1">
    <w:name w:val="Текст выноски Знак1"/>
    <w:uiPriority w:val="99"/>
    <w:semiHidden/>
    <w:qFormat/>
    <w:pPr>
      <w:pBdr/>
      <w:spacing/>
      <w:ind/>
    </w:pPr>
    <w:rPr>
      <w:rFonts w:ascii="Segoe UI" w:hAnsi="Segoe UI" w:eastAsia="Times New Roman" w:cs="Segoe UI"/>
      <w:sz w:val="18"/>
      <w:szCs w:val="18"/>
      <w:lang w:eastAsia="ru-RU"/>
    </w:rPr>
  </w:style>
  <w:style w:type="character" w:styleId="10970" w:customStyle="1">
    <w:name w:val="Основной текст (2) + Verdana"/>
    <w:qFormat/>
    <w:pPr>
      <w:pBdr/>
      <w:spacing/>
      <w:ind/>
    </w:pPr>
    <w:rPr>
      <w:rFonts w:ascii="Verdana" w:hAnsi="Verdana" w:eastAsia="Verdana" w:cs="Verdana"/>
      <w:b w:val="0"/>
      <w:bCs w:val="0"/>
      <w:i w:val="0"/>
      <w:iCs w:val="0"/>
      <w:caps w:val="0"/>
      <w:smallCaps w:val="0"/>
      <w:strike w:val="0"/>
      <w:color w:val="000000"/>
      <w:spacing w:val="0"/>
      <w:sz w:val="16"/>
      <w:szCs w:val="16"/>
      <w:u w:val="none"/>
      <w:shd w:val="clear" w:color="auto" w:fill="ffffff"/>
      <w:lang w:val="ru-RU" w:eastAsia="ru-RU" w:bidi="ru-RU"/>
    </w:rPr>
  </w:style>
  <w:style w:type="character" w:styleId="10971" w:customStyle="1">
    <w:name w:val="Основной текст (2) + 9"/>
    <w:qFormat/>
    <w:pPr>
      <w:pBdr/>
      <w:spacing/>
      <w:ind/>
    </w:pPr>
    <w:rPr>
      <w:rFonts w:ascii="Times New Roman" w:hAnsi="Times New Roman" w:eastAsia="Times New Roman" w:cs="Times New Roman"/>
      <w:b w:val="0"/>
      <w:bCs w:val="0"/>
      <w:i w:val="0"/>
      <w:iCs w:val="0"/>
      <w:caps w:val="0"/>
      <w:smallCaps w:val="0"/>
      <w:strike w:val="0"/>
      <w:color w:val="000000"/>
      <w:spacing w:val="0"/>
      <w:sz w:val="23"/>
      <w:szCs w:val="23"/>
      <w:u w:val="none"/>
      <w:shd w:val="clear" w:color="auto" w:fill="ffffff"/>
      <w:lang w:val="ru-RU" w:eastAsia="ru-RU" w:bidi="ru-RU"/>
    </w:rPr>
  </w:style>
  <w:style w:type="character" w:styleId="10972" w:customStyle="1">
    <w:name w:val="Основной текст (2) + Arial"/>
    <w:qFormat/>
    <w:pPr>
      <w:pBdr/>
      <w:spacing/>
      <w:ind/>
    </w:pPr>
    <w:rPr>
      <w:rFonts w:ascii="Arial" w:hAnsi="Arial" w:eastAsia="Arial" w:cs="Arial"/>
      <w:b w:val="0"/>
      <w:bCs w:val="0"/>
      <w:i w:val="0"/>
      <w:iCs w:val="0"/>
      <w:caps w:val="0"/>
      <w:smallCaps w:val="0"/>
      <w:strike w:val="0"/>
      <w:color w:val="000000"/>
      <w:spacing w:val="0"/>
      <w:sz w:val="13"/>
      <w:szCs w:val="13"/>
      <w:u w:val="none"/>
      <w:shd w:val="clear" w:color="auto" w:fill="ffffff"/>
      <w:lang w:val="ru-RU" w:eastAsia="ru-RU" w:bidi="ru-RU"/>
    </w:rPr>
  </w:style>
  <w:style w:type="character" w:styleId="10973" w:customStyle="1">
    <w:name w:val="Основной текст (9) + Times New Roman"/>
    <w:qFormat/>
    <w:pPr>
      <w:pBdr/>
      <w:spacing/>
      <w:ind/>
    </w:pPr>
    <w:rPr>
      <w:rFonts w:ascii="Times New Roman" w:hAnsi="Times New Roman" w:eastAsia="Times New Roman" w:cs="Times New Roman"/>
      <w:b/>
      <w:bCs/>
      <w:i w:val="0"/>
      <w:iCs w:val="0"/>
      <w:caps w:val="0"/>
      <w:smallCaps w:val="0"/>
      <w:strike w:val="0"/>
      <w:color w:val="000000"/>
      <w:spacing w:val="0"/>
      <w:sz w:val="18"/>
      <w:szCs w:val="18"/>
      <w:u w:val="none"/>
      <w:lang w:val="ru-RU" w:eastAsia="ru-RU" w:bidi="ru-RU"/>
    </w:rPr>
  </w:style>
  <w:style w:type="character" w:styleId="10974" w:customStyle="1">
    <w:name w:val="Основной текст (159) + Полужирный"/>
    <w:qFormat/>
    <w:pPr>
      <w:pBdr/>
      <w:spacing/>
      <w:ind/>
    </w:pPr>
    <w:rPr>
      <w:rFonts w:ascii="Times New Roman" w:hAnsi="Times New Roman" w:eastAsia="Times New Roman" w:cs="Times New Roman"/>
      <w:b/>
      <w:bCs/>
      <w:i/>
      <w:iCs/>
      <w:color w:val="000000"/>
      <w:spacing w:val="0"/>
      <w:sz w:val="24"/>
      <w:szCs w:val="24"/>
      <w:shd w:val="clear" w:color="auto" w:fill="ffffff"/>
      <w:lang w:val="ru-RU" w:eastAsia="ru-RU" w:bidi="ru-RU"/>
    </w:rPr>
  </w:style>
  <w:style w:type="character" w:styleId="10975" w:customStyle="1">
    <w:name w:val="Основной текст (2) + 7"/>
    <w:qFormat/>
    <w:pPr>
      <w:pBdr/>
      <w:spacing/>
      <w:ind/>
    </w:pPr>
    <w:rPr>
      <w:rFonts w:ascii="Times New Roman" w:hAnsi="Times New Roman" w:eastAsia="Times New Roman" w:cs="Times New Roman"/>
      <w:b w:val="0"/>
      <w:bCs w:val="0"/>
      <w:i w:val="0"/>
      <w:iCs w:val="0"/>
      <w:caps w:val="0"/>
      <w:smallCaps w:val="0"/>
      <w:strike w:val="0"/>
      <w:color w:val="000000"/>
      <w:spacing w:val="0"/>
      <w:sz w:val="15"/>
      <w:szCs w:val="15"/>
      <w:u w:val="none"/>
      <w:shd w:val="clear" w:color="auto" w:fill="ffffff"/>
      <w:lang w:val="ru-RU" w:eastAsia="ru-RU" w:bidi="ru-RU"/>
    </w:rPr>
  </w:style>
  <w:style w:type="character" w:styleId="10976" w:customStyle="1">
    <w:name w:val="Колонтитул + 12 pt"/>
    <w:qFormat/>
    <w:pPr>
      <w:pBdr/>
      <w:spacing/>
      <w:ind/>
    </w:pPr>
    <w:rPr>
      <w:rFonts w:ascii="Times New Roman" w:hAnsi="Times New Roman" w:eastAsia="Times New Roman" w:cs="Times New Roman"/>
      <w:b w:val="0"/>
      <w:bCs w:val="0"/>
      <w:i w:val="0"/>
      <w:iCs w:val="0"/>
      <w:caps w:val="0"/>
      <w:smallCaps w:val="0"/>
      <w:strike w:val="0"/>
      <w:color w:val="000000"/>
      <w:spacing w:val="30"/>
      <w:sz w:val="24"/>
      <w:szCs w:val="24"/>
      <w:u w:val="none"/>
      <w:lang w:val="ru-RU" w:eastAsia="ru-RU" w:bidi="ru-RU"/>
    </w:rPr>
  </w:style>
  <w:style w:type="character" w:styleId="10977" w:customStyle="1">
    <w:name w:val="Основной текст (113) + Arial"/>
    <w:qFormat/>
    <w:pPr>
      <w:pBdr/>
      <w:spacing/>
      <w:ind/>
    </w:pPr>
    <w:rPr>
      <w:rFonts w:ascii="Arial" w:hAnsi="Arial" w:eastAsia="Arial" w:cs="Arial"/>
      <w:b/>
      <w:bCs/>
      <w:color w:val="000000"/>
      <w:spacing w:val="0"/>
      <w:sz w:val="22"/>
      <w:szCs w:val="22"/>
      <w:shd w:val="clear" w:color="auto" w:fill="ffffff"/>
      <w:lang w:val="ru-RU" w:eastAsia="ru-RU" w:bidi="ru-RU"/>
    </w:rPr>
  </w:style>
  <w:style w:type="character" w:styleId="10978" w:customStyle="1">
    <w:name w:val="Основной текст (2) + Franklin Gothic Heavy"/>
    <w:qFormat/>
    <w:pPr>
      <w:pBdr/>
      <w:spacing/>
      <w:ind/>
    </w:pPr>
    <w:rPr>
      <w:rFonts w:ascii="Franklin Gothic Heavy" w:hAnsi="Franklin Gothic Heavy" w:eastAsia="Franklin Gothic Heavy" w:cs="Franklin Gothic Heavy"/>
      <w:b w:val="0"/>
      <w:bCs w:val="0"/>
      <w:i w:val="0"/>
      <w:iCs w:val="0"/>
      <w:caps w:val="0"/>
      <w:smallCaps w:val="0"/>
      <w:strike w:val="0"/>
      <w:color w:val="000000"/>
      <w:spacing w:val="0"/>
      <w:sz w:val="14"/>
      <w:szCs w:val="14"/>
      <w:u w:val="none"/>
      <w:shd w:val="clear" w:color="auto" w:fill="ffffff"/>
      <w:lang w:val="ru-RU" w:eastAsia="ru-RU" w:bidi="ru-RU"/>
    </w:rPr>
  </w:style>
  <w:style w:type="character" w:styleId="10979" w:customStyle="1">
    <w:name w:val="Основной текст (2) + Tahoma"/>
    <w:qFormat/>
    <w:pPr>
      <w:pBdr/>
      <w:spacing/>
      <w:ind/>
    </w:pPr>
    <w:rPr>
      <w:rFonts w:ascii="Tahoma" w:hAnsi="Tahoma" w:eastAsia="Tahoma" w:cs="Tahoma"/>
      <w:b w:val="0"/>
      <w:bCs w:val="0"/>
      <w:i w:val="0"/>
      <w:iCs w:val="0"/>
      <w:caps w:val="0"/>
      <w:smallCaps w:val="0"/>
      <w:strike w:val="0"/>
      <w:color w:val="000000"/>
      <w:spacing w:val="0"/>
      <w:sz w:val="20"/>
      <w:szCs w:val="20"/>
      <w:u w:val="none"/>
      <w:shd w:val="clear" w:color="auto" w:fill="ffffff"/>
      <w:lang w:val="ru-RU" w:eastAsia="ru-RU" w:bidi="ru-RU"/>
    </w:rPr>
  </w:style>
  <w:style w:type="character" w:styleId="10980" w:customStyle="1">
    <w:name w:val="Основной текст (31) + Tahoma"/>
    <w:qFormat/>
    <w:pPr>
      <w:pBdr/>
      <w:spacing/>
      <w:ind/>
    </w:pPr>
    <w:rPr>
      <w:rFonts w:ascii="Tahoma" w:hAnsi="Tahoma" w:eastAsia="Tahoma" w:cs="Tahoma"/>
      <w:b w:val="0"/>
      <w:bCs w:val="0"/>
      <w:i/>
      <w:iCs/>
      <w:caps w:val="0"/>
      <w:smallCaps w:val="0"/>
      <w:strike w:val="0"/>
      <w:color w:val="000000"/>
      <w:spacing w:val="0"/>
      <w:sz w:val="20"/>
      <w:szCs w:val="20"/>
      <w:u w:val="none"/>
      <w:shd w:val="clear" w:color="auto" w:fill="ffffff"/>
      <w:lang w:val="ru-RU" w:eastAsia="ru-RU" w:bidi="ru-RU"/>
    </w:rPr>
  </w:style>
  <w:style w:type="character" w:styleId="10981" w:customStyle="1">
    <w:name w:val="04_Глава 1.1.1. Знак"/>
    <w:link w:val="12929"/>
    <w:qFormat/>
    <w:pPr>
      <w:pBdr/>
      <w:spacing/>
      <w:ind/>
    </w:pPr>
    <w:rPr>
      <w:rFonts w:ascii="Times New Roman" w:hAnsi="Times New Roman" w:eastAsia="Times New Roman" w:cs="Times New Roman"/>
      <w:b/>
      <w:iCs/>
      <w:sz w:val="26"/>
      <w:lang w:eastAsia="en-US"/>
    </w:rPr>
  </w:style>
  <w:style w:type="character" w:styleId="10982" w:customStyle="1">
    <w:name w:val="Обычный 13 Знак Знак3"/>
    <w:qFormat/>
    <w:pPr>
      <w:pBdr/>
      <w:spacing/>
      <w:ind/>
    </w:pPr>
    <w:rPr>
      <w:rFonts w:ascii="Times New Roman" w:hAnsi="Times New Roman" w:eastAsia="Times New Roman"/>
      <w:sz w:val="26"/>
    </w:rPr>
  </w:style>
  <w:style w:type="character" w:styleId="10983" w:customStyle="1">
    <w:name w:val="Рис. Знак"/>
    <w:qFormat/>
    <w:pPr>
      <w:pBdr/>
      <w:spacing/>
      <w:ind/>
    </w:pPr>
    <w:rPr>
      <w:rFonts w:ascii="Times New Roman" w:hAnsi="Times New Roman" w:eastAsia="Times New Roman"/>
      <w:b/>
      <w:sz w:val="26"/>
    </w:rPr>
  </w:style>
  <w:style w:type="character" w:styleId="10984" w:customStyle="1">
    <w:name w:val="_таблица Знак"/>
    <w:link w:val="12940"/>
    <w:qFormat/>
    <w:pPr>
      <w:pBdr/>
      <w:spacing/>
      <w:ind/>
    </w:pPr>
    <w:rPr>
      <w:rFonts w:ascii="Times New Roman" w:hAnsi="Times New Roman" w:eastAsia="Calibri" w:cs="Times New Roman"/>
      <w:b/>
      <w:sz w:val="26"/>
      <w:szCs w:val="26"/>
      <w:lang w:eastAsia="en-US"/>
    </w:rPr>
  </w:style>
  <w:style w:type="character" w:styleId="10985" w:customStyle="1">
    <w:name w:val="_прилож_ Знак"/>
    <w:link w:val="12941"/>
    <w:qFormat/>
    <w:pPr>
      <w:pBdr/>
      <w:spacing/>
      <w:ind/>
    </w:pPr>
    <w:rPr>
      <w:rFonts w:ascii="Times New Roman" w:hAnsi="Times New Roman" w:eastAsia="Times New Roman" w:cs="Times New Roman"/>
      <w:b/>
      <w:bCs/>
      <w:iCs/>
      <w:color w:val="000000"/>
      <w:sz w:val="48"/>
      <w:szCs w:val="28"/>
      <w:lang w:eastAsia="en-US"/>
    </w:rPr>
  </w:style>
  <w:style w:type="character" w:styleId="10986" w:customStyle="1">
    <w:name w:val="_рисунок Знак"/>
    <w:link w:val="12942"/>
    <w:qFormat/>
    <w:pPr>
      <w:pBdr/>
      <w:spacing/>
      <w:ind/>
    </w:pPr>
    <w:rPr>
      <w:rFonts w:ascii="Times New Roman" w:hAnsi="Times New Roman" w:eastAsia="Times New Roman" w:cs="Times New Roman"/>
      <w:b/>
      <w:sz w:val="24"/>
      <w:szCs w:val="24"/>
      <w:lang w:val="en-US" w:eastAsia="en-US" w:bidi="en-US"/>
    </w:rPr>
  </w:style>
  <w:style w:type="character" w:styleId="10987" w:customStyle="1">
    <w:name w:val="_прилож Знак"/>
    <w:link w:val="12943"/>
    <w:qFormat/>
    <w:pPr>
      <w:pBdr/>
      <w:spacing/>
      <w:ind/>
    </w:pPr>
    <w:rPr>
      <w:rFonts w:ascii="Times New Roman" w:hAnsi="Times New Roman" w:eastAsia="Times New Roman" w:cs="Times New Roman"/>
      <w:b/>
      <w:bCs/>
      <w:i/>
      <w:sz w:val="48"/>
      <w:lang w:eastAsia="en-US"/>
    </w:rPr>
  </w:style>
  <w:style w:type="character" w:styleId="10988" w:customStyle="1">
    <w:name w:val="_Выделение Знак"/>
    <w:link w:val="12944"/>
    <w:qFormat/>
    <w:pPr>
      <w:pBdr/>
      <w:spacing/>
      <w:ind/>
    </w:pPr>
    <w:rPr>
      <w:rFonts w:ascii="Times New Roman" w:hAnsi="Times New Roman" w:eastAsia="Calibri" w:cs="Times New Roman"/>
      <w:sz w:val="24"/>
      <w:szCs w:val="26"/>
      <w:u w:val="single"/>
      <w:lang w:eastAsia="en-US"/>
    </w:rPr>
  </w:style>
  <w:style w:type="character" w:styleId="10989" w:customStyle="1">
    <w:name w:val="Стиль1_ГЛАВА Знак"/>
    <w:link w:val="12945"/>
    <w:qFormat/>
    <w:pPr>
      <w:pBdr/>
      <w:spacing/>
      <w:ind/>
    </w:pPr>
    <w:rPr>
      <w:rFonts w:ascii="Times New Roman" w:hAnsi="Times New Roman" w:eastAsia="Times New Roman" w:cs="Times New Roman"/>
      <w:b/>
      <w:bCs/>
      <w:caps/>
      <w:sz w:val="28"/>
      <w:szCs w:val="28"/>
      <w:lang w:eastAsia="en-US"/>
    </w:rPr>
  </w:style>
  <w:style w:type="character" w:styleId="10991" w:customStyle="1">
    <w:name w:val="Стиль3_Подпункты Знак"/>
    <w:link w:val="13616"/>
    <w:qFormat/>
    <w:pPr>
      <w:pBdr/>
      <w:spacing/>
      <w:ind/>
    </w:pPr>
    <w:rPr>
      <w:rFonts w:ascii="Times New Roman" w:hAnsi="Times New Roman" w:eastAsia="Times New Roman" w:cs="Times New Roman"/>
      <w:b/>
      <w:bCs/>
      <w:sz w:val="24"/>
      <w:szCs w:val="26"/>
      <w:lang w:eastAsia="en-US"/>
    </w:rPr>
  </w:style>
  <w:style w:type="character" w:styleId="10992" w:customStyle="1">
    <w:name w:val="CharStyle47"/>
    <w:qFormat/>
    <w:pPr>
      <w:pBdr/>
      <w:spacing/>
      <w:ind/>
    </w:pPr>
    <w:rPr>
      <w:rFonts w:ascii="Arial" w:hAnsi="Arial" w:eastAsia="Arial" w:cs="Arial"/>
      <w:b w:val="0"/>
      <w:bCs w:val="0"/>
      <w:i w:val="0"/>
      <w:iCs w:val="0"/>
      <w:caps w:val="0"/>
      <w:smallCaps w:val="0"/>
      <w:spacing w:val="-10"/>
      <w:sz w:val="18"/>
      <w:szCs w:val="18"/>
    </w:rPr>
  </w:style>
  <w:style w:type="character" w:styleId="10993" w:customStyle="1">
    <w:name w:val="CharStyle76"/>
    <w:qFormat/>
    <w:pPr>
      <w:pBdr/>
      <w:spacing/>
      <w:ind/>
    </w:pPr>
    <w:rPr>
      <w:rFonts w:ascii="Arial" w:hAnsi="Arial" w:eastAsia="Arial" w:cs="Arial"/>
      <w:b w:val="0"/>
      <w:bCs w:val="0"/>
      <w:i/>
      <w:iCs/>
      <w:caps w:val="0"/>
      <w:smallCaps w:val="0"/>
      <w:spacing w:val="-10"/>
      <w:sz w:val="18"/>
      <w:szCs w:val="18"/>
    </w:rPr>
  </w:style>
  <w:style w:type="character" w:styleId="10994" w:customStyle="1">
    <w:name w:val="CharStyle63"/>
    <w:qFormat/>
    <w:pPr>
      <w:pBdr/>
      <w:spacing/>
      <w:ind/>
    </w:pPr>
    <w:rPr>
      <w:rFonts w:ascii="Georgia" w:hAnsi="Georgia" w:eastAsia="Georgia" w:cs="Georgia"/>
      <w:b w:val="0"/>
      <w:bCs w:val="0"/>
      <w:i w:val="0"/>
      <w:iCs w:val="0"/>
      <w:caps w:val="0"/>
      <w:smallCaps w:val="0"/>
      <w:sz w:val="20"/>
      <w:szCs w:val="20"/>
    </w:rPr>
  </w:style>
  <w:style w:type="character" w:styleId="10995" w:customStyle="1">
    <w:name w:val="CharStyle113"/>
    <w:qFormat/>
    <w:pPr>
      <w:pBdr/>
      <w:spacing/>
      <w:ind/>
    </w:pPr>
    <w:rPr>
      <w:rFonts w:ascii="Arial" w:hAnsi="Arial" w:eastAsia="Arial" w:cs="Arial"/>
      <w:b/>
      <w:bCs/>
      <w:i w:val="0"/>
      <w:iCs w:val="0"/>
      <w:caps w:val="0"/>
      <w:smallCaps w:val="0"/>
      <w:sz w:val="20"/>
      <w:szCs w:val="20"/>
    </w:rPr>
  </w:style>
  <w:style w:type="character" w:styleId="10996" w:customStyle="1">
    <w:name w:val="Font Style139"/>
    <w:uiPriority w:val="99"/>
    <w:qFormat/>
    <w:pPr>
      <w:pBdr/>
      <w:spacing/>
      <w:ind/>
    </w:pPr>
    <w:rPr>
      <w:rFonts w:ascii="Arial" w:hAnsi="Arial" w:cs="Arial"/>
      <w:sz w:val="22"/>
      <w:szCs w:val="22"/>
    </w:rPr>
  </w:style>
  <w:style w:type="character" w:styleId="10997" w:customStyle="1">
    <w:name w:val="Font Style137"/>
    <w:uiPriority w:val="99"/>
    <w:qFormat/>
    <w:pPr>
      <w:pBdr/>
      <w:spacing/>
      <w:ind/>
    </w:pPr>
    <w:rPr>
      <w:rFonts w:ascii="Arial" w:hAnsi="Arial" w:cs="Arial"/>
      <w:sz w:val="18"/>
      <w:szCs w:val="18"/>
    </w:rPr>
  </w:style>
  <w:style w:type="character" w:styleId="10999" w:customStyle="1">
    <w:name w:val="_Обычный список точка Знак"/>
    <w:link w:val="12959"/>
    <w:qFormat/>
    <w:pPr>
      <w:pBdr/>
      <w:spacing/>
      <w:ind/>
    </w:pPr>
    <w:rPr>
      <w:rFonts w:ascii="Times New Roman" w:hAnsi="Times New Roman" w:eastAsia="Calibri" w:cs="Times New Roman"/>
      <w:sz w:val="26"/>
      <w:szCs w:val="26"/>
    </w:rPr>
  </w:style>
  <w:style w:type="character" w:styleId="11000" w:customStyle="1">
    <w:name w:val="_1.1 Текст Знак"/>
    <w:link w:val="12960"/>
    <w:qFormat/>
    <w:pPr>
      <w:pBdr/>
      <w:spacing/>
      <w:ind/>
    </w:pPr>
    <w:rPr>
      <w:rFonts w:ascii="Times New Roman" w:hAnsi="Times New Roman" w:eastAsia="Calibri" w:cs="Times New Roman"/>
      <w:bCs/>
      <w:iCs/>
      <w:color w:val="0a0a0c"/>
      <w:sz w:val="24"/>
      <w:szCs w:val="24"/>
      <w:lang w:eastAsia="en-US"/>
    </w:rPr>
  </w:style>
  <w:style w:type="character" w:styleId="11002" w:customStyle="1">
    <w:name w:val="Текст концевой сноски Знак1"/>
    <w:uiPriority w:val="99"/>
    <w:semiHidden/>
    <w:qFormat/>
    <w:pPr>
      <w:pBdr/>
      <w:spacing/>
      <w:ind/>
    </w:pPr>
    <w:rPr>
      <w:rFonts w:ascii="Times New Roman" w:hAnsi="Times New Roman"/>
      <w:color w:val="000000"/>
      <w:lang w:eastAsia="en-US"/>
    </w:rPr>
  </w:style>
  <w:style w:type="character" w:styleId="11006" w:customStyle="1">
    <w:name w:val="02_Глава 1. Знак"/>
    <w:link w:val="12927"/>
    <w:qFormat/>
    <w:pPr>
      <w:pBdr/>
      <w:spacing/>
      <w:ind/>
    </w:pPr>
    <w:rPr>
      <w:rFonts w:ascii="Times New Roman" w:hAnsi="Times New Roman" w:eastAsia="Times New Roman" w:cs="Times New Roman"/>
      <w:b/>
      <w:iCs/>
      <w:caps/>
      <w:sz w:val="26"/>
      <w:szCs w:val="26"/>
      <w:lang w:eastAsia="en-US"/>
    </w:rPr>
  </w:style>
  <w:style w:type="character" w:styleId="11007" w:customStyle="1">
    <w:name w:val="Основной текст + 11 pt"/>
    <w:qFormat/>
    <w:pPr>
      <w:pBdr/>
      <w:spacing/>
      <w:ind/>
    </w:pPr>
    <w:rPr>
      <w:rFonts w:ascii="Times New Roman" w:hAnsi="Times New Roman" w:eastAsia="Times New Roman" w:cs="Times New Roman"/>
      <w:b w:val="0"/>
      <w:bCs w:val="0"/>
      <w:i w:val="0"/>
      <w:iCs w:val="0"/>
      <w:caps w:val="0"/>
      <w:smallCaps w:val="0"/>
      <w:strike w:val="0"/>
      <w:color w:val="000000"/>
      <w:spacing w:val="0"/>
      <w:sz w:val="22"/>
      <w:szCs w:val="22"/>
      <w:u w:val="none"/>
      <w:shd w:val="clear" w:color="auto" w:fill="ffffff"/>
      <w:lang w:val="ru-RU" w:eastAsia="ru-RU" w:bidi="ru-RU"/>
    </w:rPr>
  </w:style>
  <w:style w:type="character" w:styleId="11009" w:customStyle="1">
    <w:name w:val="1.1 Знак"/>
    <w:link w:val="12968"/>
    <w:qFormat/>
    <w:pPr>
      <w:pBdr/>
      <w:spacing/>
      <w:ind/>
    </w:pPr>
    <w:rPr>
      <w:rFonts w:ascii="Times New Roman" w:hAnsi="Times New Roman" w:eastAsia="Calibri" w:cs="Times New Roman"/>
      <w:b/>
      <w:sz w:val="26"/>
      <w:szCs w:val="26"/>
    </w:rPr>
  </w:style>
  <w:style w:type="character" w:styleId="11010" w:customStyle="1">
    <w:name w:val="Обычный текст Знак"/>
    <w:link w:val="12969"/>
    <w:qFormat/>
    <w:pPr>
      <w:pBdr/>
      <w:spacing/>
      <w:ind/>
    </w:pPr>
    <w:rPr>
      <w:rFonts w:ascii="Times New Roman" w:hAnsi="Times New Roman" w:eastAsia="Calibri" w:cs="Times New Roman"/>
      <w:sz w:val="26"/>
      <w:szCs w:val="26"/>
    </w:rPr>
  </w:style>
  <w:style w:type="character" w:styleId="11011" w:customStyle="1">
    <w:name w:val="_Подразделение Знак"/>
    <w:link w:val="12970"/>
    <w:qFormat/>
    <w:pPr>
      <w:pBdr/>
      <w:spacing/>
      <w:ind/>
    </w:pPr>
    <w:rPr>
      <w:rFonts w:ascii="Times New Roman" w:hAnsi="Times New Roman" w:eastAsia="Calibri" w:cs="Calibri"/>
      <w:b/>
      <w:bCs/>
      <w:smallCaps/>
      <w:sz w:val="20"/>
      <w:szCs w:val="26"/>
    </w:rPr>
  </w:style>
  <w:style w:type="character" w:styleId="11012" w:customStyle="1">
    <w:name w:val="_Список маркерны Знак"/>
    <w:link w:val="12971"/>
    <w:qFormat/>
    <w:pPr>
      <w:pBdr/>
      <w:spacing/>
      <w:ind/>
    </w:pPr>
    <w:rPr>
      <w:rFonts w:ascii="Times New Roman" w:hAnsi="Times New Roman" w:eastAsia="Calibri" w:cs="Times New Roman"/>
      <w:iCs/>
      <w:sz w:val="26"/>
      <w:szCs w:val="26"/>
      <w:lang w:eastAsia="en-US"/>
    </w:rPr>
  </w:style>
  <w:style w:type="character" w:styleId="11013" w:customStyle="1">
    <w:name w:val="_Список нумерованный Знак"/>
    <w:link w:val="12972"/>
    <w:qFormat/>
    <w:pPr>
      <w:pBdr/>
      <w:spacing/>
      <w:ind/>
    </w:pPr>
    <w:rPr>
      <w:rFonts w:ascii="Times New Roman" w:hAnsi="Times New Roman" w:eastAsia="Calibri" w:cs="Times New Roman"/>
      <w:iCs/>
      <w:sz w:val="26"/>
      <w:szCs w:val="26"/>
      <w:lang w:eastAsia="en-US"/>
    </w:rPr>
  </w:style>
  <w:style w:type="character" w:styleId="11014" w:customStyle="1">
    <w:name w:val="_комментарий Знак"/>
    <w:link w:val="12973"/>
    <w:qFormat/>
    <w:pPr>
      <w:pBdr/>
      <w:spacing/>
      <w:ind/>
    </w:pPr>
    <w:rPr>
      <w:rFonts w:ascii="Times New Roman" w:hAnsi="Times New Roman" w:eastAsia="Calibri" w:cs="Times New Roman"/>
      <w:iCs/>
      <w:color w:val="ff0000"/>
      <w:sz w:val="26"/>
      <w:szCs w:val="26"/>
      <w:lang w:eastAsia="en-US"/>
    </w:rPr>
  </w:style>
  <w:style w:type="character" w:styleId="11015" w:customStyle="1">
    <w:name w:val="Заголовок записки Знак"/>
    <w:link w:val="13733"/>
    <w:uiPriority w:val="99"/>
    <w:qFormat/>
    <w:pPr>
      <w:pBdr/>
      <w:spacing/>
      <w:ind/>
    </w:pPr>
    <w:rPr>
      <w:rFonts w:ascii="Times New Roman" w:hAnsi="Times New Roman" w:eastAsia="Times New Roman" w:cs="Times New Roman"/>
      <w:b/>
      <w:caps/>
      <w:spacing w:val="5"/>
      <w:sz w:val="32"/>
      <w:lang w:eastAsia="en-US"/>
    </w:rPr>
  </w:style>
  <w:style w:type="character" w:styleId="11016" w:customStyle="1">
    <w:name w:val="_Рисунок1 Знак"/>
    <w:link w:val="13980"/>
    <w:qFormat/>
    <w:pPr>
      <w:pBdr/>
      <w:spacing/>
      <w:ind/>
    </w:pPr>
    <w:rPr>
      <w:rFonts w:ascii="Times New Roman" w:hAnsi="Times New Roman" w:eastAsia="Calibri" w:cs="Times New Roman"/>
      <w:sz w:val="26"/>
      <w:szCs w:val="26"/>
    </w:rPr>
  </w:style>
  <w:style w:type="character" w:styleId="11017" w:customStyle="1">
    <w:name w:val="Название рисунка Знак"/>
    <w:link w:val="12977"/>
    <w:qFormat/>
    <w:pPr>
      <w:pBdr/>
      <w:spacing/>
      <w:ind/>
    </w:pPr>
    <w:rPr>
      <w:rFonts w:ascii="Times New Roman" w:hAnsi="Times New Roman" w:eastAsia="Times New Roman" w:cs="Times New Roman"/>
      <w:i/>
      <w:spacing w:val="6"/>
      <w:sz w:val="26"/>
      <w:lang w:eastAsia="en-US"/>
    </w:rPr>
  </w:style>
  <w:style w:type="character" w:styleId="11019" w:customStyle="1">
    <w:name w:val="1_2 Список нумерной Знак"/>
    <w:link w:val="13875"/>
    <w:qFormat/>
    <w:pPr>
      <w:pBdr/>
      <w:spacing/>
      <w:ind/>
    </w:pPr>
    <w:rPr>
      <w:rFonts w:ascii="Times New Roman" w:hAnsi="Times New Roman" w:eastAsia="Times New Roman" w:cs="Times New Roman"/>
      <w:i/>
      <w:sz w:val="26"/>
      <w:szCs w:val="26"/>
      <w:lang w:eastAsia="en-US"/>
    </w:rPr>
  </w:style>
  <w:style w:type="character" w:styleId="11022" w:customStyle="1">
    <w:name w:val="Перечисление Знак"/>
    <w:basedOn w:val="10606"/>
    <w:link w:val="12975"/>
    <w:qFormat/>
    <w:pPr>
      <w:pBdr/>
      <w:spacing/>
      <w:ind/>
    </w:pPr>
    <w:rPr>
      <w:rFonts w:ascii="Times New Roman" w:hAnsi="Times New Roman" w:eastAsia="MS Mincho" w:cs="Times New Roman"/>
      <w:sz w:val="28"/>
      <w:szCs w:val="24"/>
      <w:lang w:val="en-US" w:eastAsia="en-US" w:bidi="en-US"/>
    </w:rPr>
  </w:style>
  <w:style w:type="character" w:styleId="11025" w:customStyle="1">
    <w:name w:val="2.2 Наз. книги Знак"/>
    <w:link w:val="13871"/>
    <w:qFormat/>
    <w:pPr>
      <w:pBdr/>
      <w:spacing/>
      <w:ind/>
    </w:pPr>
    <w:rPr>
      <w:rFonts w:ascii="Times New Roman" w:hAnsi="Times New Roman" w:eastAsia="Times New Roman" w:cs="Times New Roman"/>
      <w:b/>
      <w:smallCaps/>
      <w:spacing w:val="10"/>
      <w:sz w:val="28"/>
      <w:lang w:eastAsia="en-US"/>
    </w:rPr>
  </w:style>
  <w:style w:type="character" w:styleId="11026" w:customStyle="1">
    <w:name w:val="1.0 Заг. ПЗ Знак"/>
    <w:link w:val="12992"/>
    <w:qFormat/>
    <w:pPr>
      <w:pBdr/>
      <w:spacing/>
      <w:ind/>
    </w:pPr>
    <w:rPr>
      <w:rFonts w:ascii="Times New Roman" w:hAnsi="Times New Roman" w:eastAsia="Times New Roman" w:cs="Times New Roman"/>
      <w:b/>
      <w:caps/>
      <w:spacing w:val="10"/>
      <w:sz w:val="32"/>
      <w:szCs w:val="36"/>
      <w:lang w:eastAsia="en-US"/>
    </w:rPr>
  </w:style>
  <w:style w:type="character" w:styleId="11027" w:customStyle="1">
    <w:name w:val="2.3 Текст титула Знак"/>
    <w:link w:val="13967"/>
    <w:qFormat/>
    <w:pPr>
      <w:pBdr/>
      <w:spacing/>
      <w:ind/>
    </w:pPr>
    <w:rPr>
      <w:rFonts w:ascii="Times New Roman" w:hAnsi="Times New Roman" w:eastAsia="Times New Roman" w:cs="Times New Roman"/>
      <w:b/>
      <w:bCs/>
      <w:spacing w:val="10"/>
      <w:sz w:val="28"/>
      <w:szCs w:val="20"/>
      <w:lang w:eastAsia="en-US"/>
    </w:rPr>
  </w:style>
  <w:style w:type="character" w:styleId="11028" w:customStyle="1">
    <w:name w:val="3.6 Табл. Утв.-Согл. Знак"/>
    <w:link w:val="12994"/>
    <w:qFormat/>
    <w:pPr>
      <w:pBdr/>
      <w:spacing/>
      <w:ind/>
    </w:pPr>
    <w:rPr>
      <w:rFonts w:ascii="Times New Roman" w:hAnsi="Times New Roman" w:eastAsia="Times New Roman" w:cs="Times New Roman"/>
      <w:sz w:val="28"/>
      <w:szCs w:val="24"/>
      <w:lang w:eastAsia="en-US"/>
    </w:rPr>
  </w:style>
  <w:style w:type="character" w:styleId="11032" w:customStyle="1">
    <w:name w:val="Оглавление 3 Знак"/>
    <w:uiPriority w:val="39"/>
    <w:qFormat/>
    <w:pPr>
      <w:pBdr/>
      <w:spacing/>
      <w:ind/>
    </w:pPr>
    <w:rPr>
      <w:rFonts w:ascii="Calibri" w:hAnsi="Calibri" w:eastAsia="Times New Roman" w:cs="Calibri"/>
      <w:sz w:val="20"/>
      <w:szCs w:val="20"/>
      <w:lang w:val="en-US" w:eastAsia="en-US" w:bidi="en-US"/>
    </w:rPr>
  </w:style>
  <w:style w:type="character" w:styleId="11033" w:customStyle="1">
    <w:name w:val="Оглавление 4 Знак"/>
    <w:uiPriority w:val="39"/>
    <w:qFormat/>
    <w:pPr>
      <w:pBdr/>
      <w:spacing/>
      <w:ind/>
    </w:pPr>
    <w:rPr>
      <w:rFonts w:ascii="Calibri" w:hAnsi="Calibri" w:eastAsia="Times New Roman" w:cs="Calibri"/>
      <w:sz w:val="20"/>
      <w:szCs w:val="20"/>
      <w:lang w:val="en-US" w:eastAsia="en-US" w:bidi="en-US"/>
    </w:rPr>
  </w:style>
  <w:style w:type="character" w:styleId="11034" w:customStyle="1">
    <w:name w:val="0.5 Список 1) Знак"/>
    <w:link w:val="12998"/>
    <w:qFormat/>
    <w:pPr>
      <w:pBdr/>
      <w:spacing/>
      <w:ind/>
    </w:pPr>
    <w:rPr>
      <w:rFonts w:ascii="Times New Roman" w:hAnsi="Times New Roman" w:eastAsia="Times New Roman" w:cs="Times New Roman"/>
      <w:sz w:val="26"/>
      <w:szCs w:val="26"/>
      <w:lang w:eastAsia="en-US"/>
    </w:rPr>
  </w:style>
  <w:style w:type="character" w:styleId="11035" w:customStyle="1">
    <w:name w:val="0.6 Список а) Знак"/>
    <w:link w:val="12999"/>
    <w:qFormat/>
    <w:pPr>
      <w:pBdr/>
      <w:spacing/>
      <w:ind/>
    </w:pPr>
    <w:rPr>
      <w:rFonts w:ascii="Times New Roman" w:hAnsi="Times New Roman" w:eastAsia="Times New Roman" w:cs="Times New Roman"/>
      <w:sz w:val="26"/>
      <w:szCs w:val="26"/>
      <w:lang w:eastAsia="en-US"/>
    </w:rPr>
  </w:style>
  <w:style w:type="character" w:styleId="11038" w:customStyle="1">
    <w:name w:val="03_Глава 1.1. Знак"/>
    <w:link w:val="12928"/>
    <w:qFormat/>
    <w:pPr>
      <w:pBdr/>
      <w:spacing/>
      <w:ind/>
    </w:pPr>
    <w:rPr>
      <w:rFonts w:ascii="Times New Roman" w:hAnsi="Times New Roman" w:eastAsia="Times New Roman" w:cs="Times New Roman"/>
      <w:b/>
      <w:sz w:val="26"/>
      <w:szCs w:val="24"/>
      <w:lang w:eastAsia="en-US"/>
    </w:rPr>
  </w:style>
  <w:style w:type="character" w:styleId="11040" w:customStyle="1">
    <w:name w:val="3.7 Табл. Зам.-Зав. Знак"/>
    <w:link w:val="12995"/>
    <w:qFormat/>
    <w:pPr>
      <w:pBdr/>
      <w:spacing/>
      <w:ind/>
    </w:pPr>
    <w:rPr>
      <w:rFonts w:ascii="Times New Roman" w:hAnsi="Times New Roman" w:eastAsia="Times New Roman" w:cs="Times New Roman"/>
      <w:sz w:val="28"/>
      <w:szCs w:val="24"/>
      <w:lang w:eastAsia="en-US"/>
    </w:rPr>
  </w:style>
  <w:style w:type="character" w:styleId="11041" w:customStyle="1">
    <w:name w:val="0.2 Слева + 0 Знак"/>
    <w:link w:val="13000"/>
    <w:qFormat/>
    <w:pPr>
      <w:pBdr/>
      <w:spacing/>
      <w:ind/>
    </w:pPr>
    <w:rPr>
      <w:rFonts w:ascii="Times New Roman" w:hAnsi="Times New Roman" w:eastAsia="Times New Roman" w:cs="Times New Roman"/>
      <w:sz w:val="26"/>
      <w:szCs w:val="26"/>
      <w:lang w:eastAsia="en-US"/>
    </w:rPr>
  </w:style>
  <w:style w:type="character" w:styleId="11042" w:customStyle="1">
    <w:name w:val="05_Глава 1.1.1.1. Знак"/>
    <w:link w:val="12930"/>
    <w:qFormat/>
    <w:pPr>
      <w:pBdr/>
      <w:spacing/>
      <w:ind/>
    </w:pPr>
    <w:rPr>
      <w:rFonts w:ascii="Times New Roman" w:hAnsi="Times New Roman" w:eastAsia="Times New Roman" w:cs="Times New Roman"/>
      <w:b/>
      <w:i/>
      <w:iCs/>
      <w:spacing w:val="20"/>
      <w:sz w:val="26"/>
      <w:szCs w:val="26"/>
      <w:lang w:eastAsia="en-US"/>
    </w:rPr>
  </w:style>
  <w:style w:type="character" w:styleId="11043" w:customStyle="1">
    <w:name w:val="1.6 Заг. Подпараграфов Знак"/>
    <w:link w:val="12931"/>
    <w:qFormat/>
    <w:pPr>
      <w:pBdr/>
      <w:spacing/>
      <w:ind/>
    </w:pPr>
    <w:rPr>
      <w:rFonts w:ascii="Times New Roman" w:hAnsi="Times New Roman" w:eastAsia="Times New Roman" w:cs="Times New Roman"/>
      <w:i/>
      <w:iCs/>
      <w:spacing w:val="20"/>
      <w:sz w:val="28"/>
      <w:lang w:eastAsia="en-US"/>
    </w:rPr>
  </w:style>
  <w:style w:type="character" w:styleId="11044" w:customStyle="1">
    <w:name w:val="6.0 Список лит-ры Знак"/>
    <w:link w:val="12934"/>
    <w:qFormat/>
    <w:pPr>
      <w:pBdr/>
      <w:spacing/>
      <w:ind/>
    </w:pPr>
    <w:rPr>
      <w:rFonts w:ascii="Times New Roman" w:hAnsi="Times New Roman" w:eastAsia="Times New Roman" w:cs="Times New Roman"/>
      <w:sz w:val="28"/>
      <w:lang w:eastAsia="en-US"/>
    </w:rPr>
  </w:style>
  <w:style w:type="character" w:styleId="11046" w:customStyle="1">
    <w:name w:val="0.1 Пробел Знак"/>
    <w:basedOn w:val="10732"/>
    <w:link w:val="13007"/>
    <w:qFormat/>
    <w:pPr>
      <w:pBdr/>
      <w:spacing/>
      <w:ind/>
    </w:pPr>
    <w:rPr>
      <w:rFonts w:ascii="Times New Roman" w:hAnsi="Times New Roman" w:eastAsia="Times New Roman" w:cs="Times New Roman"/>
      <w:sz w:val="26"/>
      <w:szCs w:val="26"/>
      <w:lang w:eastAsia="en-US"/>
    </w:rPr>
  </w:style>
  <w:style w:type="character" w:styleId="11047" w:customStyle="1">
    <w:name w:val="3_Рисунок Знак"/>
    <w:link w:val="13766"/>
    <w:qFormat/>
    <w:pPr>
      <w:pBdr/>
      <w:spacing/>
      <w:ind/>
    </w:pPr>
    <w:rPr>
      <w:rFonts w:ascii="Times New Roman" w:hAnsi="Times New Roman" w:eastAsia="Times New Roman" w:cs="Times New Roman"/>
      <w:sz w:val="26"/>
      <w:szCs w:val="26"/>
      <w:lang w:eastAsia="en-US"/>
    </w:rPr>
  </w:style>
  <w:style w:type="character" w:styleId="11048" w:customStyle="1">
    <w:name w:val="0.5 Список 2 Знак"/>
    <w:link w:val="13010"/>
    <w:qFormat/>
    <w:pPr>
      <w:pBdr/>
      <w:spacing/>
      <w:ind/>
    </w:pPr>
    <w:rPr>
      <w:rFonts w:ascii="Times New Roman" w:hAnsi="Times New Roman" w:eastAsia="Times New Roman" w:cs="Times New Roman"/>
      <w:i/>
      <w:sz w:val="26"/>
      <w:szCs w:val="26"/>
      <w:lang w:eastAsia="en-US"/>
    </w:rPr>
  </w:style>
  <w:style w:type="character" w:styleId="11049" w:customStyle="1">
    <w:name w:val="01_ЖИРНЫЙ ЗАГОЛОВОК Знак"/>
    <w:link w:val="13011"/>
    <w:qFormat/>
    <w:pPr>
      <w:pBdr/>
      <w:spacing/>
      <w:ind/>
    </w:pPr>
    <w:rPr>
      <w:rFonts w:ascii="Times New Roman" w:hAnsi="Times New Roman" w:eastAsia="Times New Roman" w:cs="Times New Roman"/>
      <w:b/>
      <w:iCs/>
      <w:caps/>
      <w:spacing w:val="20"/>
      <w:sz w:val="26"/>
      <w:szCs w:val="26"/>
      <w:lang w:eastAsia="ja-JP"/>
    </w:rPr>
  </w:style>
  <w:style w:type="character" w:styleId="11050" w:customStyle="1">
    <w:name w:val="4_Примечания Знак"/>
    <w:link w:val="13805"/>
    <w:qFormat/>
    <w:pPr>
      <w:pBdr/>
      <w:spacing/>
      <w:ind/>
    </w:pPr>
    <w:rPr>
      <w:rFonts w:ascii="Times New Roman" w:hAnsi="Times New Roman" w:eastAsia="Times New Roman" w:cs="Times New Roman"/>
      <w:color w:val="ff0000"/>
      <w:sz w:val="26"/>
      <w:szCs w:val="26"/>
      <w:lang w:eastAsia="en-US"/>
    </w:rPr>
  </w:style>
  <w:style w:type="character" w:styleId="11051" w:customStyle="1">
    <w:name w:val="Название Знак1"/>
    <w:uiPriority w:val="10"/>
    <w:qFormat/>
    <w:pPr>
      <w:pBdr/>
      <w:spacing/>
      <w:ind/>
    </w:pPr>
    <w:rPr>
      <w:rFonts w:ascii="Cambria" w:hAnsi="Cambria" w:eastAsia="Times New Roman" w:cs="Times New Roman"/>
      <w:color w:val="17365d"/>
      <w:spacing w:val="5"/>
      <w:sz w:val="52"/>
      <w:szCs w:val="52"/>
    </w:rPr>
  </w:style>
  <w:style w:type="character" w:styleId="11052" w:customStyle="1">
    <w:name w:val="ConsNonformat Знак"/>
    <w:link w:val="11485"/>
    <w:uiPriority w:val="99"/>
    <w:qFormat/>
    <w:pPr>
      <w:pBdr/>
      <w:spacing/>
      <w:ind/>
    </w:pPr>
    <w:rPr>
      <w:rFonts w:ascii="Consultant" w:hAnsi="Consultant" w:eastAsia="Times New Roman" w:cs="Times New Roman"/>
      <w:lang w:val="en-US" w:bidi="en-US"/>
    </w:rPr>
  </w:style>
  <w:style w:type="character" w:styleId="11053">
    <w:name w:val="Ссылка указателя"/>
    <w:qFormat/>
    <w:pPr>
      <w:pBdr/>
      <w:spacing/>
      <w:ind/>
    </w:pPr>
  </w:style>
  <w:style w:type="paragraph" w:styleId="11054">
    <w:name w:val="Заголовок"/>
    <w:basedOn w:val="10533"/>
    <w:next w:val="11055"/>
    <w:qFormat/>
    <w:pPr>
      <w:keepNext w:val="true"/>
      <w:pBdr/>
      <w:spacing w:after="120" w:before="240"/>
      <w:ind/>
    </w:pPr>
    <w:rPr>
      <w:rFonts w:ascii="Liberation Sans" w:hAnsi="Liberation Sans" w:eastAsia="Tahoma" w:cs="Noto Sans"/>
      <w:sz w:val="28"/>
      <w:szCs w:val="28"/>
    </w:rPr>
  </w:style>
  <w:style w:type="paragraph" w:styleId="11055">
    <w:name w:val="Body Text"/>
    <w:basedOn w:val="10533"/>
    <w:link w:val="10584"/>
    <w:qFormat/>
    <w:pPr>
      <w:pBdr/>
      <w:spacing w:line="360" w:lineRule="auto"/>
      <w:ind w:firstLine="680"/>
      <w:jc w:val="both"/>
    </w:pPr>
    <w:rPr>
      <w:rFonts w:ascii="Arial" w:hAnsi="Arial"/>
      <w:lang w:val="en-US" w:eastAsia="en-US" w:bidi="en-US"/>
    </w:rPr>
  </w:style>
  <w:style w:type="paragraph" w:styleId="11056">
    <w:name w:val="List"/>
    <w:basedOn w:val="10533"/>
    <w:link w:val="10567"/>
    <w:qFormat/>
    <w:pPr>
      <w:pBdr/>
      <w:spacing w:line="360" w:lineRule="auto"/>
      <w:ind/>
      <w:jc w:val="both"/>
    </w:pPr>
    <w:rPr>
      <w:rFonts w:ascii="Arial" w:hAnsi="Arial"/>
      <w:sz w:val="20"/>
      <w:lang w:val="en-US" w:eastAsia="en-US" w:bidi="en-US"/>
    </w:rPr>
  </w:style>
  <w:style w:type="paragraph" w:styleId="11057">
    <w:name w:val="Caption"/>
    <w:basedOn w:val="10533"/>
    <w:next w:val="10533"/>
    <w:link w:val="10572"/>
    <w:uiPriority w:val="35"/>
    <w:unhideWhenUsed/>
    <w:qFormat/>
    <w:pPr>
      <w:pBdr/>
      <w:spacing/>
      <w:ind/>
      <w:jc w:val="center"/>
    </w:pPr>
    <w:rPr>
      <w:rFonts w:ascii="Arial" w:hAnsi="Arial"/>
      <w:b/>
      <w:bCs/>
      <w:color w:val="4f81bd"/>
      <w:szCs w:val="18"/>
    </w:rPr>
  </w:style>
  <w:style w:type="paragraph" w:styleId="11058">
    <w:name w:val="Указатель"/>
    <w:basedOn w:val="10533"/>
    <w:qFormat/>
    <w:pPr>
      <w:suppressLineNumbers w:val="true"/>
      <w:pBdr/>
      <w:spacing/>
      <w:ind/>
    </w:pPr>
    <w:rPr>
      <w:rFonts w:cs="Noto Sans"/>
    </w:rPr>
  </w:style>
  <w:style w:type="paragraph" w:styleId="11059">
    <w:name w:val="Balloon Text"/>
    <w:basedOn w:val="10533"/>
    <w:link w:val="10553"/>
    <w:uiPriority w:val="99"/>
    <w:qFormat/>
    <w:pPr>
      <w:pBdr/>
      <w:spacing w:line="360" w:lineRule="auto"/>
      <w:ind w:firstLine="680"/>
      <w:jc w:val="both"/>
    </w:pPr>
    <w:rPr>
      <w:rFonts w:ascii="Tahoma" w:hAnsi="Tahoma" w:cs="Tahoma"/>
      <w:sz w:val="16"/>
      <w:szCs w:val="16"/>
      <w:lang w:val="en-US" w:eastAsia="en-US" w:bidi="en-US"/>
    </w:rPr>
  </w:style>
  <w:style w:type="paragraph" w:styleId="11061">
    <w:name w:val="List 2"/>
    <w:basedOn w:val="10533"/>
    <w:link w:val="10554"/>
    <w:qFormat/>
    <w:pPr>
      <w:pBdr/>
      <w:spacing w:after="0" w:before="0" w:line="360" w:lineRule="auto"/>
      <w:ind w:hanging="283" w:left="566"/>
      <w:contextualSpacing w:val="true"/>
      <w:jc w:val="both"/>
    </w:pPr>
    <w:rPr>
      <w:rFonts w:ascii="Arial" w:hAnsi="Arial"/>
      <w:lang w:val="en-US" w:eastAsia="en-US" w:bidi="en-US"/>
    </w:rPr>
  </w:style>
  <w:style w:type="paragraph" w:styleId="11062">
    <w:name w:val="Title"/>
    <w:basedOn w:val="10533"/>
    <w:next w:val="10533"/>
    <w:link w:val="10555"/>
    <w:uiPriority w:val="10"/>
    <w:qFormat/>
    <w:pPr>
      <w:pBdr/>
      <w:spacing w:after="300" w:before="0"/>
      <w:ind w:firstLine="680"/>
      <w:contextualSpacing w:val="true"/>
      <w:jc w:val="both"/>
    </w:pPr>
    <w:rPr>
      <w:rFonts w:ascii="Arial" w:hAnsi="Arial"/>
      <w:b/>
      <w:caps/>
      <w:sz w:val="32"/>
      <w:szCs w:val="52"/>
      <w:lang w:val="en-US" w:eastAsia="en-US" w:bidi="en-US"/>
    </w:rPr>
  </w:style>
  <w:style w:type="paragraph" w:styleId="11063">
    <w:name w:val="annotation text"/>
    <w:basedOn w:val="10533"/>
    <w:link w:val="10557"/>
    <w:uiPriority w:val="99"/>
    <w:pPr>
      <w:pBdr/>
      <w:spacing w:line="360" w:lineRule="auto"/>
      <w:ind w:firstLine="680"/>
      <w:jc w:val="both"/>
    </w:pPr>
    <w:rPr>
      <w:rFonts w:ascii="Arial" w:hAnsi="Arial"/>
      <w:lang w:val="en-US" w:eastAsia="en-US" w:bidi="en-US"/>
    </w:rPr>
  </w:style>
  <w:style w:type="paragraph" w:styleId="11064">
    <w:name w:val="endnote text"/>
    <w:basedOn w:val="10533"/>
    <w:link w:val="10560"/>
    <w:uiPriority w:val="99"/>
    <w:pPr>
      <w:pBdr/>
      <w:spacing w:line="360" w:lineRule="auto"/>
      <w:ind w:firstLine="680"/>
      <w:jc w:val="both"/>
    </w:pPr>
    <w:rPr>
      <w:rFonts w:ascii="Arial" w:hAnsi="Arial"/>
      <w:lang w:val="en-US" w:eastAsia="en-US" w:bidi="en-US"/>
    </w:rPr>
  </w:style>
  <w:style w:type="paragraph" w:styleId="11065">
    <w:name w:val="Header and Footer"/>
    <w:basedOn w:val="10533"/>
    <w:qFormat/>
    <w:pPr>
      <w:pBdr/>
      <w:spacing/>
      <w:ind/>
    </w:pPr>
  </w:style>
  <w:style w:type="paragraph" w:styleId="11066">
    <w:name w:val="Footer"/>
    <w:basedOn w:val="10533"/>
    <w:link w:val="10561"/>
    <w:uiPriority w:val="99"/>
    <w:pPr>
      <w:keepLines w:val="true"/>
      <w:pBdr>
        <w:top w:val="single" w:color="622423" w:sz="24" w:space="0"/>
      </w:pBdr>
      <w:tabs>
        <w:tab w:val="clear" w:leader="none" w:pos="708"/>
        <w:tab w:val="left" w:leader="none" w:pos="6379"/>
        <w:tab w:val="right" w:leader="none" w:pos="14601"/>
      </w:tabs>
      <w:spacing w:line="190" w:lineRule="atLeast"/>
      <w:ind/>
      <w:jc w:val="both"/>
    </w:pPr>
    <w:rPr>
      <w:rFonts w:ascii="Cambria" w:hAnsi="Cambria"/>
      <w:caps/>
      <w:sz w:val="12"/>
      <w:szCs w:val="12"/>
      <w:lang w:val="en-US" w:eastAsia="en-US" w:bidi="en-US"/>
    </w:rPr>
  </w:style>
  <w:style w:type="paragraph" w:styleId="11067">
    <w:name w:val="footnote text"/>
    <w:basedOn w:val="10533"/>
    <w:link w:val="10564"/>
    <w:qFormat/>
    <w:pPr>
      <w:pBdr/>
      <w:spacing w:line="360" w:lineRule="auto"/>
      <w:ind w:firstLine="680"/>
      <w:jc w:val="both"/>
    </w:pPr>
    <w:rPr>
      <w:rFonts w:ascii="Arial" w:hAnsi="Arial"/>
      <w:lang w:val="en-US" w:eastAsia="en-US" w:bidi="en-US"/>
    </w:rPr>
  </w:style>
  <w:style w:type="paragraph" w:styleId="11068">
    <w:name w:val="Header"/>
    <w:basedOn w:val="11121"/>
    <w:link w:val="10565"/>
    <w:uiPriority w:val="99"/>
    <w:qFormat/>
    <w:pPr>
      <w:pBdr/>
      <w:spacing/>
      <w:ind/>
    </w:pPr>
  </w:style>
  <w:style w:type="paragraph" w:styleId="11069">
    <w:name w:val="index 1"/>
    <w:basedOn w:val="10533"/>
    <w:pPr>
      <w:pBdr/>
      <w:spacing w:line="360" w:lineRule="auto"/>
      <w:ind w:firstLine="680"/>
      <w:jc w:val="both"/>
    </w:pPr>
    <w:rPr>
      <w:rFonts w:ascii="Arial" w:hAnsi="Arial"/>
      <w:lang w:val="en-US" w:eastAsia="en-US" w:bidi="en-US"/>
    </w:rPr>
  </w:style>
  <w:style w:type="paragraph" w:styleId="11070">
    <w:name w:val="index 2"/>
    <w:basedOn w:val="10533"/>
    <w:pPr>
      <w:pBdr/>
      <w:spacing w:line="360" w:lineRule="auto"/>
      <w:ind w:firstLine="680" w:left="720"/>
      <w:jc w:val="both"/>
    </w:pPr>
    <w:rPr>
      <w:rFonts w:ascii="Arial" w:hAnsi="Arial"/>
      <w:lang w:val="en-US" w:eastAsia="en-US" w:bidi="en-US"/>
    </w:rPr>
  </w:style>
  <w:style w:type="paragraph" w:styleId="11071">
    <w:name w:val="index 3"/>
    <w:basedOn w:val="10533"/>
    <w:pPr>
      <w:pBdr/>
      <w:spacing w:line="360" w:lineRule="auto"/>
      <w:ind w:firstLine="680"/>
      <w:jc w:val="both"/>
    </w:pPr>
    <w:rPr>
      <w:rFonts w:ascii="Arial" w:hAnsi="Arial"/>
      <w:lang w:val="en-US" w:eastAsia="en-US" w:bidi="en-US"/>
    </w:rPr>
  </w:style>
  <w:style w:type="paragraph" w:styleId="11072">
    <w:name w:val="index 4"/>
    <w:basedOn w:val="10533"/>
    <w:qFormat/>
    <w:pPr>
      <w:pBdr/>
      <w:spacing w:line="360" w:lineRule="auto"/>
      <w:ind w:firstLine="680" w:left="1440"/>
      <w:jc w:val="both"/>
    </w:pPr>
    <w:rPr>
      <w:rFonts w:ascii="Arial" w:hAnsi="Arial"/>
      <w:lang w:val="en-US" w:eastAsia="en-US" w:bidi="en-US"/>
    </w:rPr>
  </w:style>
  <w:style w:type="paragraph" w:styleId="11073">
    <w:name w:val="index 5"/>
    <w:basedOn w:val="10533"/>
    <w:qFormat/>
    <w:pPr>
      <w:pBdr/>
      <w:spacing w:line="360" w:lineRule="auto"/>
      <w:ind w:firstLine="680" w:left="1800"/>
      <w:jc w:val="both"/>
    </w:pPr>
    <w:rPr>
      <w:rFonts w:ascii="Arial" w:hAnsi="Arial"/>
      <w:lang w:val="en-US" w:eastAsia="en-US" w:bidi="en-US"/>
    </w:rPr>
  </w:style>
  <w:style w:type="paragraph" w:styleId="11074">
    <w:name w:val="index heading"/>
    <w:basedOn w:val="10533"/>
    <w:next w:val="11069"/>
    <w:pPr>
      <w:pBdr/>
      <w:spacing w:line="480" w:lineRule="atLeast"/>
      <w:ind w:firstLine="680"/>
      <w:jc w:val="both"/>
    </w:pPr>
    <w:rPr>
      <w:rFonts w:ascii="Arial Black" w:hAnsi="Arial Black"/>
      <w:lang w:val="en-US" w:eastAsia="en-US" w:bidi="en-US"/>
    </w:rPr>
  </w:style>
  <w:style w:type="paragraph" w:styleId="11075">
    <w:name w:val="table of authorities"/>
    <w:basedOn w:val="10533"/>
    <w:pPr>
      <w:pBdr/>
      <w:tabs>
        <w:tab w:val="clear" w:leader="none" w:pos="708"/>
        <w:tab w:val="right" w:leader="dot" w:pos="7560"/>
      </w:tabs>
      <w:spacing w:line="360" w:lineRule="auto"/>
      <w:ind w:hanging="360" w:left="1440"/>
      <w:jc w:val="both"/>
    </w:pPr>
    <w:rPr>
      <w:rFonts w:ascii="Arial" w:hAnsi="Arial"/>
      <w:lang w:val="en-US" w:eastAsia="en-US" w:bidi="en-US"/>
    </w:rPr>
  </w:style>
  <w:style w:type="paragraph" w:styleId="11076">
    <w:name w:val="toa heading"/>
    <w:basedOn w:val="10533"/>
    <w:next w:val="11075"/>
    <w:qFormat/>
    <w:pPr>
      <w:keepNext w:val="true"/>
      <w:pBdr/>
      <w:spacing w:line="480" w:lineRule="atLeast"/>
      <w:ind w:firstLine="680"/>
      <w:jc w:val="both"/>
    </w:pPr>
    <w:rPr>
      <w:rFonts w:ascii="Arial Black" w:hAnsi="Arial Black"/>
      <w:b/>
      <w:spacing w:val="-10"/>
      <w:lang w:val="en-US" w:eastAsia="en-US" w:bidi="en-US"/>
    </w:rPr>
  </w:style>
  <w:style w:type="paragraph" w:styleId="11077">
    <w:name w:val="toc 4"/>
    <w:basedOn w:val="10533"/>
    <w:link w:val="11033"/>
    <w:uiPriority w:val="39"/>
    <w:qFormat/>
    <w:pPr>
      <w:pBdr/>
      <w:spacing w:line="360" w:lineRule="auto"/>
      <w:ind w:firstLine="680" w:left="660"/>
    </w:pPr>
    <w:rPr>
      <w:rFonts w:ascii="Calibri" w:hAnsi="Calibri" w:cs="Calibri"/>
      <w:sz w:val="20"/>
      <w:szCs w:val="20"/>
      <w:lang w:val="en-US" w:eastAsia="en-US" w:bidi="en-US"/>
    </w:rPr>
  </w:style>
  <w:style w:type="paragraph" w:styleId="11078">
    <w:name w:val="toc 5"/>
    <w:basedOn w:val="10533"/>
    <w:uiPriority w:val="39"/>
    <w:qFormat/>
    <w:pPr>
      <w:pBdr/>
      <w:spacing w:line="360" w:lineRule="auto"/>
      <w:ind w:firstLine="680" w:left="880"/>
    </w:pPr>
    <w:rPr>
      <w:rFonts w:ascii="Calibri" w:hAnsi="Calibri" w:cs="Calibri"/>
      <w:sz w:val="20"/>
      <w:szCs w:val="20"/>
      <w:lang w:val="en-US" w:eastAsia="en-US" w:bidi="en-US"/>
    </w:rPr>
  </w:style>
  <w:style w:type="paragraph" w:styleId="11079">
    <w:name w:val="toc 6"/>
    <w:basedOn w:val="10533"/>
    <w:next w:val="10533"/>
    <w:uiPriority w:val="39"/>
    <w:qFormat/>
    <w:pPr>
      <w:pBdr/>
      <w:spacing w:line="360" w:lineRule="auto"/>
      <w:ind w:firstLine="680" w:left="1100"/>
    </w:pPr>
    <w:rPr>
      <w:rFonts w:ascii="Calibri" w:hAnsi="Calibri" w:cs="Calibri"/>
      <w:sz w:val="20"/>
      <w:szCs w:val="20"/>
      <w:lang w:val="en-US" w:eastAsia="en-US" w:bidi="en-US"/>
    </w:rPr>
  </w:style>
  <w:style w:type="paragraph" w:styleId="11080">
    <w:name w:val="toc 7"/>
    <w:basedOn w:val="10533"/>
    <w:next w:val="10533"/>
    <w:uiPriority w:val="39"/>
    <w:qFormat/>
    <w:pPr>
      <w:pBdr/>
      <w:spacing w:line="360" w:lineRule="auto"/>
      <w:ind w:firstLine="680" w:left="1320"/>
    </w:pPr>
    <w:rPr>
      <w:rFonts w:ascii="Calibri" w:hAnsi="Calibri" w:cs="Calibri"/>
      <w:sz w:val="20"/>
      <w:szCs w:val="20"/>
      <w:lang w:val="en-US" w:eastAsia="en-US" w:bidi="en-US"/>
    </w:rPr>
  </w:style>
  <w:style w:type="paragraph" w:styleId="11081">
    <w:name w:val="toc 8"/>
    <w:basedOn w:val="10533"/>
    <w:next w:val="10533"/>
    <w:uiPriority w:val="39"/>
    <w:pPr>
      <w:pBdr/>
      <w:spacing w:line="360" w:lineRule="auto"/>
      <w:ind w:firstLine="680" w:left="1540"/>
    </w:pPr>
    <w:rPr>
      <w:rFonts w:ascii="Calibri" w:hAnsi="Calibri" w:cs="Calibri"/>
      <w:sz w:val="20"/>
      <w:szCs w:val="20"/>
      <w:lang w:val="en-US" w:eastAsia="en-US" w:bidi="en-US"/>
    </w:rPr>
  </w:style>
  <w:style w:type="paragraph" w:styleId="11082">
    <w:name w:val="toc 9"/>
    <w:basedOn w:val="10533"/>
    <w:next w:val="10533"/>
    <w:uiPriority w:val="39"/>
    <w:pPr>
      <w:pBdr/>
      <w:spacing w:line="360" w:lineRule="auto"/>
      <w:ind w:firstLine="680" w:left="1760"/>
    </w:pPr>
    <w:rPr>
      <w:rFonts w:ascii="Calibri" w:hAnsi="Calibri" w:cs="Calibri"/>
      <w:sz w:val="20"/>
      <w:szCs w:val="20"/>
      <w:lang w:val="en-US" w:eastAsia="en-US" w:bidi="en-US"/>
    </w:rPr>
  </w:style>
  <w:style w:type="paragraph" w:styleId="11083">
    <w:name w:val="Document Map"/>
    <w:basedOn w:val="10533"/>
    <w:link w:val="10569"/>
    <w:uiPriority w:val="99"/>
    <w:qFormat/>
    <w:pPr>
      <w:pBdr/>
      <w:shd w:val="clear" w:color="auto" w:fill="000080"/>
      <w:spacing w:line="360" w:lineRule="auto"/>
      <w:ind w:firstLine="680"/>
      <w:jc w:val="both"/>
    </w:pPr>
    <w:rPr>
      <w:rFonts w:ascii="Tahoma" w:hAnsi="Tahoma" w:cs="Tahoma"/>
      <w:lang w:val="en-US" w:eastAsia="en-US" w:bidi="en-US"/>
    </w:rPr>
  </w:style>
  <w:style w:type="paragraph" w:styleId="11084" w:customStyle="1">
    <w:name w:val="рисунок"/>
    <w:basedOn w:val="10533"/>
    <w:next w:val="10533"/>
    <w:link w:val="10570"/>
    <w:qFormat/>
    <w:pPr>
      <w:keepNext w:val="true"/>
      <w:pBdr/>
      <w:spacing w:line="360" w:lineRule="auto"/>
      <w:ind w:firstLine="680"/>
      <w:jc w:val="center"/>
    </w:pPr>
  </w:style>
  <w:style w:type="paragraph" w:styleId="11085" w:customStyle="1">
    <w:name w:val="Заголовок 0"/>
    <w:basedOn w:val="10534"/>
    <w:qFormat/>
    <w:pPr>
      <w:pBdr/>
      <w:spacing w:after="0" w:before="120" w:line="240" w:lineRule="auto"/>
      <w:ind/>
      <w:contextualSpacing w:val="true"/>
    </w:pPr>
    <w:rPr>
      <w:spacing w:val="0"/>
      <w:lang w:eastAsia="ru-RU"/>
    </w:rPr>
  </w:style>
  <w:style w:type="paragraph" w:styleId="11086" w:customStyle="1">
    <w:name w:val="Заголовок таблицы (user)"/>
    <w:basedOn w:val="10533"/>
    <w:next w:val="10533"/>
    <w:link w:val="10571"/>
    <w:qFormat/>
    <w:pPr>
      <w:keepNext w:val="true"/>
      <w:keepLines w:val="true"/>
      <w:pBdr/>
      <w:spacing w:after="80" w:before="80" w:line="360" w:lineRule="auto"/>
      <w:ind w:firstLine="680"/>
    </w:pPr>
    <w:rPr>
      <w:rFonts w:ascii="Arial" w:hAnsi="Arial"/>
      <w:lang w:val="en-US" w:bidi="en-US"/>
    </w:rPr>
  </w:style>
  <w:style w:type="paragraph" w:styleId="11087">
    <w:name w:val="TOC Heading"/>
    <w:basedOn w:val="10534"/>
    <w:next w:val="10533"/>
    <w:uiPriority w:val="39"/>
    <w:unhideWhenUsed/>
    <w:qFormat/>
    <w:pPr>
      <w:numPr>
        <w:ilvl w:val="0"/>
        <w:numId w:val="0"/>
      </w:numPr>
      <w:pBdr/>
      <w:spacing/>
      <w:ind w:hanging="680" w:left="680"/>
      <w:outlineLvl w:val="9"/>
    </w:pPr>
  </w:style>
  <w:style w:type="paragraph" w:styleId="11088">
    <w:name w:val="List Number"/>
    <w:basedOn w:val="10533"/>
    <w:qFormat/>
    <w:pPr>
      <w:numPr>
        <w:ilvl w:val="0"/>
        <w:numId w:val="1"/>
      </w:numPr>
      <w:pBdr/>
      <w:spacing w:after="0" w:before="0" w:line="360" w:lineRule="auto"/>
      <w:ind/>
      <w:contextualSpacing w:val="true"/>
      <w:jc w:val="both"/>
    </w:pPr>
    <w:rPr>
      <w:rFonts w:ascii="Arial" w:hAnsi="Arial"/>
      <w:lang w:val="en-US" w:eastAsia="en-US" w:bidi="en-US"/>
    </w:rPr>
  </w:style>
  <w:style w:type="paragraph" w:styleId="11089">
    <w:name w:val="List 3"/>
    <w:basedOn w:val="11056"/>
    <w:qFormat/>
    <w:pPr>
      <w:pBdr/>
      <w:spacing/>
      <w:ind w:left="2160"/>
    </w:pPr>
  </w:style>
  <w:style w:type="paragraph" w:styleId="11090">
    <w:name w:val="List 4"/>
    <w:basedOn w:val="11056"/>
    <w:qFormat/>
    <w:pPr>
      <w:pBdr/>
      <w:spacing/>
      <w:ind w:left="2520"/>
    </w:pPr>
  </w:style>
  <w:style w:type="paragraph" w:styleId="11091">
    <w:name w:val="List 5"/>
    <w:basedOn w:val="11056"/>
    <w:qFormat/>
    <w:pPr>
      <w:pBdr/>
      <w:spacing/>
      <w:ind w:left="2880"/>
    </w:pPr>
  </w:style>
  <w:style w:type="paragraph" w:styleId="11092">
    <w:name w:val="List Bullet 3"/>
    <w:basedOn w:val="10533"/>
    <w:pPr>
      <w:numPr>
        <w:ilvl w:val="0"/>
        <w:numId w:val="2"/>
      </w:numPr>
      <w:pBdr/>
      <w:spacing w:line="360" w:lineRule="auto"/>
      <w:ind w:hanging="357" w:left="714"/>
      <w:jc w:val="both"/>
    </w:pPr>
    <w:rPr>
      <w:rFonts w:ascii="Arial" w:hAnsi="Arial"/>
      <w:lang w:val="en-US" w:eastAsia="en-US" w:bidi="en-US"/>
    </w:rPr>
  </w:style>
  <w:style w:type="paragraph" w:styleId="11093">
    <w:name w:val="List Bullet 4"/>
    <w:basedOn w:val="10533"/>
    <w:pPr>
      <w:pBdr/>
      <w:spacing w:line="360" w:lineRule="auto"/>
      <w:ind/>
      <w:jc w:val="both"/>
    </w:pPr>
    <w:rPr>
      <w:rFonts w:ascii="Arial" w:hAnsi="Arial"/>
      <w:lang w:val="en-US" w:eastAsia="en-US" w:bidi="en-US"/>
    </w:rPr>
  </w:style>
  <w:style w:type="paragraph" w:styleId="11094">
    <w:name w:val="List Bullet 5"/>
    <w:basedOn w:val="10533"/>
    <w:pPr>
      <w:pBdr/>
      <w:spacing w:line="360" w:lineRule="auto"/>
      <w:ind/>
      <w:jc w:val="both"/>
    </w:pPr>
    <w:rPr>
      <w:rFonts w:ascii="Arial" w:hAnsi="Arial"/>
      <w:lang w:val="en-US" w:eastAsia="en-US" w:bidi="en-US"/>
    </w:rPr>
  </w:style>
  <w:style w:type="paragraph" w:styleId="11095">
    <w:name w:val="List Number 2"/>
    <w:basedOn w:val="11088"/>
    <w:pPr>
      <w:numPr>
        <w:ilvl w:val="0"/>
        <w:numId w:val="0"/>
      </w:numPr>
      <w:pBdr/>
      <w:spacing w:after="0" w:before="0"/>
      <w:ind/>
      <w:contextualSpacing w:val="false"/>
    </w:pPr>
  </w:style>
  <w:style w:type="paragraph" w:styleId="11096">
    <w:name w:val="List Number 3"/>
    <w:basedOn w:val="11088"/>
    <w:pPr>
      <w:numPr>
        <w:ilvl w:val="0"/>
        <w:numId w:val="0"/>
      </w:numPr>
      <w:pBdr/>
      <w:spacing w:after="0" w:before="0"/>
      <w:ind/>
      <w:contextualSpacing w:val="false"/>
    </w:pPr>
  </w:style>
  <w:style w:type="paragraph" w:styleId="11097">
    <w:name w:val="List Number 4"/>
    <w:basedOn w:val="11088"/>
    <w:pPr>
      <w:numPr>
        <w:ilvl w:val="0"/>
        <w:numId w:val="0"/>
      </w:numPr>
      <w:pBdr/>
      <w:spacing w:after="0" w:before="0"/>
      <w:ind/>
      <w:contextualSpacing w:val="false"/>
    </w:pPr>
  </w:style>
  <w:style w:type="paragraph" w:styleId="11098">
    <w:name w:val="List Number 5"/>
    <w:basedOn w:val="11088"/>
    <w:pPr>
      <w:numPr>
        <w:ilvl w:val="0"/>
        <w:numId w:val="0"/>
      </w:numPr>
      <w:pBdr/>
      <w:spacing w:after="0" w:before="0"/>
      <w:ind/>
      <w:contextualSpacing w:val="false"/>
    </w:pPr>
  </w:style>
  <w:style w:type="paragraph" w:styleId="11099" w:customStyle="1">
    <w:name w:val="Нормальный"/>
    <w:qFormat/>
    <w:pPr>
      <w:widowControl w:val="true"/>
      <w:pBdr/>
      <w:tabs>
        <w:tab w:val="left" w:leader="none" w:pos="567"/>
        <w:tab w:val="clear" w:leader="none" w:pos="708"/>
        <w:tab w:val="left" w:leader="none" w:pos="2268"/>
        <w:tab w:val="left" w:leader="none" w:pos="3118"/>
        <w:tab w:val="left" w:leader="none" w:pos="4039"/>
        <w:tab w:val="left" w:leader="none" w:pos="4819"/>
        <w:tab w:val="left" w:leader="none" w:pos="5670"/>
        <w:tab w:val="left" w:leader="none" w:pos="6520"/>
      </w:tabs>
      <w:bidi w:val="false"/>
      <w:spacing w:after="200" w:before="0" w:line="360" w:lineRule="auto"/>
      <w:ind/>
      <w:jc w:val="left"/>
    </w:pPr>
    <w:rPr>
      <w:rFonts w:ascii="Courier New" w:hAnsi="Courier New" w:eastAsia="Times New Roman" w:cs="Times New Roman"/>
      <w:b/>
      <w:color w:val="auto"/>
      <w:sz w:val="24"/>
      <w:szCs w:val="22"/>
      <w:lang w:val="en-US" w:eastAsia="en-US" w:bidi="en-US"/>
    </w:rPr>
  </w:style>
  <w:style w:type="paragraph" w:styleId="11100">
    <w:name w:val="List Bullet"/>
    <w:basedOn w:val="11056"/>
    <w:link w:val="10576"/>
    <w:uiPriority w:val="99"/>
    <w:pPr>
      <w:numPr>
        <w:ilvl w:val="0"/>
        <w:numId w:val="3"/>
      </w:numPr>
      <w:pBdr/>
      <w:tabs>
        <w:tab w:val="clear" w:leader="none" w:pos="708"/>
        <w:tab w:val="left" w:leader="none" w:pos="993"/>
      </w:tabs>
      <w:spacing/>
      <w:ind w:firstLine="0" w:left="567"/>
    </w:pPr>
    <w:rPr>
      <w:sz w:val="22"/>
    </w:rPr>
  </w:style>
  <w:style w:type="paragraph" w:styleId="11101">
    <w:name w:val="List Bullet 2"/>
    <w:basedOn w:val="11100"/>
    <w:pPr>
      <w:numPr>
        <w:ilvl w:val="0"/>
        <w:numId w:val="4"/>
      </w:numPr>
      <w:pBdr/>
      <w:spacing/>
      <w:ind/>
    </w:pPr>
  </w:style>
  <w:style w:type="paragraph" w:styleId="11102">
    <w:name w:val="table of figures"/>
    <w:basedOn w:val="10533"/>
    <w:uiPriority w:val="99"/>
    <w:qFormat/>
    <w:pPr>
      <w:pBdr/>
      <w:spacing w:line="360" w:lineRule="auto"/>
      <w:ind w:hanging="440" w:left="440"/>
    </w:pPr>
    <w:rPr>
      <w:i/>
      <w:sz w:val="20"/>
      <w:szCs w:val="20"/>
      <w:lang w:val="en-US" w:eastAsia="en-US" w:bidi="en-US"/>
    </w:rPr>
  </w:style>
  <w:style w:type="paragraph" w:styleId="11103">
    <w:name w:val="List Paragraph"/>
    <w:basedOn w:val="10533"/>
    <w:link w:val="10606"/>
    <w:uiPriority w:val="34"/>
    <w:qFormat/>
    <w:pPr>
      <w:pBdr/>
      <w:spacing w:after="0" w:before="0" w:line="360" w:lineRule="auto"/>
      <w:ind w:firstLine="680" w:left="720"/>
      <w:contextualSpacing w:val="true"/>
      <w:jc w:val="both"/>
    </w:pPr>
    <w:rPr>
      <w:rFonts w:ascii="Arial" w:hAnsi="Arial"/>
      <w:lang w:val="en-US" w:eastAsia="en-US" w:bidi="en-US"/>
    </w:rPr>
  </w:style>
  <w:style w:type="paragraph" w:styleId="11104">
    <w:name w:val="toc 1"/>
    <w:basedOn w:val="10533"/>
    <w:next w:val="10533"/>
    <w:link w:val="13637"/>
    <w:uiPriority w:val="39"/>
    <w:qFormat/>
    <w:pPr>
      <w:pBdr/>
      <w:tabs>
        <w:tab w:val="left" w:leader="none" w:pos="440"/>
        <w:tab w:val="clear" w:leader="none" w:pos="708"/>
        <w:tab w:val="right" w:leader="dot" w:pos="9214"/>
      </w:tabs>
      <w:spacing w:after="0" w:before="0"/>
      <w:ind w:firstLine="680"/>
      <w:contextualSpacing w:val="true"/>
      <w:jc w:val="both"/>
    </w:pPr>
    <w:rPr>
      <w:rFonts w:ascii="Arial" w:hAnsi="Arial" w:cs="Calibri"/>
      <w:bCs/>
      <w:iCs/>
      <w:lang w:val="en-US" w:eastAsia="en-US" w:bidi="en-US"/>
    </w:rPr>
  </w:style>
  <w:style w:type="paragraph" w:styleId="11105">
    <w:name w:val="toc 2"/>
    <w:basedOn w:val="10533"/>
    <w:next w:val="10533"/>
    <w:link w:val="13720"/>
    <w:uiPriority w:val="39"/>
    <w:qFormat/>
    <w:pPr>
      <w:pBdr/>
      <w:tabs>
        <w:tab w:val="clear" w:leader="none" w:pos="708"/>
        <w:tab w:val="left" w:leader="none" w:pos="709"/>
        <w:tab w:val="right" w:leader="dot" w:pos="9214"/>
      </w:tabs>
      <w:spacing w:line="360" w:lineRule="auto"/>
      <w:ind w:hanging="425" w:left="709"/>
    </w:pPr>
    <w:rPr>
      <w:rFonts w:ascii="Arial" w:hAnsi="Arial" w:cs="Arial"/>
      <w:bCs/>
      <w:lang w:val="en-US" w:eastAsia="en-US" w:bidi="en-US"/>
    </w:rPr>
  </w:style>
  <w:style w:type="paragraph" w:styleId="11106">
    <w:name w:val="toc 3"/>
    <w:basedOn w:val="10533"/>
    <w:next w:val="10533"/>
    <w:link w:val="11032"/>
    <w:uiPriority w:val="39"/>
    <w:qFormat/>
    <w:pPr>
      <w:pBdr/>
      <w:spacing w:line="360" w:lineRule="auto"/>
      <w:ind w:firstLine="680" w:left="440"/>
    </w:pPr>
    <w:rPr>
      <w:rFonts w:ascii="Calibri" w:hAnsi="Calibri" w:cs="Calibri"/>
      <w:sz w:val="20"/>
      <w:szCs w:val="20"/>
      <w:lang w:val="en-US" w:eastAsia="en-US" w:bidi="en-US"/>
    </w:rPr>
  </w:style>
  <w:style w:type="paragraph" w:styleId="11107" w:customStyle="1">
    <w:name w:val="Стиль Основной текст + 11 пт Первая строка:  095 см Перед:  6 пт"/>
    <w:basedOn w:val="10533"/>
    <w:semiHidden/>
    <w:qFormat/>
    <w:pPr>
      <w:pBdr/>
      <w:spacing w:line="360" w:lineRule="auto"/>
      <w:ind w:firstLine="709"/>
      <w:jc w:val="both"/>
    </w:pPr>
    <w:rPr>
      <w:rFonts w:ascii="Arial" w:hAnsi="Arial"/>
      <w:szCs w:val="20"/>
      <w:lang w:val="en-US" w:bidi="en-US"/>
    </w:rPr>
  </w:style>
  <w:style w:type="paragraph" w:styleId="11108">
    <w:name w:val="HTML Preformatted"/>
    <w:basedOn w:val="10533"/>
    <w:link w:val="10577"/>
    <w:unhideWhenUsed/>
    <w:qFormat/>
    <w:pPr>
      <w:pBdr/>
      <w:tabs>
        <w:tab w:val="clear" w:leader="none" w:pos="708"/>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360" w:lineRule="auto"/>
      <w:ind/>
    </w:pPr>
    <w:rPr>
      <w:rFonts w:ascii="Courier New" w:hAnsi="Courier New" w:cs="Courier New"/>
      <w:sz w:val="20"/>
      <w:szCs w:val="20"/>
      <w:lang w:val="en-US" w:bidi="en-US"/>
    </w:rPr>
  </w:style>
  <w:style w:type="paragraph" w:styleId="11109">
    <w:name w:val="Normal (Web)"/>
    <w:basedOn w:val="10533"/>
    <w:uiPriority w:val="99"/>
    <w:qFormat/>
    <w:pPr>
      <w:pBdr/>
      <w:spacing w:afterAutospacing="1" w:beforeAutospacing="1" w:line="360" w:lineRule="auto"/>
      <w:ind/>
    </w:pPr>
    <w:rPr>
      <w:rFonts w:ascii="Tahoma" w:hAnsi="Tahoma" w:cs="Tahoma"/>
      <w:color w:val="636363"/>
      <w:sz w:val="17"/>
      <w:szCs w:val="17"/>
      <w:lang w:val="en-US" w:bidi="en-US"/>
    </w:rPr>
  </w:style>
  <w:style w:type="paragraph" w:styleId="11110">
    <w:name w:val="Body Text Indent"/>
    <w:basedOn w:val="10533"/>
    <w:link w:val="10578"/>
    <w:uiPriority w:val="99"/>
    <w:unhideWhenUsed/>
    <w:qFormat/>
    <w:pPr>
      <w:pBdr/>
      <w:spacing/>
      <w:ind w:left="283"/>
    </w:pPr>
    <w:rPr>
      <w:rFonts w:ascii="Calibri" w:hAnsi="Calibri" w:eastAsia="Calibri"/>
      <w:lang w:val="en-US" w:eastAsia="en-US" w:bidi="en-US"/>
    </w:rPr>
  </w:style>
  <w:style w:type="paragraph" w:styleId="11111" w:customStyle="1">
    <w:name w:val="Подрисуночный текст"/>
    <w:basedOn w:val="10533"/>
    <w:next w:val="10533"/>
    <w:link w:val="10579"/>
    <w:qFormat/>
    <w:pPr>
      <w:keepNext w:val="true"/>
      <w:pBdr/>
      <w:spacing w:line="360" w:lineRule="auto"/>
      <w:ind w:firstLine="680"/>
      <w:jc w:val="center"/>
    </w:pPr>
    <w:rPr>
      <w:rFonts w:ascii="Arial" w:hAnsi="Arial"/>
      <w:lang w:val="en-US" w:bidi="en-US"/>
    </w:rPr>
  </w:style>
  <w:style w:type="paragraph" w:styleId="11112">
    <w:name w:val="List Continue"/>
    <w:basedOn w:val="11056"/>
    <w:pPr>
      <w:pBdr/>
      <w:spacing/>
      <w:ind/>
    </w:pPr>
  </w:style>
  <w:style w:type="paragraph" w:styleId="11113">
    <w:name w:val="List Continue 2"/>
    <w:basedOn w:val="11112"/>
    <w:pPr>
      <w:pBdr/>
      <w:spacing/>
      <w:ind w:left="2160"/>
    </w:pPr>
  </w:style>
  <w:style w:type="paragraph" w:styleId="11114">
    <w:name w:val="List Continue 3"/>
    <w:basedOn w:val="11112"/>
    <w:pPr>
      <w:pBdr/>
      <w:spacing/>
      <w:ind w:left="2520"/>
    </w:pPr>
  </w:style>
  <w:style w:type="paragraph" w:styleId="11115">
    <w:name w:val="List Continue 4"/>
    <w:basedOn w:val="11112"/>
    <w:pPr>
      <w:pBdr/>
      <w:spacing/>
      <w:ind w:left="2880"/>
    </w:pPr>
  </w:style>
  <w:style w:type="paragraph" w:styleId="11116">
    <w:name w:val="List Continue 5"/>
    <w:basedOn w:val="11112"/>
    <w:pPr>
      <w:pBdr/>
      <w:spacing/>
      <w:ind w:left="3240"/>
    </w:pPr>
  </w:style>
  <w:style w:type="paragraph" w:styleId="11117">
    <w:name w:val="Body Text Indent 2"/>
    <w:basedOn w:val="10533"/>
    <w:link w:val="10580"/>
    <w:qFormat/>
    <w:pPr>
      <w:pBdr/>
      <w:spacing w:line="480" w:lineRule="auto"/>
      <w:ind w:left="283"/>
      <w:jc w:val="both"/>
    </w:pPr>
    <w:rPr>
      <w:rFonts w:ascii="Arial" w:hAnsi="Arial"/>
      <w:sz w:val="20"/>
      <w:szCs w:val="20"/>
      <w:lang w:val="en-US" w:eastAsia="en-US" w:bidi="en-US"/>
    </w:rPr>
  </w:style>
  <w:style w:type="paragraph" w:styleId="11118">
    <w:name w:val="Body Text Indent 3"/>
    <w:basedOn w:val="10533"/>
    <w:link w:val="10581"/>
    <w:qFormat/>
    <w:pPr>
      <w:pBdr/>
      <w:spacing w:line="360" w:lineRule="auto"/>
      <w:ind w:firstLine="709"/>
      <w:jc w:val="both"/>
    </w:pPr>
    <w:rPr>
      <w:color w:val="444444"/>
      <w:szCs w:val="20"/>
      <w:lang w:val="en-US" w:bidi="en-US"/>
    </w:rPr>
  </w:style>
  <w:style w:type="paragraph" w:styleId="11119">
    <w:name w:val="Body Text 3"/>
    <w:basedOn w:val="10533"/>
    <w:link w:val="10582"/>
    <w:qFormat/>
    <w:pPr>
      <w:pBdr/>
      <w:spacing w:line="360" w:lineRule="auto"/>
      <w:ind/>
    </w:pPr>
    <w:rPr>
      <w:sz w:val="16"/>
      <w:szCs w:val="16"/>
      <w:lang w:val="en-US" w:bidi="en-US"/>
    </w:rPr>
  </w:style>
  <w:style w:type="paragraph" w:styleId="11120" w:customStyle="1">
    <w:name w:val="Подпись рисунков/таблиц"/>
    <w:basedOn w:val="11057"/>
    <w:uiPriority w:val="99"/>
    <w:qFormat/>
    <w:pPr>
      <w:keepNext w:val="true"/>
      <w:pBdr/>
      <w:spacing/>
      <w:ind w:firstLine="426"/>
    </w:pPr>
    <w:rPr>
      <w:color w:val="548dd4"/>
    </w:rPr>
  </w:style>
  <w:style w:type="paragraph" w:styleId="11121" w:customStyle="1">
    <w:name w:val="Маркированный_1"/>
    <w:basedOn w:val="10533"/>
    <w:link w:val="10583"/>
    <w:qFormat/>
    <w:pPr>
      <w:numPr>
        <w:ilvl w:val="1"/>
        <w:numId w:val="5"/>
      </w:numPr>
      <w:pBdr/>
      <w:tabs>
        <w:tab w:val="clear" w:leader="none" w:pos="708"/>
        <w:tab w:val="left" w:leader="none" w:pos="900"/>
      </w:tabs>
      <w:spacing w:line="360" w:lineRule="auto"/>
      <w:ind w:firstLine="720" w:left="0"/>
      <w:jc w:val="both"/>
    </w:pPr>
    <w:rPr>
      <w:lang w:val="en-US" w:bidi="en-US"/>
    </w:rPr>
  </w:style>
  <w:style w:type="paragraph" w:styleId="11122">
    <w:name w:val="annotation subject"/>
    <w:basedOn w:val="11063"/>
    <w:next w:val="11063"/>
    <w:link w:val="10585"/>
    <w:uiPriority w:val="99"/>
    <w:qFormat/>
    <w:pPr>
      <w:pBdr/>
      <w:spacing/>
      <w:ind/>
    </w:pPr>
    <w:rPr>
      <w:b/>
      <w:bCs/>
      <w:sz w:val="20"/>
      <w:szCs w:val="20"/>
    </w:rPr>
  </w:style>
  <w:style w:type="paragraph" w:styleId="11123" w:customStyle="1">
    <w:name w:val="Body Text Keep"/>
    <w:basedOn w:val="10533"/>
    <w:link w:val="10586"/>
    <w:qFormat/>
    <w:pPr>
      <w:pBdr/>
      <w:spacing w:line="360" w:lineRule="atLeast"/>
      <w:ind w:firstLine="680"/>
      <w:jc w:val="both"/>
    </w:pPr>
    <w:rPr>
      <w:rFonts w:ascii="Arial" w:hAnsi="Arial"/>
      <w:lang w:val="en-US" w:eastAsia="en-US" w:bidi="en-US"/>
    </w:rPr>
  </w:style>
  <w:style w:type="paragraph" w:styleId="11124" w:customStyle="1">
    <w:name w:val="font5"/>
    <w:basedOn w:val="10533"/>
    <w:qFormat/>
    <w:pPr>
      <w:pBdr/>
      <w:spacing w:afterAutospacing="1" w:beforeAutospacing="1" w:line="360" w:lineRule="auto"/>
      <w:ind/>
    </w:pPr>
    <w:rPr>
      <w:rFonts w:ascii="Tahoma" w:hAnsi="Tahoma" w:cs="Tahoma"/>
      <w:color w:val="000000"/>
      <w:sz w:val="16"/>
      <w:szCs w:val="16"/>
      <w:lang w:val="en-US" w:bidi="en-US"/>
    </w:rPr>
  </w:style>
  <w:style w:type="paragraph" w:styleId="11125" w:customStyle="1">
    <w:name w:val="font6"/>
    <w:basedOn w:val="10533"/>
    <w:qFormat/>
    <w:pPr>
      <w:pBdr/>
      <w:spacing w:afterAutospacing="1" w:beforeAutospacing="1" w:line="360" w:lineRule="auto"/>
      <w:ind/>
    </w:pPr>
    <w:rPr>
      <w:rFonts w:ascii="Tahoma" w:hAnsi="Tahoma" w:cs="Tahoma"/>
      <w:b/>
      <w:bCs/>
      <w:color w:val="000000"/>
      <w:sz w:val="16"/>
      <w:szCs w:val="16"/>
      <w:lang w:val="en-US" w:bidi="en-US"/>
    </w:rPr>
  </w:style>
  <w:style w:type="paragraph" w:styleId="11126" w:customStyle="1">
    <w:name w:val="xl10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27" w:customStyle="1">
    <w:name w:val="xl10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28" w:customStyle="1">
    <w:name w:val="xl11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29" w:customStyle="1">
    <w:name w:val="xl11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30" w:customStyle="1">
    <w:name w:val="xl11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31" w:customStyle="1">
    <w:name w:val="xl11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32" w:customStyle="1">
    <w:name w:val="xl11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33" w:customStyle="1">
    <w:name w:val="xl11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Times New Roman CYR" w:hAnsi="Times New Roman CYR" w:cs="Times New Roman CYR"/>
      <w:b/>
      <w:bCs/>
      <w:lang w:val="en-US" w:bidi="en-US"/>
    </w:rPr>
  </w:style>
  <w:style w:type="paragraph" w:styleId="11134" w:customStyle="1">
    <w:name w:val="xl116"/>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Times New Roman CYR" w:hAnsi="Times New Roman CYR" w:cs="Times New Roman CYR"/>
      <w:lang w:val="en-US" w:bidi="en-US"/>
    </w:rPr>
  </w:style>
  <w:style w:type="paragraph" w:styleId="11135" w:customStyle="1">
    <w:name w:val="xl11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Times New Roman CYR" w:hAnsi="Times New Roman CYR" w:cs="Times New Roman CYR"/>
      <w:lang w:val="en-US" w:bidi="en-US"/>
    </w:rPr>
  </w:style>
  <w:style w:type="paragraph" w:styleId="11136" w:customStyle="1">
    <w:name w:val="xl11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37" w:customStyle="1">
    <w:name w:val="xl11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38" w:customStyle="1">
    <w:name w:val="xl120"/>
    <w:basedOn w:val="10533"/>
    <w:qFormat/>
    <w:pPr>
      <w:pBdr/>
      <w:spacing w:afterAutospacing="1" w:beforeAutospacing="1" w:line="360" w:lineRule="auto"/>
      <w:ind/>
      <w:jc w:val="center"/>
    </w:pPr>
    <w:rPr>
      <w:rFonts w:ascii="Times New Roman CYR" w:hAnsi="Times New Roman CYR" w:cs="Times New Roman CYR"/>
      <w:lang w:val="en-US" w:bidi="en-US"/>
    </w:rPr>
  </w:style>
  <w:style w:type="paragraph" w:styleId="11139" w:customStyle="1">
    <w:name w:val="xl12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40" w:customStyle="1">
    <w:name w:val="xl12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41" w:customStyle="1">
    <w:name w:val="xl12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142" w:customStyle="1">
    <w:name w:val="xl12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143" w:customStyle="1">
    <w:name w:val="xl12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44" w:customStyle="1">
    <w:name w:val="xl126"/>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sz w:val="16"/>
      <w:szCs w:val="16"/>
      <w:lang w:val="en-US" w:bidi="en-US"/>
    </w:rPr>
  </w:style>
  <w:style w:type="paragraph" w:styleId="11145" w:customStyle="1">
    <w:name w:val="xl12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sz w:val="16"/>
      <w:szCs w:val="16"/>
      <w:lang w:val="en-US" w:bidi="en-US"/>
    </w:rPr>
  </w:style>
  <w:style w:type="paragraph" w:styleId="11146" w:customStyle="1">
    <w:name w:val="xl12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sz w:val="16"/>
      <w:szCs w:val="16"/>
      <w:lang w:val="en-US" w:bidi="en-US"/>
    </w:rPr>
  </w:style>
  <w:style w:type="paragraph" w:styleId="11147" w:customStyle="1">
    <w:name w:val="xl12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sz w:val="16"/>
      <w:szCs w:val="16"/>
      <w:lang w:val="en-US" w:bidi="en-US"/>
    </w:rPr>
  </w:style>
  <w:style w:type="paragraph" w:styleId="11148" w:customStyle="1">
    <w:name w:val="xl13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sz w:val="16"/>
      <w:szCs w:val="16"/>
      <w:lang w:val="en-US" w:bidi="en-US"/>
    </w:rPr>
  </w:style>
  <w:style w:type="paragraph" w:styleId="11149" w:customStyle="1">
    <w:name w:val="xl131"/>
    <w:basedOn w:val="10533"/>
    <w:qFormat/>
    <w:pPr>
      <w:pBdr/>
      <w:spacing w:afterAutospacing="1" w:beforeAutospacing="1" w:line="360" w:lineRule="auto"/>
      <w:ind/>
      <w:jc w:val="center"/>
    </w:pPr>
    <w:rPr>
      <w:rFonts w:ascii="Times New Roman CYR" w:hAnsi="Times New Roman CYR" w:cs="Times New Roman CYR"/>
      <w:sz w:val="16"/>
      <w:szCs w:val="16"/>
      <w:lang w:val="en-US" w:bidi="en-US"/>
    </w:rPr>
  </w:style>
  <w:style w:type="paragraph" w:styleId="11150" w:customStyle="1">
    <w:name w:val="xl132"/>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51" w:customStyle="1">
    <w:name w:val="xl133"/>
    <w:basedOn w:val="10533"/>
    <w:qFormat/>
    <w:pPr>
      <w:pBdr/>
      <w:spacing w:afterAutospacing="1" w:beforeAutospacing="1" w:line="360" w:lineRule="auto"/>
      <w:ind/>
      <w:jc w:val="center"/>
    </w:pPr>
    <w:rPr>
      <w:rFonts w:ascii="Times New Roman CYR" w:hAnsi="Times New Roman CYR" w:cs="Times New Roman CYR"/>
      <w:b/>
      <w:bCs/>
      <w:lang w:val="en-US" w:bidi="en-US"/>
    </w:rPr>
  </w:style>
  <w:style w:type="paragraph" w:styleId="11152" w:customStyle="1">
    <w:name w:val="xl13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color w:val="ffffff"/>
      <w:lang w:val="en-US" w:bidi="en-US"/>
    </w:rPr>
  </w:style>
  <w:style w:type="paragraph" w:styleId="11153" w:customStyle="1">
    <w:name w:val="xl13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color w:val="ffffff"/>
      <w:lang w:val="en-US" w:bidi="en-US"/>
    </w:rPr>
  </w:style>
  <w:style w:type="paragraph" w:styleId="11154" w:customStyle="1">
    <w:name w:val="xl136"/>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color w:val="ffffff"/>
      <w:lang w:val="en-US" w:bidi="en-US"/>
    </w:rPr>
  </w:style>
  <w:style w:type="paragraph" w:styleId="11155" w:customStyle="1">
    <w:name w:val="xl13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color w:val="ffffff"/>
      <w:lang w:val="en-US" w:bidi="en-US"/>
    </w:rPr>
  </w:style>
  <w:style w:type="paragraph" w:styleId="11156" w:customStyle="1">
    <w:name w:val="xl13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color w:val="ffffff"/>
      <w:lang w:val="en-US" w:bidi="en-US"/>
    </w:rPr>
  </w:style>
  <w:style w:type="paragraph" w:styleId="11157" w:customStyle="1">
    <w:name w:val="xl13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58" w:customStyle="1">
    <w:name w:val="xl14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59" w:customStyle="1">
    <w:name w:val="xl14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60" w:customStyle="1">
    <w:name w:val="xl14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61" w:customStyle="1">
    <w:name w:val="xl143"/>
    <w:basedOn w:val="10533"/>
    <w:qFormat/>
    <w:pPr>
      <w:pBdr/>
      <w:spacing w:afterAutospacing="1" w:beforeAutospacing="1" w:line="360" w:lineRule="auto"/>
      <w:ind/>
      <w:jc w:val="center"/>
    </w:pPr>
    <w:rPr>
      <w:rFonts w:ascii="Times New Roman CYR" w:hAnsi="Times New Roman CYR" w:cs="Times New Roman CYR"/>
      <w:lang w:val="en-US" w:bidi="en-US"/>
    </w:rPr>
  </w:style>
  <w:style w:type="paragraph" w:styleId="11162" w:customStyle="1">
    <w:name w:val="xl14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63" w:customStyle="1">
    <w:name w:val="xl14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64" w:customStyle="1">
    <w:name w:val="xl146"/>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65" w:customStyle="1">
    <w:name w:val="xl14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66" w:customStyle="1">
    <w:name w:val="xl14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67" w:customStyle="1">
    <w:name w:val="xl14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68" w:customStyle="1">
    <w:name w:val="xl15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69" w:customStyle="1">
    <w:name w:val="xl15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70" w:customStyle="1">
    <w:name w:val="xl15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71" w:customStyle="1">
    <w:name w:val="xl15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72" w:customStyle="1">
    <w:name w:val="xl154"/>
    <w:basedOn w:val="10533"/>
    <w:qFormat/>
    <w:pPr>
      <w:pBdr>
        <w:top w:val="single" w:color="000000" w:sz="4" w:space="0"/>
        <w:left w:val="single" w:color="000000" w:sz="4" w:space="0"/>
        <w:bottom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73" w:customStyle="1">
    <w:name w:val="xl155"/>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74" w:customStyle="1">
    <w:name w:val="xl156"/>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75" w:customStyle="1">
    <w:name w:val="xl157"/>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76" w:customStyle="1">
    <w:name w:val="xl158"/>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77" w:customStyle="1">
    <w:name w:val="xl159"/>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78" w:customStyle="1">
    <w:name w:val="xl160"/>
    <w:basedOn w:val="10533"/>
    <w:qFormat/>
    <w:pPr>
      <w:pBdr>
        <w:top w:val="single" w:color="000000" w:sz="4" w:space="0"/>
        <w:bottom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79" w:customStyle="1">
    <w:name w:val="xl161"/>
    <w:basedOn w:val="10533"/>
    <w:qFormat/>
    <w:pPr>
      <w:pBdr>
        <w:top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80" w:customStyle="1">
    <w:name w:val="xl16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81" w:customStyle="1">
    <w:name w:val="xl16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82" w:customStyle="1">
    <w:name w:val="xl16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color w:val="ffffff"/>
      <w:lang w:val="en-US" w:bidi="en-US"/>
    </w:rPr>
  </w:style>
  <w:style w:type="paragraph" w:styleId="11183" w:customStyle="1">
    <w:name w:val="xl16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color w:val="ff0000"/>
      <w:lang w:val="en-US" w:bidi="en-US"/>
    </w:rPr>
  </w:style>
  <w:style w:type="paragraph" w:styleId="11184" w:customStyle="1">
    <w:name w:val="xl166"/>
    <w:basedOn w:val="10533"/>
    <w:qFormat/>
    <w:pPr>
      <w:pBdr>
        <w:top w:val="single" w:color="000000" w:sz="4" w:space="0"/>
        <w:left w:val="single" w:color="000000" w:sz="8" w:space="0"/>
        <w:bottom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85" w:customStyle="1">
    <w:name w:val="xl167"/>
    <w:basedOn w:val="10533"/>
    <w:qFormat/>
    <w:pPr>
      <w:pBdr>
        <w:top w:val="single" w:color="000000" w:sz="4" w:space="0"/>
        <w:bottom w:val="single" w:color="000000" w:sz="4" w:space="0"/>
        <w:right w:val="single" w:color="000000" w:sz="8" w:space="0"/>
      </w:pBdr>
      <w:spacing w:afterAutospacing="1" w:beforeAutospacing="1" w:line="360" w:lineRule="auto"/>
      <w:ind/>
      <w:jc w:val="center"/>
    </w:pPr>
    <w:rPr>
      <w:rFonts w:ascii="Times New Roman CYR" w:hAnsi="Times New Roman CYR" w:cs="Times New Roman CYR"/>
      <w:b/>
      <w:bCs/>
      <w:lang w:val="en-US" w:bidi="en-US"/>
    </w:rPr>
  </w:style>
  <w:style w:type="paragraph" w:styleId="11186" w:customStyle="1">
    <w:name w:val="xl168"/>
    <w:basedOn w:val="10533"/>
    <w:qFormat/>
    <w:pPr>
      <w:pBdr>
        <w:top w:val="single" w:color="000000" w:sz="4" w:space="0"/>
        <w:left w:val="single" w:color="000000" w:sz="4" w:space="0"/>
        <w:bottom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87" w:customStyle="1">
    <w:name w:val="xl169"/>
    <w:basedOn w:val="10533"/>
    <w:qFormat/>
    <w:pPr>
      <w:pBdr>
        <w:top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b/>
      <w:bCs/>
      <w:lang w:val="en-US" w:bidi="en-US"/>
    </w:rPr>
  </w:style>
  <w:style w:type="paragraph" w:styleId="11188" w:customStyle="1">
    <w:name w:val="xl17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89" w:customStyle="1">
    <w:name w:val="xl17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imes New Roman CYR" w:hAnsi="Times New Roman CYR" w:cs="Times New Roman CYR"/>
      <w:lang w:val="en-US" w:bidi="en-US"/>
    </w:rPr>
  </w:style>
  <w:style w:type="paragraph" w:styleId="11190">
    <w:name w:val="No Spacing"/>
    <w:link w:val="10588"/>
    <w:uiPriority w:val="1"/>
    <w:qFormat/>
    <w:pPr>
      <w:widowControl w:val="true"/>
      <w:pBdr/>
      <w:bidi w:val="false"/>
      <w:spacing w:after="200" w:before="0" w:line="276" w:lineRule="auto"/>
      <w:ind/>
      <w:jc w:val="left"/>
    </w:pPr>
    <w:rPr>
      <w:rFonts w:ascii="Calibri" w:hAnsi="Calibri" w:eastAsia="Times New Roman" w:cs="Times New Roman" w:asciiTheme="minorHAnsi" w:hAnsiTheme="minorHAnsi"/>
      <w:color w:val="auto"/>
      <w:sz w:val="22"/>
      <w:szCs w:val="22"/>
      <w:lang w:val="en-US" w:eastAsia="en-US" w:bidi="en-US"/>
    </w:rPr>
  </w:style>
  <w:style w:type="paragraph" w:styleId="11191" w:customStyle="1">
    <w:name w:val="Heading Base"/>
    <w:basedOn w:val="10533"/>
    <w:next w:val="10533"/>
    <w:link w:val="10589"/>
    <w:qFormat/>
    <w:pPr>
      <w:keepNext w:val="true"/>
      <w:keepLines w:val="true"/>
      <w:pBdr/>
      <w:spacing w:after="0" w:before="140" w:line="220" w:lineRule="atLeast"/>
      <w:ind w:left="1077"/>
      <w:jc w:val="both"/>
    </w:pPr>
    <w:rPr>
      <w:rFonts w:ascii="Arial" w:hAnsi="Arial"/>
      <w:b/>
      <w:spacing w:val="-4"/>
      <w:sz w:val="28"/>
      <w:szCs w:val="28"/>
      <w:lang w:val="en-US" w:eastAsia="en-US" w:bidi="en-US"/>
    </w:rPr>
  </w:style>
  <w:style w:type="paragraph" w:styleId="11192">
    <w:name w:val="Body Text 2"/>
    <w:basedOn w:val="10533"/>
    <w:link w:val="10590"/>
    <w:uiPriority w:val="99"/>
    <w:qFormat/>
    <w:pPr>
      <w:pBdr/>
      <w:spacing w:line="480" w:lineRule="auto"/>
      <w:ind/>
    </w:pPr>
    <w:rPr>
      <w:lang w:val="en-US" w:bidi="en-US"/>
    </w:rPr>
  </w:style>
  <w:style w:type="paragraph" w:styleId="11193" w:customStyle="1">
    <w:name w:val="xl6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sz w:val="18"/>
      <w:szCs w:val="18"/>
      <w:lang w:val="en-US" w:bidi="en-US"/>
    </w:rPr>
  </w:style>
  <w:style w:type="paragraph" w:styleId="11194" w:customStyle="1">
    <w:name w:val="xl6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sz w:val="18"/>
      <w:szCs w:val="18"/>
      <w:lang w:val="en-US" w:bidi="en-US"/>
    </w:rPr>
  </w:style>
  <w:style w:type="paragraph" w:styleId="11195" w:customStyle="1">
    <w:name w:val="xl66"/>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i/>
      <w:iCs/>
      <w:sz w:val="18"/>
      <w:szCs w:val="18"/>
      <w:lang w:val="en-US" w:bidi="en-US"/>
    </w:rPr>
  </w:style>
  <w:style w:type="paragraph" w:styleId="11196" w:customStyle="1">
    <w:name w:val="xl6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i/>
      <w:iCs/>
      <w:sz w:val="18"/>
      <w:szCs w:val="18"/>
      <w:lang w:val="en-US" w:bidi="en-US"/>
    </w:rPr>
  </w:style>
  <w:style w:type="paragraph" w:styleId="11197" w:customStyle="1">
    <w:name w:val="xl6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sz w:val="18"/>
      <w:szCs w:val="18"/>
      <w:lang w:val="en-US" w:bidi="en-US"/>
    </w:rPr>
  </w:style>
  <w:style w:type="paragraph" w:styleId="11198" w:customStyle="1">
    <w:name w:val="xl6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18"/>
      <w:szCs w:val="18"/>
      <w:lang w:val="en-US" w:bidi="en-US"/>
    </w:rPr>
  </w:style>
  <w:style w:type="paragraph" w:styleId="11199" w:customStyle="1">
    <w:name w:val="xl7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18"/>
      <w:szCs w:val="18"/>
      <w:lang w:val="en-US" w:bidi="en-US"/>
    </w:rPr>
  </w:style>
  <w:style w:type="paragraph" w:styleId="11200" w:customStyle="1">
    <w:name w:val="xl7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18"/>
      <w:szCs w:val="18"/>
      <w:lang w:val="en-US" w:bidi="en-US"/>
    </w:rPr>
  </w:style>
  <w:style w:type="paragraph" w:styleId="11201" w:customStyle="1">
    <w:name w:val="ConsPlusNormal"/>
    <w:qFormat/>
    <w:pPr>
      <w:widowControl w:val="false"/>
      <w:pBdr/>
      <w:bidi w:val="false"/>
      <w:spacing w:after="200" w:before="0" w:line="276" w:lineRule="auto"/>
      <w:ind w:firstLine="720"/>
      <w:jc w:val="left"/>
    </w:pPr>
    <w:rPr>
      <w:rFonts w:ascii="Arial" w:hAnsi="Arial" w:eastAsia="Times New Roman" w:cs="Arial"/>
      <w:color w:val="auto"/>
      <w:sz w:val="22"/>
      <w:szCs w:val="22"/>
      <w:lang w:val="en-US" w:eastAsia="en-US" w:bidi="en-US"/>
    </w:rPr>
  </w:style>
  <w:style w:type="paragraph" w:styleId="11202" w:customStyle="1">
    <w:name w:val="xl63"/>
    <w:basedOn w:val="10533"/>
    <w:qFormat/>
    <w:pPr>
      <w:pBdr/>
      <w:spacing w:afterAutospacing="1" w:beforeAutospacing="1" w:line="360" w:lineRule="auto"/>
      <w:ind/>
      <w:jc w:val="center"/>
    </w:pPr>
    <w:rPr>
      <w:lang w:val="en-US" w:bidi="en-US"/>
    </w:rPr>
  </w:style>
  <w:style w:type="paragraph" w:styleId="11203" w:customStyle="1">
    <w:name w:val="xl7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lang w:val="en-US" w:bidi="en-US"/>
    </w:rPr>
  </w:style>
  <w:style w:type="paragraph" w:styleId="11204" w:customStyle="1">
    <w:name w:val="xl7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lang w:val="en-US" w:bidi="en-US"/>
    </w:rPr>
  </w:style>
  <w:style w:type="paragraph" w:styleId="11205" w:customStyle="1">
    <w:name w:val="xl74"/>
    <w:basedOn w:val="10533"/>
    <w:qFormat/>
    <w:pPr>
      <w:pBdr>
        <w:top w:val="single" w:color="000000" w:sz="4" w:space="0"/>
        <w:left w:val="single" w:color="000000" w:sz="4" w:space="0"/>
        <w:bottom w:val="single" w:color="000000" w:sz="4" w:space="0"/>
        <w:right w:val="single" w:color="000000" w:sz="4" w:space="0"/>
      </w:pBdr>
      <w:shd w:val="clear" w:color="000000" w:fill="e4dfec"/>
      <w:spacing w:afterAutospacing="1" w:beforeAutospacing="1" w:line="360" w:lineRule="auto"/>
      <w:ind/>
      <w:jc w:val="right"/>
    </w:pPr>
    <w:rPr>
      <w:b/>
      <w:bCs/>
      <w:lang w:val="en-US" w:bidi="en-US"/>
    </w:rPr>
  </w:style>
  <w:style w:type="paragraph" w:styleId="11206" w:customStyle="1">
    <w:name w:val="xl7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line="360" w:lineRule="auto"/>
      <w:ind/>
      <w:jc w:val="right"/>
    </w:pPr>
    <w:rPr>
      <w:lang w:val="en-US" w:bidi="en-US"/>
    </w:rPr>
  </w:style>
  <w:style w:type="paragraph" w:styleId="11207" w:customStyle="1">
    <w:name w:val="xl76"/>
    <w:basedOn w:val="10533"/>
    <w:qFormat/>
    <w:pPr>
      <w:pBdr/>
      <w:spacing w:afterAutospacing="1" w:beforeAutospacing="1" w:line="360" w:lineRule="auto"/>
      <w:ind/>
    </w:pPr>
    <w:rPr>
      <w:lang w:val="en-US" w:bidi="en-US"/>
    </w:rPr>
  </w:style>
  <w:style w:type="paragraph" w:styleId="11208" w:customStyle="1">
    <w:name w:val="xl77"/>
    <w:basedOn w:val="10533"/>
    <w:qFormat/>
    <w:pPr>
      <w:pBdr>
        <w:top w:val="single" w:color="000000" w:sz="4" w:space="0"/>
        <w:left w:val="single" w:color="000000" w:sz="4" w:space="0"/>
        <w:bottom w:val="single" w:color="000000" w:sz="4" w:space="0"/>
        <w:right w:val="single" w:color="000000" w:sz="4" w:space="0"/>
      </w:pBdr>
      <w:shd w:val="clear" w:color="000000" w:fill="e4dfec"/>
      <w:spacing w:afterAutospacing="1" w:beforeAutospacing="1" w:line="360" w:lineRule="auto"/>
      <w:ind/>
    </w:pPr>
    <w:rPr>
      <w:b/>
      <w:bCs/>
      <w:sz w:val="28"/>
      <w:szCs w:val="28"/>
      <w:lang w:val="en-US" w:bidi="en-US"/>
    </w:rPr>
  </w:style>
  <w:style w:type="paragraph" w:styleId="11209" w:customStyle="1">
    <w:name w:val="xl78"/>
    <w:basedOn w:val="10533"/>
    <w:qFormat/>
    <w:pPr>
      <w:pBdr>
        <w:top w:val="single" w:color="000000" w:sz="4" w:space="0"/>
        <w:left w:val="single" w:color="000000" w:sz="4" w:space="0"/>
        <w:bottom w:val="single" w:color="000000" w:sz="4" w:space="0"/>
        <w:right w:val="single" w:color="000000" w:sz="4" w:space="0"/>
      </w:pBdr>
      <w:shd w:val="clear" w:color="000000" w:fill="ebf1de"/>
      <w:spacing w:afterAutospacing="1" w:beforeAutospacing="1" w:line="360" w:lineRule="auto"/>
      <w:ind/>
    </w:pPr>
    <w:rPr>
      <w:lang w:val="en-US" w:bidi="en-US"/>
    </w:rPr>
  </w:style>
  <w:style w:type="paragraph" w:styleId="11210" w:customStyle="1">
    <w:name w:val="xl79"/>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b/>
      <w:bCs/>
      <w:lang w:val="en-US" w:bidi="en-US"/>
    </w:rPr>
  </w:style>
  <w:style w:type="paragraph" w:styleId="11211" w:customStyle="1">
    <w:name w:val="xl80"/>
    <w:basedOn w:val="10533"/>
    <w:qFormat/>
    <w:pPr>
      <w:pBdr>
        <w:top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212" w:customStyle="1">
    <w:name w:val="xl8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sz w:val="20"/>
      <w:szCs w:val="20"/>
      <w:lang w:val="en-US" w:bidi="en-US"/>
    </w:rPr>
  </w:style>
  <w:style w:type="paragraph" w:styleId="11213" w:customStyle="1">
    <w:name w:val="xl8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sz w:val="20"/>
      <w:szCs w:val="20"/>
      <w:lang w:val="en-US" w:bidi="en-US"/>
    </w:rPr>
  </w:style>
  <w:style w:type="paragraph" w:styleId="11214" w:customStyle="1">
    <w:name w:val="xl8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15" w:customStyle="1">
    <w:name w:val="xl8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16" w:customStyle="1">
    <w:name w:val="xl8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sz w:val="20"/>
      <w:szCs w:val="20"/>
      <w:lang w:val="en-US" w:bidi="en-US"/>
    </w:rPr>
  </w:style>
  <w:style w:type="paragraph" w:styleId="11217" w:customStyle="1">
    <w:name w:val="xl86"/>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18" w:customStyle="1">
    <w:name w:val="xl87"/>
    <w:basedOn w:val="10533"/>
    <w:qFormat/>
    <w:pPr>
      <w:pBdr>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19" w:customStyle="1">
    <w:name w:val="xl8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20" w:customStyle="1">
    <w:name w:val="xl89"/>
    <w:basedOn w:val="10533"/>
    <w:qFormat/>
    <w:pPr>
      <w:pBdr>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21" w:customStyle="1">
    <w:name w:val="xl9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b/>
      <w:bCs/>
      <w:lang w:val="en-US" w:bidi="en-US"/>
    </w:rPr>
  </w:style>
  <w:style w:type="paragraph" w:styleId="11222" w:customStyle="1">
    <w:name w:val="xl9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b/>
      <w:bCs/>
      <w:sz w:val="20"/>
      <w:szCs w:val="20"/>
      <w:lang w:val="en-US" w:bidi="en-US"/>
    </w:rPr>
  </w:style>
  <w:style w:type="paragraph" w:styleId="11223" w:customStyle="1">
    <w:name w:val="xl9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lang w:val="en-US" w:bidi="en-US"/>
    </w:rPr>
  </w:style>
  <w:style w:type="paragraph" w:styleId="11224" w:customStyle="1">
    <w:name w:val="xl93"/>
    <w:basedOn w:val="10533"/>
    <w:qFormat/>
    <w:pPr>
      <w:pBdr>
        <w:left w:val="single" w:color="000000" w:sz="4" w:space="0"/>
        <w:bottom w:val="single" w:color="000000" w:sz="4" w:space="0"/>
        <w:right w:val="single" w:color="000000" w:sz="4" w:space="0"/>
      </w:pBdr>
      <w:spacing w:afterAutospacing="1" w:beforeAutospacing="1" w:line="360" w:lineRule="auto"/>
      <w:ind/>
    </w:pPr>
    <w:rPr>
      <w:rFonts w:ascii="Arial" w:hAnsi="Arial" w:cs="Arial"/>
      <w:sz w:val="20"/>
      <w:szCs w:val="20"/>
      <w:lang w:val="en-US" w:bidi="en-US"/>
    </w:rPr>
  </w:style>
  <w:style w:type="paragraph" w:styleId="11225" w:customStyle="1">
    <w:name w:val="xl94"/>
    <w:basedOn w:val="10533"/>
    <w:qFormat/>
    <w:pPr>
      <w:pBdr>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26" w:customStyle="1">
    <w:name w:val="xl95"/>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27" w:customStyle="1">
    <w:name w:val="xl96"/>
    <w:basedOn w:val="10533"/>
    <w:qFormat/>
    <w:pPr>
      <w:pBdr>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sz w:val="20"/>
      <w:szCs w:val="20"/>
      <w:lang w:val="en-US" w:bidi="en-US"/>
    </w:rPr>
  </w:style>
  <w:style w:type="paragraph" w:styleId="11228" w:customStyle="1">
    <w:name w:val="xl9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b/>
      <w:bCs/>
      <w:sz w:val="20"/>
      <w:szCs w:val="20"/>
      <w:lang w:val="en-US" w:bidi="en-US"/>
    </w:rPr>
  </w:style>
  <w:style w:type="paragraph" w:styleId="11229" w:customStyle="1">
    <w:name w:val="xl9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232" w:customStyle="1">
    <w:name w:val="Основной с отступом и интервалом"/>
    <w:basedOn w:val="11110"/>
    <w:qFormat/>
    <w:pPr>
      <w:pBdr/>
      <w:tabs>
        <w:tab w:val="clear" w:leader="none" w:pos="708"/>
        <w:tab w:val="left" w:leader="none" w:pos="709"/>
      </w:tabs>
      <w:spacing w:after="0" w:before="60" w:line="360" w:lineRule="auto"/>
      <w:ind w:firstLine="709" w:left="0"/>
      <w:jc w:val="both"/>
    </w:pPr>
    <w:rPr>
      <w:rFonts w:ascii="Times New Roman" w:hAnsi="Times New Roman" w:eastAsia="Times New Roman"/>
      <w:lang w:eastAsia="ru-RU"/>
    </w:rPr>
  </w:style>
  <w:style w:type="paragraph" w:styleId="11233">
    <w:name w:val="Subtitle"/>
    <w:basedOn w:val="10533"/>
    <w:next w:val="10533"/>
    <w:link w:val="10594"/>
    <w:uiPriority w:val="11"/>
    <w:qFormat/>
    <w:pPr>
      <w:pBdr/>
      <w:spacing w:line="360" w:lineRule="auto"/>
      <w:ind w:firstLine="680"/>
      <w:jc w:val="both"/>
    </w:pPr>
    <w:rPr>
      <w:rFonts w:ascii="Cambria" w:hAnsi="Cambria"/>
      <w:i/>
      <w:iCs/>
      <w:smallCaps/>
      <w:spacing w:val="10"/>
      <w:sz w:val="28"/>
      <w:szCs w:val="28"/>
      <w:lang w:val="en-US" w:eastAsia="en-US" w:bidi="en-US"/>
    </w:rPr>
  </w:style>
  <w:style w:type="paragraph" w:styleId="11234" w:customStyle="1">
    <w:name w:val="Стиль полужирный все прописные"/>
    <w:basedOn w:val="10533"/>
    <w:link w:val="10595"/>
    <w:qFormat/>
    <w:pPr>
      <w:pBdr/>
      <w:tabs>
        <w:tab w:val="left" w:leader="none" w:pos="0"/>
        <w:tab w:val="clear" w:leader="none" w:pos="708"/>
      </w:tabs>
      <w:spacing w:line="360" w:lineRule="auto"/>
      <w:ind w:firstLine="709"/>
      <w:jc w:val="both"/>
    </w:pPr>
    <w:rPr>
      <w:sz w:val="26"/>
      <w:szCs w:val="26"/>
      <w:lang w:val="en-US" w:bidi="en-US"/>
    </w:rPr>
  </w:style>
  <w:style w:type="paragraph" w:styleId="11235" w:customStyle="1">
    <w:name w:val="Ввод осн.текста"/>
    <w:basedOn w:val="10533"/>
    <w:link w:val="10596"/>
    <w:qFormat/>
    <w:pPr>
      <w:pBdr/>
      <w:tabs>
        <w:tab w:val="left" w:leader="none" w:pos="343"/>
        <w:tab w:val="clear" w:leader="none" w:pos="708"/>
      </w:tabs>
      <w:spacing w:line="360" w:lineRule="auto"/>
      <w:ind w:firstLine="737" w:left="343"/>
      <w:jc w:val="both"/>
    </w:pPr>
    <w:rPr>
      <w:sz w:val="26"/>
      <w:szCs w:val="26"/>
      <w:lang w:val="en-US" w:bidi="en-US"/>
    </w:rPr>
  </w:style>
  <w:style w:type="paragraph" w:styleId="11236" w:customStyle="1">
    <w:name w:val="Стиль 12 пт По ширине Первая строка:  125 см Междустр.интервал:..."/>
    <w:basedOn w:val="10533"/>
    <w:qFormat/>
    <w:pPr>
      <w:pBdr/>
      <w:spacing w:line="360" w:lineRule="auto"/>
      <w:ind w:firstLine="709"/>
      <w:jc w:val="both"/>
    </w:pPr>
    <w:rPr>
      <w:sz w:val="26"/>
      <w:szCs w:val="20"/>
      <w:lang w:val="en-US" w:bidi="en-US"/>
    </w:rPr>
  </w:style>
  <w:style w:type="paragraph" w:styleId="11237" w:customStyle="1">
    <w:name w:val="xl184"/>
    <w:basedOn w:val="10533"/>
    <w:qFormat/>
    <w:pPr>
      <w:pBdr/>
      <w:spacing w:afterAutospacing="1" w:beforeAutospacing="1" w:line="360" w:lineRule="auto"/>
      <w:ind w:firstLine="709"/>
      <w:jc w:val="both"/>
    </w:pPr>
    <w:rPr>
      <w:sz w:val="26"/>
      <w:szCs w:val="26"/>
      <w:lang w:val="en-US" w:bidi="en-US"/>
    </w:rPr>
  </w:style>
  <w:style w:type="paragraph" w:styleId="11238" w:customStyle="1">
    <w:name w:val="xl185"/>
    <w:basedOn w:val="10533"/>
    <w:qFormat/>
    <w:pPr>
      <w:pBdr/>
      <w:spacing w:afterAutospacing="1" w:beforeAutospacing="1" w:line="360" w:lineRule="auto"/>
      <w:ind w:firstLine="709"/>
      <w:jc w:val="both"/>
    </w:pPr>
    <w:rPr>
      <w:sz w:val="26"/>
      <w:szCs w:val="26"/>
      <w:lang w:val="en-US" w:bidi="en-US"/>
    </w:rPr>
  </w:style>
  <w:style w:type="paragraph" w:styleId="11239" w:customStyle="1">
    <w:name w:val="xl186"/>
    <w:basedOn w:val="10533"/>
    <w:qFormat/>
    <w:pPr>
      <w:pBdr/>
      <w:spacing w:afterAutospacing="1" w:beforeAutospacing="1" w:line="360" w:lineRule="auto"/>
      <w:ind w:firstLine="709"/>
      <w:jc w:val="both"/>
    </w:pPr>
    <w:rPr>
      <w:color w:val="000000"/>
      <w:sz w:val="26"/>
      <w:szCs w:val="26"/>
      <w:lang w:val="en-US" w:bidi="en-US"/>
    </w:rPr>
  </w:style>
  <w:style w:type="paragraph" w:styleId="11240" w:customStyle="1">
    <w:name w:val="xl187"/>
    <w:basedOn w:val="10533"/>
    <w:qFormat/>
    <w:pPr>
      <w:pBdr/>
      <w:spacing w:afterAutospacing="1" w:beforeAutospacing="1" w:line="360" w:lineRule="auto"/>
      <w:ind w:firstLine="709"/>
      <w:jc w:val="both"/>
    </w:pPr>
    <w:rPr>
      <w:i/>
      <w:iCs/>
      <w:sz w:val="26"/>
      <w:szCs w:val="26"/>
      <w:lang w:val="en-US" w:bidi="en-US"/>
    </w:rPr>
  </w:style>
  <w:style w:type="paragraph" w:styleId="11241" w:customStyle="1">
    <w:name w:val="xl188"/>
    <w:basedOn w:val="10533"/>
    <w:qFormat/>
    <w:pPr>
      <w:pBdr/>
      <w:spacing w:afterAutospacing="1" w:beforeAutospacing="1" w:line="360" w:lineRule="auto"/>
      <w:ind w:firstLine="709"/>
      <w:jc w:val="both"/>
    </w:pPr>
    <w:rPr>
      <w:sz w:val="26"/>
      <w:szCs w:val="26"/>
      <w:lang w:val="en-US" w:bidi="en-US"/>
    </w:rPr>
  </w:style>
  <w:style w:type="paragraph" w:styleId="11242" w:customStyle="1">
    <w:name w:val="xl189"/>
    <w:basedOn w:val="10533"/>
    <w:qFormat/>
    <w:pPr>
      <w:pBdr>
        <w:top w:val="single" w:color="000000" w:sz="8" w:space="0"/>
        <w:bottom w:val="single" w:color="000000" w:sz="8" w:space="0"/>
      </w:pBdr>
      <w:spacing w:afterAutospacing="1" w:beforeAutospacing="1" w:line="360" w:lineRule="auto"/>
      <w:ind w:firstLine="709"/>
      <w:jc w:val="both"/>
    </w:pPr>
    <w:rPr>
      <w:b/>
      <w:bCs/>
      <w:sz w:val="18"/>
      <w:szCs w:val="18"/>
      <w:lang w:val="en-US" w:bidi="en-US"/>
    </w:rPr>
  </w:style>
  <w:style w:type="paragraph" w:styleId="11243" w:customStyle="1">
    <w:name w:val="xl190"/>
    <w:basedOn w:val="10533"/>
    <w:qFormat/>
    <w:pPr>
      <w:pBdr>
        <w:top w:val="single" w:color="000000" w:sz="8" w:space="0"/>
        <w:bottom w:val="single" w:color="000000" w:sz="8" w:space="0"/>
      </w:pBdr>
      <w:spacing w:afterAutospacing="1" w:beforeAutospacing="1" w:line="360" w:lineRule="auto"/>
      <w:ind w:firstLine="709"/>
      <w:jc w:val="both"/>
    </w:pPr>
    <w:rPr>
      <w:b/>
      <w:bCs/>
      <w:sz w:val="26"/>
      <w:szCs w:val="26"/>
      <w:lang w:val="en-US" w:bidi="en-US"/>
    </w:rPr>
  </w:style>
  <w:style w:type="paragraph" w:styleId="11244" w:customStyle="1">
    <w:name w:val="xl191"/>
    <w:basedOn w:val="10533"/>
    <w:qFormat/>
    <w:pPr>
      <w:pBdr>
        <w:top w:val="single" w:color="000000" w:sz="8" w:space="0"/>
        <w:bottom w:val="single" w:color="000000" w:sz="8" w:space="0"/>
      </w:pBdr>
      <w:spacing w:afterAutospacing="1" w:beforeAutospacing="1" w:line="360" w:lineRule="auto"/>
      <w:ind w:firstLine="709"/>
      <w:jc w:val="both"/>
    </w:pPr>
    <w:rPr>
      <w:b/>
      <w:bCs/>
      <w:sz w:val="26"/>
      <w:szCs w:val="26"/>
      <w:lang w:val="en-US" w:bidi="en-US"/>
    </w:rPr>
  </w:style>
  <w:style w:type="paragraph" w:styleId="11245" w:customStyle="1">
    <w:name w:val="xl192"/>
    <w:basedOn w:val="10533"/>
    <w:qFormat/>
    <w:pPr>
      <w:pBdr/>
      <w:shd w:val="clear" w:color="auto" w:fill="c0c0c0"/>
      <w:spacing w:afterAutospacing="1" w:beforeAutospacing="1" w:line="360" w:lineRule="auto"/>
      <w:ind w:firstLine="709"/>
      <w:jc w:val="both"/>
    </w:pPr>
    <w:rPr>
      <w:b/>
      <w:bCs/>
      <w:lang w:val="en-US" w:bidi="en-US"/>
    </w:rPr>
  </w:style>
  <w:style w:type="paragraph" w:styleId="11246" w:customStyle="1">
    <w:name w:val="xl193"/>
    <w:basedOn w:val="10533"/>
    <w:qFormat/>
    <w:pPr>
      <w:pBdr/>
      <w:shd w:val="clear" w:color="auto" w:fill="c0c0c0"/>
      <w:spacing w:afterAutospacing="1" w:beforeAutospacing="1" w:line="360" w:lineRule="auto"/>
      <w:ind w:firstLine="709"/>
      <w:jc w:val="center"/>
    </w:pPr>
    <w:rPr>
      <w:b/>
      <w:bCs/>
      <w:sz w:val="26"/>
      <w:szCs w:val="26"/>
      <w:lang w:val="en-US" w:bidi="en-US"/>
    </w:rPr>
  </w:style>
  <w:style w:type="paragraph" w:styleId="11247" w:customStyle="1">
    <w:name w:val="xl194"/>
    <w:basedOn w:val="10533"/>
    <w:qFormat/>
    <w:pPr>
      <w:pBdr/>
      <w:spacing w:afterAutospacing="1" w:beforeAutospacing="1" w:line="360" w:lineRule="auto"/>
      <w:ind w:firstLine="709"/>
      <w:jc w:val="both"/>
    </w:pPr>
    <w:rPr>
      <w:b/>
      <w:bCs/>
      <w:sz w:val="18"/>
      <w:szCs w:val="18"/>
      <w:lang w:val="en-US" w:bidi="en-US"/>
    </w:rPr>
  </w:style>
  <w:style w:type="paragraph" w:styleId="11248" w:customStyle="1">
    <w:name w:val="xl195"/>
    <w:basedOn w:val="10533"/>
    <w:qFormat/>
    <w:pPr>
      <w:pBdr/>
      <w:spacing w:afterAutospacing="1" w:beforeAutospacing="1" w:line="360" w:lineRule="auto"/>
      <w:ind w:firstLine="709"/>
      <w:jc w:val="center"/>
    </w:pPr>
    <w:rPr>
      <w:b/>
      <w:bCs/>
      <w:sz w:val="18"/>
      <w:szCs w:val="18"/>
      <w:lang w:val="en-US" w:bidi="en-US"/>
    </w:rPr>
  </w:style>
  <w:style w:type="paragraph" w:styleId="11249" w:customStyle="1">
    <w:name w:val="xl196"/>
    <w:basedOn w:val="10533"/>
    <w:qFormat/>
    <w:pPr>
      <w:pBdr/>
      <w:shd w:val="clear" w:color="auto" w:fill="ccffcc"/>
      <w:spacing w:afterAutospacing="1" w:beforeAutospacing="1" w:line="360" w:lineRule="auto"/>
      <w:ind w:firstLine="709"/>
      <w:jc w:val="both"/>
    </w:pPr>
    <w:rPr>
      <w:b/>
      <w:bCs/>
      <w:lang w:val="en-US" w:bidi="en-US"/>
    </w:rPr>
  </w:style>
  <w:style w:type="paragraph" w:styleId="11250" w:customStyle="1">
    <w:name w:val="xl197"/>
    <w:basedOn w:val="10533"/>
    <w:qFormat/>
    <w:pPr>
      <w:pBdr/>
      <w:shd w:val="clear" w:color="auto" w:fill="ccffcc"/>
      <w:spacing w:afterAutospacing="1" w:beforeAutospacing="1" w:line="360" w:lineRule="auto"/>
      <w:ind w:firstLine="709"/>
      <w:jc w:val="center"/>
    </w:pPr>
    <w:rPr>
      <w:b/>
      <w:bCs/>
      <w:sz w:val="26"/>
      <w:szCs w:val="26"/>
      <w:lang w:val="en-US" w:bidi="en-US"/>
    </w:rPr>
  </w:style>
  <w:style w:type="paragraph" w:styleId="11251" w:customStyle="1">
    <w:name w:val="xl198"/>
    <w:basedOn w:val="10533"/>
    <w:qFormat/>
    <w:pPr>
      <w:pBdr/>
      <w:spacing w:afterAutospacing="1" w:beforeAutospacing="1" w:line="360" w:lineRule="auto"/>
      <w:ind w:firstLine="709"/>
      <w:jc w:val="both"/>
    </w:pPr>
    <w:rPr>
      <w:sz w:val="26"/>
      <w:szCs w:val="26"/>
      <w:u w:val="single"/>
      <w:lang w:val="en-US" w:bidi="en-US"/>
    </w:rPr>
  </w:style>
  <w:style w:type="paragraph" w:styleId="11252" w:customStyle="1">
    <w:name w:val="xl199"/>
    <w:basedOn w:val="10533"/>
    <w:qFormat/>
    <w:pPr>
      <w:pBdr/>
      <w:shd w:val="clear" w:color="auto" w:fill="c0c0c0"/>
      <w:spacing w:afterAutospacing="1" w:beforeAutospacing="1" w:line="360" w:lineRule="auto"/>
      <w:ind w:firstLine="709"/>
      <w:jc w:val="center"/>
    </w:pPr>
    <w:rPr>
      <w:b/>
      <w:bCs/>
      <w:sz w:val="26"/>
      <w:szCs w:val="26"/>
      <w:u w:val="single"/>
      <w:lang w:val="en-US" w:bidi="en-US"/>
    </w:rPr>
  </w:style>
  <w:style w:type="paragraph" w:styleId="11253" w:customStyle="1">
    <w:name w:val="xl200"/>
    <w:basedOn w:val="10533"/>
    <w:qFormat/>
    <w:pPr>
      <w:pBdr/>
      <w:spacing w:afterAutospacing="1" w:beforeAutospacing="1" w:line="360" w:lineRule="auto"/>
      <w:ind w:firstLine="709"/>
      <w:jc w:val="both"/>
    </w:pPr>
    <w:rPr>
      <w:sz w:val="26"/>
      <w:szCs w:val="26"/>
      <w:u w:val="single"/>
      <w:lang w:val="en-US" w:bidi="en-US"/>
    </w:rPr>
  </w:style>
  <w:style w:type="paragraph" w:styleId="11254" w:customStyle="1">
    <w:name w:val="xl201"/>
    <w:basedOn w:val="10533"/>
    <w:qFormat/>
    <w:pPr>
      <w:pBdr/>
      <w:shd w:val="clear" w:color="auto" w:fill="c0c0c0"/>
      <w:spacing w:afterAutospacing="1" w:beforeAutospacing="1" w:line="360" w:lineRule="auto"/>
      <w:ind w:firstLine="709"/>
      <w:jc w:val="center"/>
    </w:pPr>
    <w:rPr>
      <w:b/>
      <w:bCs/>
      <w:sz w:val="26"/>
      <w:szCs w:val="26"/>
      <w:u w:val="single"/>
      <w:lang w:val="en-US" w:bidi="en-US"/>
    </w:rPr>
  </w:style>
  <w:style w:type="paragraph" w:styleId="11255" w:customStyle="1">
    <w:name w:val="xl202"/>
    <w:basedOn w:val="10533"/>
    <w:qFormat/>
    <w:pPr>
      <w:pBdr/>
      <w:spacing w:afterAutospacing="1" w:beforeAutospacing="1" w:line="360" w:lineRule="auto"/>
      <w:ind w:firstLine="709"/>
      <w:jc w:val="center"/>
    </w:pPr>
    <w:rPr>
      <w:b/>
      <w:bCs/>
      <w:sz w:val="32"/>
      <w:szCs w:val="32"/>
      <w:lang w:val="en-US" w:bidi="en-US"/>
    </w:rPr>
  </w:style>
  <w:style w:type="paragraph" w:styleId="11256" w:customStyle="1">
    <w:name w:val="заг табл"/>
    <w:basedOn w:val="10533"/>
    <w:qFormat/>
    <w:pPr>
      <w:pBdr/>
      <w:spacing w:line="360" w:lineRule="auto"/>
      <w:ind w:firstLine="709"/>
      <w:jc w:val="center"/>
    </w:pPr>
    <w:rPr>
      <w:sz w:val="26"/>
      <w:szCs w:val="20"/>
      <w:lang w:val="en-US" w:bidi="en-US"/>
    </w:rPr>
  </w:style>
  <w:style w:type="paragraph" w:styleId="11258" w:customStyle="1">
    <w:name w:val="Текст документа"/>
    <w:basedOn w:val="11055"/>
    <w:qFormat/>
    <w:pPr>
      <w:pBdr/>
      <w:spacing/>
      <w:ind w:firstLine="720"/>
    </w:pPr>
    <w:rPr>
      <w:rFonts w:ascii="Times New Roman" w:hAnsi="Times New Roman"/>
      <w:sz w:val="28"/>
      <w:szCs w:val="20"/>
      <w:lang w:eastAsia="ru-RU"/>
    </w:rPr>
  </w:style>
  <w:style w:type="paragraph" w:styleId="11259" w:customStyle="1">
    <w:name w:val="№ табл"/>
    <w:basedOn w:val="10533"/>
    <w:qFormat/>
    <w:pPr>
      <w:pBdr/>
      <w:spacing w:line="360" w:lineRule="auto"/>
      <w:ind w:firstLine="709"/>
      <w:jc w:val="right"/>
    </w:pPr>
    <w:rPr>
      <w:sz w:val="26"/>
      <w:szCs w:val="20"/>
      <w:lang w:val="en-US" w:bidi="en-US"/>
    </w:rPr>
  </w:style>
  <w:style w:type="paragraph" w:styleId="11261">
    <w:name w:val="Plain Text"/>
    <w:basedOn w:val="10533"/>
    <w:link w:val="10597"/>
    <w:qFormat/>
    <w:pPr>
      <w:pBdr/>
      <w:spacing w:line="360" w:lineRule="auto"/>
      <w:ind w:firstLine="709"/>
      <w:jc w:val="both"/>
    </w:pPr>
    <w:rPr>
      <w:rFonts w:ascii="Courier New" w:hAnsi="Courier New"/>
      <w:sz w:val="20"/>
      <w:szCs w:val="20"/>
      <w:lang w:val="en-US" w:bidi="en-US"/>
    </w:rPr>
  </w:style>
  <w:style w:type="paragraph" w:styleId="11262" w:customStyle="1">
    <w:name w:val="ВАДИМ"/>
    <w:basedOn w:val="10533"/>
    <w:link w:val="10598"/>
    <w:qFormat/>
    <w:pPr>
      <w:pBdr/>
      <w:spacing w:line="360" w:lineRule="auto"/>
      <w:ind w:firstLine="180"/>
      <w:jc w:val="both"/>
    </w:pPr>
    <w:rPr>
      <w:rFonts w:cs="Verdana"/>
      <w:spacing w:val="-2"/>
      <w:sz w:val="28"/>
      <w:szCs w:val="28"/>
      <w:lang w:val="en-US" w:eastAsia="en-US" w:bidi="en-US"/>
    </w:rPr>
  </w:style>
  <w:style w:type="paragraph" w:styleId="11264" w:customStyle="1">
    <w:name w:val="Список марк."/>
    <w:basedOn w:val="10533"/>
    <w:link w:val="10599"/>
    <w:qFormat/>
    <w:pPr>
      <w:numPr>
        <w:ilvl w:val="0"/>
        <w:numId w:val="6"/>
      </w:numPr>
      <w:pBdr/>
      <w:spacing w:line="360" w:lineRule="auto"/>
      <w:ind/>
      <w:jc w:val="both"/>
    </w:pPr>
    <w:rPr>
      <w:sz w:val="26"/>
      <w:szCs w:val="26"/>
      <w:lang w:val="en-US" w:bidi="en-US"/>
    </w:rPr>
  </w:style>
  <w:style w:type="paragraph" w:styleId="11265" w:customStyle="1">
    <w:name w:val="xl99"/>
    <w:basedOn w:val="10533"/>
    <w:qFormat/>
    <w:pPr>
      <w:pBdr>
        <w:top w:val="single" w:color="000000" w:sz="8" w:space="0"/>
        <w:left w:val="single" w:color="000000" w:sz="4" w:space="0"/>
        <w:bottom w:val="single" w:color="000000" w:sz="8" w:space="0"/>
        <w:right w:val="single" w:color="000000" w:sz="8" w:space="0"/>
      </w:pBdr>
      <w:spacing w:afterAutospacing="1" w:beforeAutospacing="1" w:line="360" w:lineRule="auto"/>
      <w:ind/>
      <w:jc w:val="center"/>
    </w:pPr>
    <w:rPr>
      <w:rFonts w:ascii="Calibri" w:hAnsi="Calibri"/>
      <w:lang w:val="en-US" w:bidi="en-US"/>
    </w:rPr>
  </w:style>
  <w:style w:type="paragraph" w:styleId="11266" w:customStyle="1">
    <w:name w:val="xl10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Calibri" w:hAnsi="Calibri"/>
      <w:lang w:val="en-US" w:bidi="en-US"/>
    </w:rPr>
  </w:style>
  <w:style w:type="paragraph" w:styleId="11267" w:customStyle="1">
    <w:name w:val="xl10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Calibri" w:hAnsi="Calibri"/>
      <w:lang w:val="en-US" w:bidi="en-US"/>
    </w:rPr>
  </w:style>
  <w:style w:type="paragraph" w:styleId="11268" w:customStyle="1">
    <w:name w:val="xl10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Calibri" w:hAnsi="Calibri"/>
      <w:lang w:val="en-US" w:bidi="en-US"/>
    </w:rPr>
  </w:style>
  <w:style w:type="paragraph" w:styleId="11269" w:customStyle="1">
    <w:name w:val="xl10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Calibri" w:hAnsi="Calibri"/>
      <w:lang w:val="en-US" w:bidi="en-US"/>
    </w:rPr>
  </w:style>
  <w:style w:type="paragraph" w:styleId="11270" w:customStyle="1">
    <w:name w:val="xl104"/>
    <w:basedOn w:val="10533"/>
    <w:qFormat/>
    <w:pPr>
      <w:pBdr>
        <w:top w:val="single" w:color="000000" w:sz="8" w:space="0"/>
        <w:left w:val="single" w:color="000000" w:sz="8" w:space="0"/>
        <w:bottom w:val="single" w:color="000000" w:sz="4" w:space="0"/>
        <w:right w:val="single" w:color="000000" w:sz="4" w:space="0"/>
      </w:pBdr>
      <w:spacing w:afterAutospacing="1" w:beforeAutospacing="1" w:line="360" w:lineRule="auto"/>
      <w:ind/>
      <w:jc w:val="center"/>
    </w:pPr>
    <w:rPr>
      <w:rFonts w:ascii="Calibri" w:hAnsi="Calibri"/>
      <w:lang w:val="en-US" w:bidi="en-US"/>
    </w:rPr>
  </w:style>
  <w:style w:type="paragraph" w:styleId="11271" w:customStyle="1">
    <w:name w:val="xl105"/>
    <w:basedOn w:val="10533"/>
    <w:qFormat/>
    <w:pPr>
      <w:pBdr>
        <w:top w:val="single" w:color="000000" w:sz="8" w:space="0"/>
        <w:left w:val="single" w:color="000000" w:sz="4" w:space="0"/>
        <w:bottom w:val="single" w:color="000000" w:sz="4" w:space="0"/>
        <w:right w:val="single" w:color="000000" w:sz="4" w:space="0"/>
      </w:pBdr>
      <w:spacing w:afterAutospacing="1" w:beforeAutospacing="1" w:line="360" w:lineRule="auto"/>
      <w:ind/>
      <w:jc w:val="center"/>
    </w:pPr>
    <w:rPr>
      <w:rFonts w:ascii="Calibri" w:hAnsi="Calibri"/>
      <w:lang w:val="en-US" w:bidi="en-US"/>
    </w:rPr>
  </w:style>
  <w:style w:type="paragraph" w:styleId="11272" w:customStyle="1">
    <w:name w:val="xl106"/>
    <w:basedOn w:val="10533"/>
    <w:qFormat/>
    <w:pPr>
      <w:pBdr>
        <w:top w:val="single" w:color="000000" w:sz="8" w:space="0"/>
        <w:left w:val="single" w:color="000000" w:sz="4" w:space="0"/>
        <w:bottom w:val="single" w:color="000000" w:sz="4" w:space="0"/>
        <w:right w:val="single" w:color="000000" w:sz="8" w:space="0"/>
      </w:pBdr>
      <w:spacing w:afterAutospacing="1" w:beforeAutospacing="1" w:line="360" w:lineRule="auto"/>
      <w:ind/>
      <w:jc w:val="center"/>
    </w:pPr>
    <w:rPr>
      <w:rFonts w:ascii="Calibri" w:hAnsi="Calibri"/>
      <w:lang w:val="en-US" w:bidi="en-US"/>
    </w:rPr>
  </w:style>
  <w:style w:type="paragraph" w:styleId="11273" w:customStyle="1">
    <w:name w:val="xl107"/>
    <w:basedOn w:val="10533"/>
    <w:qFormat/>
    <w:pPr>
      <w:pBdr>
        <w:top w:val="single" w:color="000000" w:sz="4" w:space="0"/>
        <w:left w:val="single" w:color="000000" w:sz="8" w:space="0"/>
        <w:right w:val="single" w:color="000000" w:sz="4" w:space="0"/>
      </w:pBdr>
      <w:spacing w:afterAutospacing="1" w:beforeAutospacing="1" w:line="360" w:lineRule="auto"/>
      <w:ind/>
      <w:jc w:val="center"/>
    </w:pPr>
    <w:rPr>
      <w:rFonts w:ascii="Calibri" w:hAnsi="Calibri"/>
      <w:lang w:val="en-US" w:bidi="en-US"/>
    </w:rPr>
  </w:style>
  <w:style w:type="paragraph" w:styleId="11274" w:customStyle="1">
    <w:name w:val="xl172"/>
    <w:basedOn w:val="10533"/>
    <w:qFormat/>
    <w:pPr>
      <w:pBdr>
        <w:top w:val="single" w:color="000000" w:sz="8" w:space="0"/>
      </w:pBdr>
      <w:spacing w:afterAutospacing="1" w:beforeAutospacing="1" w:line="360" w:lineRule="auto"/>
      <w:ind/>
    </w:pPr>
    <w:rPr>
      <w:rFonts w:ascii="Calibri" w:hAnsi="Calibri"/>
      <w:lang w:val="en-US" w:bidi="en-US"/>
    </w:rPr>
  </w:style>
  <w:style w:type="paragraph" w:styleId="11275" w:customStyle="1">
    <w:name w:val="xl173"/>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76" w:customStyle="1">
    <w:name w:val="xl17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77" w:customStyle="1">
    <w:name w:val="xl175"/>
    <w:basedOn w:val="10533"/>
    <w:qFormat/>
    <w:pPr>
      <w:pBdr>
        <w:left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78" w:customStyle="1">
    <w:name w:val="xl176"/>
    <w:basedOn w:val="10533"/>
    <w:qFormat/>
    <w:pPr>
      <w:pBdr>
        <w:top w:val="single" w:color="000000" w:sz="4" w:space="0"/>
        <w:left w:val="single" w:color="000000" w:sz="4" w:space="0"/>
        <w:bottom w:val="single" w:color="000000" w:sz="8" w:space="0"/>
      </w:pBdr>
      <w:spacing w:afterAutospacing="1" w:beforeAutospacing="1" w:line="360" w:lineRule="auto"/>
      <w:ind/>
    </w:pPr>
    <w:rPr>
      <w:rFonts w:ascii="Calibri" w:hAnsi="Calibri"/>
      <w:b/>
      <w:bCs/>
      <w:i/>
      <w:iCs/>
      <w:lang w:val="en-US" w:bidi="en-US"/>
    </w:rPr>
  </w:style>
  <w:style w:type="paragraph" w:styleId="11279" w:customStyle="1">
    <w:name w:val="xl177"/>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0" w:customStyle="1">
    <w:name w:val="xl178"/>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1" w:customStyle="1">
    <w:name w:val="xl179"/>
    <w:basedOn w:val="10533"/>
    <w:qFormat/>
    <w:pPr>
      <w:pBdr>
        <w:top w:val="single" w:color="000000" w:sz="4" w:space="0"/>
        <w:left w:val="single" w:color="000000" w:sz="4" w:space="0"/>
      </w:pBdr>
      <w:spacing w:afterAutospacing="1" w:beforeAutospacing="1" w:line="360" w:lineRule="auto"/>
      <w:ind/>
    </w:pPr>
    <w:rPr>
      <w:rFonts w:ascii="Calibri" w:hAnsi="Calibri"/>
      <w:b/>
      <w:bCs/>
      <w:i/>
      <w:iCs/>
      <w:lang w:val="en-US" w:bidi="en-US"/>
    </w:rPr>
  </w:style>
  <w:style w:type="paragraph" w:styleId="11282" w:customStyle="1">
    <w:name w:val="xl180"/>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3" w:customStyle="1">
    <w:name w:val="xl181"/>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4" w:customStyle="1">
    <w:name w:val="xl182"/>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CYR" w:hAnsi="Arial CYR" w:cs="Arial CYR"/>
      <w:lang w:val="en-US" w:bidi="en-US"/>
    </w:rPr>
  </w:style>
  <w:style w:type="paragraph" w:styleId="11285" w:customStyle="1">
    <w:name w:val="xl183"/>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line="360" w:lineRule="auto"/>
      <w:ind/>
    </w:pPr>
    <w:rPr>
      <w:rFonts w:ascii="Calibri" w:hAnsi="Calibri"/>
      <w:lang w:val="en-US" w:bidi="en-US"/>
    </w:rPr>
  </w:style>
  <w:style w:type="paragraph" w:styleId="11286" w:customStyle="1">
    <w:name w:val="xl203"/>
    <w:basedOn w:val="10533"/>
    <w:qFormat/>
    <w:pPr>
      <w:pBdr>
        <w:left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7" w:customStyle="1">
    <w:name w:val="xl204"/>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8" w:customStyle="1">
    <w:name w:val="xl205"/>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89" w:customStyle="1">
    <w:name w:val="xl206"/>
    <w:basedOn w:val="10533"/>
    <w:qFormat/>
    <w:pPr>
      <w:pBdr>
        <w:top w:val="single" w:color="000000" w:sz="4"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290" w:customStyle="1">
    <w:name w:val="xl207"/>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91" w:customStyle="1">
    <w:name w:val="xl208"/>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92" w:customStyle="1">
    <w:name w:val="xl209"/>
    <w:basedOn w:val="10533"/>
    <w:qFormat/>
    <w:pPr>
      <w:pBdr>
        <w:top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93" w:customStyle="1">
    <w:name w:val="xl210"/>
    <w:basedOn w:val="10533"/>
    <w:qFormat/>
    <w:pPr>
      <w:pBdr>
        <w:right w:val="single" w:color="000000" w:sz="4" w:space="0"/>
      </w:pBdr>
      <w:spacing w:afterAutospacing="1" w:beforeAutospacing="1" w:line="360" w:lineRule="auto"/>
      <w:ind/>
    </w:pPr>
    <w:rPr>
      <w:rFonts w:ascii="Calibri" w:hAnsi="Calibri"/>
      <w:lang w:val="en-US" w:bidi="en-US"/>
    </w:rPr>
  </w:style>
  <w:style w:type="paragraph" w:styleId="11294" w:customStyle="1">
    <w:name w:val="xl211"/>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295" w:customStyle="1">
    <w:name w:val="xl212"/>
    <w:basedOn w:val="10533"/>
    <w:qFormat/>
    <w:pPr>
      <w:pBdr>
        <w:top w:val="single" w:color="000000" w:sz="4" w:space="0"/>
        <w:bottom w:val="single" w:color="000000" w:sz="8" w:space="0"/>
        <w:right w:val="single" w:color="000000" w:sz="4" w:space="0"/>
      </w:pBdr>
      <w:spacing w:afterAutospacing="1" w:beforeAutospacing="1" w:line="360" w:lineRule="auto"/>
      <w:ind/>
    </w:pPr>
    <w:rPr>
      <w:rFonts w:ascii="Calibri" w:hAnsi="Calibri"/>
      <w:lang w:val="en-US" w:bidi="en-US"/>
    </w:rPr>
  </w:style>
  <w:style w:type="paragraph" w:styleId="11296" w:customStyle="1">
    <w:name w:val="xl213"/>
    <w:basedOn w:val="10533"/>
    <w:qFormat/>
    <w:pPr>
      <w:pBdr/>
      <w:spacing w:afterAutospacing="1" w:beforeAutospacing="1" w:line="360" w:lineRule="auto"/>
      <w:ind/>
    </w:pPr>
    <w:rPr>
      <w:rFonts w:ascii="Calibri" w:hAnsi="Calibri"/>
      <w:lang w:val="en-US" w:bidi="en-US"/>
    </w:rPr>
  </w:style>
  <w:style w:type="paragraph" w:styleId="11297" w:customStyle="1">
    <w:name w:val="xl214"/>
    <w:basedOn w:val="10533"/>
    <w:qFormat/>
    <w:pPr>
      <w:pBdr>
        <w:top w:val="single" w:color="000000" w:sz="4" w:space="0"/>
        <w:bottom w:val="single" w:color="000000" w:sz="8" w:space="0"/>
      </w:pBdr>
      <w:spacing w:afterAutospacing="1" w:beforeAutospacing="1" w:line="360" w:lineRule="auto"/>
      <w:ind/>
    </w:pPr>
    <w:rPr>
      <w:rFonts w:ascii="Calibri" w:hAnsi="Calibri"/>
      <w:lang w:val="en-US" w:bidi="en-US"/>
    </w:rPr>
  </w:style>
  <w:style w:type="paragraph" w:styleId="11298" w:customStyle="1">
    <w:name w:val="xl215"/>
    <w:basedOn w:val="10533"/>
    <w:qFormat/>
    <w:pPr>
      <w:pBdr>
        <w:top w:val="single" w:color="000000" w:sz="4" w:space="0"/>
        <w:bottom w:val="single" w:color="000000" w:sz="8" w:space="0"/>
      </w:pBdr>
      <w:spacing w:afterAutospacing="1" w:beforeAutospacing="1" w:line="360" w:lineRule="auto"/>
      <w:ind/>
    </w:pPr>
    <w:rPr>
      <w:rFonts w:ascii="Calibri" w:hAnsi="Calibri"/>
      <w:b/>
      <w:bCs/>
      <w:lang w:val="en-US" w:bidi="en-US"/>
    </w:rPr>
  </w:style>
  <w:style w:type="paragraph" w:styleId="11299" w:customStyle="1">
    <w:name w:val="xl216"/>
    <w:basedOn w:val="10533"/>
    <w:qFormat/>
    <w:pPr>
      <w:pBdr>
        <w:top w:val="single" w:color="000000" w:sz="4" w:space="0"/>
        <w:bottom w:val="single" w:color="000000" w:sz="8" w:space="0"/>
        <w:right w:val="single" w:color="000000" w:sz="4" w:space="0"/>
      </w:pBdr>
      <w:spacing w:afterAutospacing="1" w:beforeAutospacing="1" w:line="360" w:lineRule="auto"/>
      <w:ind/>
    </w:pPr>
    <w:rPr>
      <w:rFonts w:ascii="Calibri" w:hAnsi="Calibri"/>
      <w:lang w:val="en-US" w:bidi="en-US"/>
    </w:rPr>
  </w:style>
  <w:style w:type="paragraph" w:styleId="11300" w:customStyle="1">
    <w:name w:val="xl217"/>
    <w:basedOn w:val="10533"/>
    <w:qFormat/>
    <w:pPr>
      <w:pBdr>
        <w:top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01" w:customStyle="1">
    <w:name w:val="xl218"/>
    <w:basedOn w:val="10533"/>
    <w:qFormat/>
    <w:pPr>
      <w:pBdr>
        <w:top w:val="single" w:color="000000" w:sz="8"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02" w:customStyle="1">
    <w:name w:val="xl219"/>
    <w:basedOn w:val="10533"/>
    <w:qFormat/>
    <w:pPr>
      <w:pBdr>
        <w:top w:val="single" w:color="000000" w:sz="4" w:space="0"/>
        <w:left w:val="single" w:color="000000" w:sz="8" w:space="0"/>
        <w:bottom w:val="single" w:color="000000" w:sz="8" w:space="0"/>
      </w:pBdr>
      <w:spacing w:afterAutospacing="1" w:beforeAutospacing="1" w:line="360" w:lineRule="auto"/>
      <w:ind/>
      <w:jc w:val="center"/>
    </w:pPr>
    <w:rPr>
      <w:rFonts w:ascii="Calibri" w:hAnsi="Calibri"/>
      <w:lang w:val="en-US" w:bidi="en-US"/>
    </w:rPr>
  </w:style>
  <w:style w:type="paragraph" w:styleId="11303" w:customStyle="1">
    <w:name w:val="xl220"/>
    <w:basedOn w:val="10533"/>
    <w:qFormat/>
    <w:pPr>
      <w:pBdr>
        <w:top w:val="single" w:color="000000" w:sz="4" w:space="0"/>
        <w:bottom w:val="single" w:color="000000" w:sz="8" w:space="0"/>
      </w:pBdr>
      <w:spacing w:afterAutospacing="1" w:beforeAutospacing="1" w:line="360" w:lineRule="auto"/>
      <w:ind/>
      <w:jc w:val="center"/>
    </w:pPr>
    <w:rPr>
      <w:rFonts w:ascii="Calibri" w:hAnsi="Calibri"/>
      <w:b/>
      <w:bCs/>
      <w:lang w:val="en-US" w:bidi="en-US"/>
    </w:rPr>
  </w:style>
  <w:style w:type="paragraph" w:styleId="11304" w:customStyle="1">
    <w:name w:val="xl221"/>
    <w:basedOn w:val="10533"/>
    <w:qFormat/>
    <w:pPr>
      <w:pBdr>
        <w:top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05" w:customStyle="1">
    <w:name w:val="xl222"/>
    <w:basedOn w:val="10533"/>
    <w:qFormat/>
    <w:pPr>
      <w:pBdr>
        <w:top w:val="single" w:color="000000" w:sz="4" w:space="0"/>
        <w:left w:val="single" w:color="000000" w:sz="4" w:space="0"/>
        <w:right w:val="single" w:color="000000" w:sz="4" w:space="0"/>
      </w:pBdr>
      <w:spacing w:afterAutospacing="1" w:beforeAutospacing="1" w:line="360" w:lineRule="auto"/>
      <w:ind/>
      <w:jc w:val="right"/>
    </w:pPr>
    <w:rPr>
      <w:rFonts w:ascii="Calibri" w:hAnsi="Calibri"/>
      <w:lang w:val="en-US" w:bidi="en-US"/>
    </w:rPr>
  </w:style>
  <w:style w:type="paragraph" w:styleId="11306" w:customStyle="1">
    <w:name w:val="xl223"/>
    <w:basedOn w:val="10533"/>
    <w:qFormat/>
    <w:pPr>
      <w:pBdr>
        <w:top w:val="single" w:color="000000" w:sz="4" w:space="0"/>
        <w:left w:val="single" w:color="000000" w:sz="4" w:space="0"/>
        <w:bottom w:val="single" w:color="000000" w:sz="8" w:space="0"/>
        <w:right w:val="single" w:color="000000" w:sz="4" w:space="0"/>
      </w:pBdr>
      <w:spacing w:afterAutospacing="1" w:beforeAutospacing="1" w:line="360" w:lineRule="auto"/>
      <w:ind/>
      <w:jc w:val="right"/>
    </w:pPr>
    <w:rPr>
      <w:rFonts w:ascii="Calibri" w:hAnsi="Calibri"/>
      <w:b/>
      <w:bCs/>
      <w:i/>
      <w:iCs/>
      <w:lang w:val="en-US" w:bidi="en-US"/>
    </w:rPr>
  </w:style>
  <w:style w:type="paragraph" w:styleId="11307" w:customStyle="1">
    <w:name w:val="xl224"/>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08" w:customStyle="1">
    <w:name w:val="xl225"/>
    <w:basedOn w:val="10533"/>
    <w:qFormat/>
    <w:pPr>
      <w:pBdr>
        <w:top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09" w:customStyle="1">
    <w:name w:val="xl226"/>
    <w:basedOn w:val="10533"/>
    <w:qFormat/>
    <w:pPr>
      <w:pBdr>
        <w:left w:val="single" w:color="000000" w:sz="8" w:space="0"/>
      </w:pBdr>
      <w:spacing w:afterAutospacing="1" w:beforeAutospacing="1" w:line="360" w:lineRule="auto"/>
      <w:ind/>
      <w:jc w:val="center"/>
    </w:pPr>
    <w:rPr>
      <w:rFonts w:ascii="Calibri" w:hAnsi="Calibri"/>
      <w:lang w:val="en-US" w:bidi="en-US"/>
    </w:rPr>
  </w:style>
  <w:style w:type="paragraph" w:styleId="11310" w:customStyle="1">
    <w:name w:val="xl227"/>
    <w:basedOn w:val="10533"/>
    <w:qFormat/>
    <w:pPr>
      <w:pBdr>
        <w:left w:val="single" w:color="000000" w:sz="8" w:space="0"/>
      </w:pBdr>
      <w:spacing w:afterAutospacing="1" w:beforeAutospacing="1" w:line="360" w:lineRule="auto"/>
      <w:ind/>
      <w:jc w:val="center"/>
    </w:pPr>
    <w:rPr>
      <w:rFonts w:ascii="Calibri" w:hAnsi="Calibri"/>
      <w:lang w:val="en-US" w:bidi="en-US"/>
    </w:rPr>
  </w:style>
  <w:style w:type="paragraph" w:styleId="11311" w:customStyle="1">
    <w:name w:val="xl228"/>
    <w:basedOn w:val="10533"/>
    <w:qFormat/>
    <w:pPr>
      <w:pBdr>
        <w:top w:val="single" w:color="000000" w:sz="4" w:space="0"/>
        <w:bottom w:val="single" w:color="000000" w:sz="8" w:space="0"/>
        <w:right w:val="single" w:color="000000" w:sz="4" w:space="0"/>
      </w:pBdr>
      <w:spacing w:afterAutospacing="1" w:beforeAutospacing="1" w:line="360" w:lineRule="auto"/>
      <w:ind/>
    </w:pPr>
    <w:rPr>
      <w:rFonts w:ascii="Calibri" w:hAnsi="Calibri"/>
      <w:b/>
      <w:bCs/>
      <w:i/>
      <w:iCs/>
      <w:lang w:val="en-US" w:bidi="en-US"/>
    </w:rPr>
  </w:style>
  <w:style w:type="paragraph" w:styleId="11312" w:customStyle="1">
    <w:name w:val="xl229"/>
    <w:basedOn w:val="10533"/>
    <w:qFormat/>
    <w:pPr>
      <w:pBdr>
        <w:top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13" w:customStyle="1">
    <w:name w:val="xl230"/>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14" w:customStyle="1">
    <w:name w:val="xl231"/>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15" w:customStyle="1">
    <w:name w:val="xl232"/>
    <w:basedOn w:val="10533"/>
    <w:qFormat/>
    <w:pPr>
      <w:pBdr>
        <w:top w:val="single" w:color="000000" w:sz="8" w:space="0"/>
        <w:left w:val="single" w:color="000000" w:sz="8" w:space="0"/>
      </w:pBdr>
      <w:spacing w:afterAutospacing="1" w:beforeAutospacing="1" w:line="360" w:lineRule="auto"/>
      <w:ind/>
      <w:jc w:val="center"/>
    </w:pPr>
    <w:rPr>
      <w:rFonts w:ascii="Calibri" w:hAnsi="Calibri"/>
      <w:lang w:val="en-US" w:bidi="en-US"/>
    </w:rPr>
  </w:style>
  <w:style w:type="paragraph" w:styleId="11316" w:customStyle="1">
    <w:name w:val="xl233"/>
    <w:basedOn w:val="10533"/>
    <w:qFormat/>
    <w:pPr>
      <w:pBdr>
        <w:top w:val="single" w:color="000000" w:sz="8" w:space="0"/>
      </w:pBdr>
      <w:spacing w:afterAutospacing="1" w:beforeAutospacing="1" w:line="360" w:lineRule="auto"/>
      <w:ind/>
    </w:pPr>
    <w:rPr>
      <w:rFonts w:ascii="Calibri" w:hAnsi="Calibri"/>
      <w:lang w:val="en-US" w:bidi="en-US"/>
    </w:rPr>
  </w:style>
  <w:style w:type="paragraph" w:styleId="11317" w:customStyle="1">
    <w:name w:val="xl234"/>
    <w:basedOn w:val="10533"/>
    <w:qFormat/>
    <w:pPr>
      <w:pBdr/>
      <w:spacing w:afterAutospacing="1" w:beforeAutospacing="1" w:line="360" w:lineRule="auto"/>
      <w:ind/>
    </w:pPr>
    <w:rPr>
      <w:rFonts w:ascii="Calibri" w:hAnsi="Calibri"/>
      <w:b/>
      <w:bCs/>
      <w:lang w:val="en-US" w:bidi="en-US"/>
    </w:rPr>
  </w:style>
  <w:style w:type="paragraph" w:styleId="11318" w:customStyle="1">
    <w:name w:val="xl235"/>
    <w:basedOn w:val="10533"/>
    <w:qFormat/>
    <w:pPr>
      <w:pBdr>
        <w:left w:val="single" w:color="000000" w:sz="8" w:space="0"/>
        <w:bottom w:val="single" w:color="000000" w:sz="4" w:space="0"/>
      </w:pBdr>
      <w:spacing w:afterAutospacing="1" w:beforeAutospacing="1" w:line="360" w:lineRule="auto"/>
      <w:ind/>
      <w:jc w:val="center"/>
    </w:pPr>
    <w:rPr>
      <w:rFonts w:ascii="Calibri" w:hAnsi="Calibri"/>
      <w:lang w:val="en-US" w:bidi="en-US"/>
    </w:rPr>
  </w:style>
  <w:style w:type="paragraph" w:styleId="11319" w:customStyle="1">
    <w:name w:val="xl236"/>
    <w:basedOn w:val="10533"/>
    <w:qFormat/>
    <w:pPr>
      <w:pBdr>
        <w:bottom w:val="single" w:color="000000" w:sz="4" w:space="0"/>
      </w:pBdr>
      <w:spacing w:afterAutospacing="1" w:beforeAutospacing="1" w:line="360" w:lineRule="auto"/>
      <w:ind/>
    </w:pPr>
    <w:rPr>
      <w:rFonts w:ascii="Calibri" w:hAnsi="Calibri"/>
      <w:b/>
      <w:bCs/>
      <w:lang w:val="en-US" w:bidi="en-US"/>
    </w:rPr>
  </w:style>
  <w:style w:type="paragraph" w:styleId="11320" w:customStyle="1">
    <w:name w:val="xl237"/>
    <w:basedOn w:val="10533"/>
    <w:qFormat/>
    <w:pPr>
      <w:pBdr>
        <w:bottom w:val="single" w:color="000000" w:sz="4" w:space="0"/>
      </w:pBdr>
      <w:spacing w:afterAutospacing="1" w:beforeAutospacing="1" w:line="360" w:lineRule="auto"/>
      <w:ind/>
    </w:pPr>
    <w:rPr>
      <w:rFonts w:ascii="Calibri" w:hAnsi="Calibri"/>
      <w:lang w:val="en-US" w:bidi="en-US"/>
    </w:rPr>
  </w:style>
  <w:style w:type="paragraph" w:styleId="11321" w:customStyle="1">
    <w:name w:val="xl238"/>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22" w:customStyle="1">
    <w:name w:val="xl239"/>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23" w:customStyle="1">
    <w:name w:val="xl240"/>
    <w:basedOn w:val="10533"/>
    <w:qFormat/>
    <w:pPr>
      <w:pBdr>
        <w:top w:val="single" w:color="000000" w:sz="8" w:space="0"/>
        <w:left w:val="single" w:color="000000" w:sz="8" w:space="0"/>
      </w:pBdr>
      <w:spacing w:afterAutospacing="1" w:beforeAutospacing="1" w:line="360" w:lineRule="auto"/>
      <w:ind/>
      <w:jc w:val="center"/>
    </w:pPr>
    <w:rPr>
      <w:rFonts w:ascii="Calibri" w:hAnsi="Calibri"/>
      <w:lang w:val="en-US" w:bidi="en-US"/>
    </w:rPr>
  </w:style>
  <w:style w:type="paragraph" w:styleId="11324" w:customStyle="1">
    <w:name w:val="xl241"/>
    <w:basedOn w:val="10533"/>
    <w:qFormat/>
    <w:pPr>
      <w:pBdr>
        <w:left w:val="single" w:color="000000" w:sz="8" w:space="0"/>
        <w:bottom w:val="single" w:color="000000" w:sz="4" w:space="0"/>
      </w:pBdr>
      <w:spacing w:afterAutospacing="1" w:beforeAutospacing="1" w:line="360" w:lineRule="auto"/>
      <w:ind/>
      <w:jc w:val="center"/>
    </w:pPr>
    <w:rPr>
      <w:rFonts w:ascii="Calibri" w:hAnsi="Calibri"/>
      <w:lang w:val="en-US" w:bidi="en-US"/>
    </w:rPr>
  </w:style>
  <w:style w:type="paragraph" w:styleId="11325" w:customStyle="1">
    <w:name w:val="xl242"/>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sz w:val="16"/>
      <w:szCs w:val="16"/>
      <w:lang w:val="en-US" w:bidi="en-US"/>
    </w:rPr>
  </w:style>
  <w:style w:type="paragraph" w:styleId="11326" w:customStyle="1">
    <w:name w:val="xl243"/>
    <w:basedOn w:val="10533"/>
    <w:qFormat/>
    <w:pPr>
      <w:pBdr>
        <w:top w:val="single" w:color="000000" w:sz="8" w:space="0"/>
        <w:right w:val="single" w:color="000000" w:sz="4" w:space="0"/>
      </w:pBdr>
      <w:spacing w:afterAutospacing="1" w:beforeAutospacing="1" w:line="360" w:lineRule="auto"/>
      <w:ind/>
    </w:pPr>
    <w:rPr>
      <w:rFonts w:ascii="Calibri" w:hAnsi="Calibri"/>
      <w:lang w:val="en-US" w:bidi="en-US"/>
    </w:rPr>
  </w:style>
  <w:style w:type="paragraph" w:styleId="11327" w:customStyle="1">
    <w:name w:val="xl244"/>
    <w:basedOn w:val="10533"/>
    <w:qFormat/>
    <w:pPr>
      <w:pBdr>
        <w:right w:val="single" w:color="000000" w:sz="4" w:space="0"/>
      </w:pBdr>
      <w:spacing w:afterAutospacing="1" w:beforeAutospacing="1" w:line="360" w:lineRule="auto"/>
      <w:ind/>
    </w:pPr>
    <w:rPr>
      <w:rFonts w:ascii="Calibri" w:hAnsi="Calibri"/>
      <w:lang w:val="en-US" w:bidi="en-US"/>
    </w:rPr>
  </w:style>
  <w:style w:type="paragraph" w:styleId="11328" w:customStyle="1">
    <w:name w:val="xl245"/>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29" w:customStyle="1">
    <w:name w:val="xl246"/>
    <w:basedOn w:val="10533"/>
    <w:qFormat/>
    <w:pPr>
      <w:pBdr>
        <w:top w:val="single" w:color="000000" w:sz="8" w:space="0"/>
        <w:bottom w:val="single" w:color="000000" w:sz="8" w:space="0"/>
      </w:pBdr>
      <w:spacing w:afterAutospacing="1" w:beforeAutospacing="1" w:line="360" w:lineRule="auto"/>
      <w:ind/>
    </w:pPr>
    <w:rPr>
      <w:rFonts w:ascii="Calibri" w:hAnsi="Calibri"/>
      <w:b/>
      <w:bCs/>
      <w:lang w:val="en-US" w:bidi="en-US"/>
    </w:rPr>
  </w:style>
  <w:style w:type="paragraph" w:styleId="11330" w:customStyle="1">
    <w:name w:val="xl247"/>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31" w:customStyle="1">
    <w:name w:val="xl248"/>
    <w:basedOn w:val="10533"/>
    <w:qFormat/>
    <w:pPr>
      <w:pBdr>
        <w:top w:val="single" w:color="000000" w:sz="8" w:space="0"/>
        <w:bottom w:val="single" w:color="000000" w:sz="8" w:space="0"/>
      </w:pBdr>
      <w:spacing w:afterAutospacing="1" w:beforeAutospacing="1" w:line="360" w:lineRule="auto"/>
      <w:ind/>
      <w:jc w:val="center"/>
    </w:pPr>
    <w:rPr>
      <w:rFonts w:ascii="Calibri" w:hAnsi="Calibri"/>
      <w:lang w:val="en-US" w:bidi="en-US"/>
    </w:rPr>
  </w:style>
  <w:style w:type="paragraph" w:styleId="11332" w:customStyle="1">
    <w:name w:val="xl249"/>
    <w:basedOn w:val="10533"/>
    <w:qFormat/>
    <w:pPr>
      <w:pBdr>
        <w:top w:val="single" w:color="000000" w:sz="8" w:space="0"/>
        <w:bottom w:val="single" w:color="000000" w:sz="8" w:space="0"/>
        <w:right w:val="single" w:color="000000" w:sz="8" w:space="0"/>
      </w:pBdr>
      <w:spacing w:afterAutospacing="1" w:beforeAutospacing="1" w:line="360" w:lineRule="auto"/>
      <w:ind/>
      <w:jc w:val="center"/>
    </w:pPr>
    <w:rPr>
      <w:rFonts w:ascii="Calibri" w:hAnsi="Calibri"/>
      <w:lang w:val="en-US" w:bidi="en-US"/>
    </w:rPr>
  </w:style>
  <w:style w:type="paragraph" w:styleId="11333" w:customStyle="1">
    <w:name w:val="xl250"/>
    <w:basedOn w:val="10533"/>
    <w:qFormat/>
    <w:pPr>
      <w:pBdr>
        <w:top w:val="single" w:color="000000" w:sz="4" w:space="0"/>
        <w:bottom w:val="single" w:color="000000" w:sz="8" w:space="0"/>
        <w:right w:val="single" w:color="000000" w:sz="4" w:space="0"/>
      </w:pBdr>
      <w:spacing w:afterAutospacing="1" w:beforeAutospacing="1" w:line="360" w:lineRule="auto"/>
      <w:ind/>
    </w:pPr>
    <w:rPr>
      <w:rFonts w:ascii="Calibri" w:hAnsi="Calibri"/>
      <w:b/>
      <w:bCs/>
      <w:lang w:val="en-US" w:bidi="en-US"/>
    </w:rPr>
  </w:style>
  <w:style w:type="paragraph" w:styleId="11334" w:customStyle="1">
    <w:name w:val="xl251"/>
    <w:basedOn w:val="10533"/>
    <w:qFormat/>
    <w:pPr>
      <w:pBdr>
        <w:top w:val="single" w:color="000000" w:sz="8" w:space="0"/>
        <w:bottom w:val="single" w:color="000000" w:sz="8" w:space="0"/>
      </w:pBdr>
      <w:spacing w:afterAutospacing="1" w:beforeAutospacing="1" w:line="360" w:lineRule="auto"/>
      <w:ind/>
      <w:jc w:val="center"/>
    </w:pPr>
    <w:rPr>
      <w:rFonts w:ascii="Calibri" w:hAnsi="Calibri"/>
      <w:lang w:val="en-US" w:bidi="en-US"/>
    </w:rPr>
  </w:style>
  <w:style w:type="paragraph" w:styleId="11335" w:customStyle="1">
    <w:name w:val="xl252"/>
    <w:basedOn w:val="10533"/>
    <w:qFormat/>
    <w:pPr>
      <w:pBdr>
        <w:top w:val="single" w:color="000000" w:sz="8" w:space="0"/>
        <w:left w:val="single" w:color="000000" w:sz="8" w:space="0"/>
        <w:bottom w:val="single" w:color="000000" w:sz="8" w:space="0"/>
      </w:pBdr>
      <w:spacing w:afterAutospacing="1" w:beforeAutospacing="1" w:line="360" w:lineRule="auto"/>
      <w:ind/>
      <w:jc w:val="center"/>
    </w:pPr>
    <w:rPr>
      <w:rFonts w:ascii="Calibri" w:hAnsi="Calibri"/>
      <w:lang w:val="en-US" w:bidi="en-US"/>
    </w:rPr>
  </w:style>
  <w:style w:type="paragraph" w:styleId="11336" w:customStyle="1">
    <w:name w:val="xl253"/>
    <w:basedOn w:val="10533"/>
    <w:qFormat/>
    <w:pPr>
      <w:pBdr>
        <w:top w:val="single" w:color="000000" w:sz="8" w:space="0"/>
        <w:bottom w:val="single" w:color="000000" w:sz="8" w:space="0"/>
      </w:pBdr>
      <w:spacing w:afterAutospacing="1" w:beforeAutospacing="1" w:line="360" w:lineRule="auto"/>
      <w:ind/>
    </w:pPr>
    <w:rPr>
      <w:rFonts w:ascii="Calibri" w:hAnsi="Calibri"/>
      <w:lang w:val="en-US" w:bidi="en-US"/>
    </w:rPr>
  </w:style>
  <w:style w:type="paragraph" w:styleId="11337" w:customStyle="1">
    <w:name w:val="xl254"/>
    <w:basedOn w:val="10533"/>
    <w:qFormat/>
    <w:pPr>
      <w:pBdr>
        <w:top w:val="single" w:color="000000" w:sz="8" w:space="0"/>
        <w:bottom w:val="single" w:color="000000" w:sz="8" w:space="0"/>
        <w:right w:val="single" w:color="000000" w:sz="8" w:space="0"/>
      </w:pBdr>
      <w:spacing w:afterAutospacing="1" w:beforeAutospacing="1" w:line="360" w:lineRule="auto"/>
      <w:ind/>
    </w:pPr>
    <w:rPr>
      <w:rFonts w:ascii="Calibri" w:hAnsi="Calibri"/>
      <w:b/>
      <w:bCs/>
      <w:i/>
      <w:iCs/>
      <w:lang w:val="en-US" w:bidi="en-US"/>
    </w:rPr>
  </w:style>
  <w:style w:type="paragraph" w:styleId="11338" w:customStyle="1">
    <w:name w:val="xl255"/>
    <w:basedOn w:val="10533"/>
    <w:qFormat/>
    <w:pPr>
      <w:pBdr>
        <w:top w:val="single" w:color="000000" w:sz="8" w:space="0"/>
        <w:bottom w:val="single" w:color="000000" w:sz="8" w:space="0"/>
      </w:pBdr>
      <w:spacing w:afterAutospacing="1" w:beforeAutospacing="1" w:line="360" w:lineRule="auto"/>
      <w:ind/>
      <w:jc w:val="center"/>
    </w:pPr>
    <w:rPr>
      <w:rFonts w:ascii="Calibri" w:hAnsi="Calibri"/>
      <w:b/>
      <w:bCs/>
      <w:lang w:val="en-US" w:bidi="en-US"/>
    </w:rPr>
  </w:style>
  <w:style w:type="paragraph" w:styleId="11339" w:customStyle="1">
    <w:name w:val="xl256"/>
    <w:basedOn w:val="10533"/>
    <w:qFormat/>
    <w:pPr>
      <w:pBdr>
        <w:top w:val="single" w:color="000000" w:sz="8" w:space="0"/>
        <w:bottom w:val="single" w:color="000000" w:sz="8" w:space="0"/>
      </w:pBdr>
      <w:spacing w:afterAutospacing="1" w:beforeAutospacing="1" w:line="360" w:lineRule="auto"/>
      <w:ind/>
      <w:jc w:val="center"/>
    </w:pPr>
    <w:rPr>
      <w:rFonts w:ascii="Calibri" w:hAnsi="Calibri"/>
      <w:b/>
      <w:bCs/>
      <w:sz w:val="18"/>
      <w:szCs w:val="18"/>
      <w:lang w:val="en-US" w:bidi="en-US"/>
    </w:rPr>
  </w:style>
  <w:style w:type="paragraph" w:styleId="11340" w:customStyle="1">
    <w:name w:val="xl257"/>
    <w:basedOn w:val="10533"/>
    <w:qFormat/>
    <w:pPr>
      <w:pBdr>
        <w:top w:val="single" w:color="000000" w:sz="4" w:space="0"/>
        <w:bottom w:val="single" w:color="000000" w:sz="8" w:space="0"/>
        <w:right w:val="single" w:color="000000" w:sz="4" w:space="0"/>
      </w:pBdr>
      <w:spacing w:afterAutospacing="1" w:beforeAutospacing="1" w:line="360" w:lineRule="auto"/>
      <w:ind/>
    </w:pPr>
    <w:rPr>
      <w:rFonts w:ascii="Calibri" w:hAnsi="Calibri"/>
      <w:lang w:val="en-US" w:bidi="en-US"/>
    </w:rPr>
  </w:style>
  <w:style w:type="paragraph" w:styleId="11341" w:customStyle="1">
    <w:name w:val="xl258"/>
    <w:basedOn w:val="10533"/>
    <w:qFormat/>
    <w:pPr>
      <w:pBdr>
        <w:right w:val="single" w:color="000000" w:sz="4" w:space="0"/>
      </w:pBdr>
      <w:spacing w:afterAutospacing="1" w:beforeAutospacing="1" w:line="360" w:lineRule="auto"/>
      <w:ind/>
    </w:pPr>
    <w:rPr>
      <w:rFonts w:ascii="Calibri" w:hAnsi="Calibri"/>
      <w:b/>
      <w:bCs/>
      <w:lang w:val="en-US" w:bidi="en-US"/>
    </w:rPr>
  </w:style>
  <w:style w:type="paragraph" w:styleId="11342" w:customStyle="1">
    <w:name w:val="xl259"/>
    <w:basedOn w:val="10533"/>
    <w:qFormat/>
    <w:pPr>
      <w:pBdr>
        <w:left w:val="single" w:color="000000" w:sz="8" w:space="0"/>
      </w:pBdr>
      <w:spacing w:afterAutospacing="1" w:beforeAutospacing="1" w:line="360" w:lineRule="auto"/>
      <w:ind/>
    </w:pPr>
    <w:rPr>
      <w:rFonts w:ascii="Calibri" w:hAnsi="Calibri"/>
      <w:lang w:val="en-US" w:bidi="en-US"/>
    </w:rPr>
  </w:style>
  <w:style w:type="paragraph" w:styleId="11343" w:customStyle="1">
    <w:name w:val="xl260"/>
    <w:basedOn w:val="10533"/>
    <w:qFormat/>
    <w:pPr>
      <w:pBdr>
        <w:top w:val="single" w:color="000000" w:sz="4" w:space="0"/>
        <w:bottom w:val="single" w:color="000000" w:sz="8" w:space="0"/>
        <w:right w:val="single" w:color="000000" w:sz="4" w:space="0"/>
      </w:pBdr>
      <w:spacing w:afterAutospacing="1" w:beforeAutospacing="1" w:line="360" w:lineRule="auto"/>
      <w:ind/>
      <w:jc w:val="center"/>
    </w:pPr>
    <w:rPr>
      <w:rFonts w:ascii="Calibri" w:hAnsi="Calibri"/>
      <w:b/>
      <w:bCs/>
      <w:lang w:val="en-US" w:bidi="en-US"/>
    </w:rPr>
  </w:style>
  <w:style w:type="paragraph" w:styleId="11344" w:customStyle="1">
    <w:name w:val="xl261"/>
    <w:basedOn w:val="10533"/>
    <w:qFormat/>
    <w:pPr>
      <w:pBdr>
        <w:top w:val="single" w:color="000000" w:sz="4" w:space="0"/>
        <w:left w:val="single" w:color="000000" w:sz="8" w:space="0"/>
        <w:bottom w:val="single" w:color="000000" w:sz="8" w:space="0"/>
      </w:pBdr>
      <w:spacing w:afterAutospacing="1" w:beforeAutospacing="1" w:line="360" w:lineRule="auto"/>
      <w:ind/>
      <w:jc w:val="center"/>
    </w:pPr>
    <w:rPr>
      <w:rFonts w:ascii="Calibri" w:hAnsi="Calibri"/>
      <w:lang w:val="en-US" w:bidi="en-US"/>
    </w:rPr>
  </w:style>
  <w:style w:type="paragraph" w:styleId="11345" w:customStyle="1">
    <w:name w:val="xl262"/>
    <w:basedOn w:val="10533"/>
    <w:qFormat/>
    <w:pPr>
      <w:pBdr>
        <w:top w:val="single" w:color="000000" w:sz="4" w:space="0"/>
        <w:bottom w:val="single" w:color="000000" w:sz="8" w:space="0"/>
        <w:right w:val="single" w:color="000000" w:sz="4" w:space="0"/>
      </w:pBdr>
      <w:spacing w:afterAutospacing="1" w:beforeAutospacing="1" w:line="360" w:lineRule="auto"/>
      <w:ind/>
    </w:pPr>
    <w:rPr>
      <w:rFonts w:ascii="Calibri" w:hAnsi="Calibri"/>
      <w:lang w:val="en-US" w:bidi="en-US"/>
    </w:rPr>
  </w:style>
  <w:style w:type="paragraph" w:styleId="11346" w:customStyle="1">
    <w:name w:val="xl263"/>
    <w:basedOn w:val="10533"/>
    <w:qFormat/>
    <w:pPr>
      <w:pBdr>
        <w:top w:val="single" w:color="000000" w:sz="8" w:space="0"/>
      </w:pBdr>
      <w:spacing w:afterAutospacing="1" w:beforeAutospacing="1" w:line="360" w:lineRule="auto"/>
      <w:ind/>
    </w:pPr>
    <w:rPr>
      <w:rFonts w:ascii="Calibri" w:hAnsi="Calibri"/>
      <w:b/>
      <w:bCs/>
      <w:lang w:val="en-US" w:bidi="en-US"/>
    </w:rPr>
  </w:style>
  <w:style w:type="paragraph" w:styleId="11347" w:customStyle="1">
    <w:name w:val="xl264"/>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48" w:customStyle="1">
    <w:name w:val="xl265"/>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49" w:customStyle="1">
    <w:name w:val="xl266"/>
    <w:basedOn w:val="10533"/>
    <w:qFormat/>
    <w:pPr>
      <w:pBdr>
        <w:top w:val="single" w:color="000000" w:sz="8" w:space="0"/>
        <w:bottom w:val="single" w:color="000000" w:sz="4" w:space="0"/>
      </w:pBdr>
      <w:spacing w:afterAutospacing="1" w:beforeAutospacing="1" w:line="360" w:lineRule="auto"/>
      <w:ind/>
    </w:pPr>
    <w:rPr>
      <w:rFonts w:ascii="Calibri" w:hAnsi="Calibri"/>
      <w:lang w:val="en-US" w:bidi="en-US"/>
    </w:rPr>
  </w:style>
  <w:style w:type="paragraph" w:styleId="11350" w:customStyle="1">
    <w:name w:val="xl267"/>
    <w:basedOn w:val="10533"/>
    <w:qFormat/>
    <w:pPr>
      <w:pBdr>
        <w:top w:val="single" w:color="000000" w:sz="8" w:space="0"/>
        <w:right w:val="single" w:color="000000" w:sz="4" w:space="0"/>
      </w:pBdr>
      <w:spacing w:afterAutospacing="1" w:beforeAutospacing="1" w:line="360" w:lineRule="auto"/>
      <w:ind/>
    </w:pPr>
    <w:rPr>
      <w:rFonts w:ascii="Calibri" w:hAnsi="Calibri"/>
      <w:lang w:val="en-US" w:bidi="en-US"/>
    </w:rPr>
  </w:style>
  <w:style w:type="paragraph" w:styleId="11351" w:customStyle="1">
    <w:name w:val="xl268"/>
    <w:basedOn w:val="10533"/>
    <w:qFormat/>
    <w:pPr>
      <w:pBdr>
        <w:top w:val="single" w:color="000000" w:sz="8"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52" w:customStyle="1">
    <w:name w:val="xl269"/>
    <w:basedOn w:val="10533"/>
    <w:qFormat/>
    <w:pPr>
      <w:pBdr/>
      <w:spacing w:afterAutospacing="1" w:beforeAutospacing="1" w:line="360" w:lineRule="auto"/>
      <w:ind/>
    </w:pPr>
    <w:rPr>
      <w:rFonts w:ascii="Calibri" w:hAnsi="Calibri"/>
      <w:b/>
      <w:bCs/>
      <w:lang w:val="en-US" w:bidi="en-US"/>
    </w:rPr>
  </w:style>
  <w:style w:type="paragraph" w:styleId="11353" w:customStyle="1">
    <w:name w:val="xl270"/>
    <w:basedOn w:val="10533"/>
    <w:qFormat/>
    <w:pPr>
      <w:pBdr/>
      <w:spacing w:afterAutospacing="1" w:beforeAutospacing="1" w:line="360" w:lineRule="auto"/>
      <w:ind/>
    </w:pPr>
    <w:rPr>
      <w:rFonts w:ascii="Calibri" w:hAnsi="Calibri"/>
      <w:b/>
      <w:bCs/>
      <w:lang w:val="en-US" w:bidi="en-US"/>
    </w:rPr>
  </w:style>
  <w:style w:type="paragraph" w:styleId="11354" w:customStyle="1">
    <w:name w:val="xl271"/>
    <w:basedOn w:val="10533"/>
    <w:qFormat/>
    <w:pPr>
      <w:pBdr>
        <w:right w:val="single" w:color="000000" w:sz="4" w:space="0"/>
      </w:pBdr>
      <w:spacing w:afterAutospacing="1" w:beforeAutospacing="1" w:line="360" w:lineRule="auto"/>
      <w:ind/>
    </w:pPr>
    <w:rPr>
      <w:rFonts w:ascii="Calibri" w:hAnsi="Calibri"/>
      <w:lang w:val="en-US" w:bidi="en-US"/>
    </w:rPr>
  </w:style>
  <w:style w:type="paragraph" w:styleId="11355" w:customStyle="1">
    <w:name w:val="xl272"/>
    <w:basedOn w:val="10533"/>
    <w:qFormat/>
    <w:pPr>
      <w:pBdr>
        <w:right w:val="single" w:color="000000" w:sz="4" w:space="0"/>
      </w:pBdr>
      <w:spacing w:afterAutospacing="1" w:beforeAutospacing="1" w:line="360" w:lineRule="auto"/>
      <w:ind/>
    </w:pPr>
    <w:rPr>
      <w:rFonts w:ascii="Calibri" w:hAnsi="Calibri"/>
      <w:lang w:val="en-US" w:bidi="en-US"/>
    </w:rPr>
  </w:style>
  <w:style w:type="paragraph" w:styleId="11356" w:customStyle="1">
    <w:name w:val="xl273"/>
    <w:basedOn w:val="10533"/>
    <w:qFormat/>
    <w:pPr>
      <w:pBdr>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57" w:customStyle="1">
    <w:name w:val="xl274"/>
    <w:basedOn w:val="10533"/>
    <w:qFormat/>
    <w:pPr>
      <w:pBdr>
        <w:top w:val="single" w:color="000000" w:sz="8"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358" w:customStyle="1">
    <w:name w:val="xl275"/>
    <w:basedOn w:val="10533"/>
    <w:qFormat/>
    <w:pPr>
      <w:pBdr>
        <w:top w:val="single" w:color="000000" w:sz="8" w:space="0"/>
      </w:pBdr>
      <w:spacing w:afterAutospacing="1" w:beforeAutospacing="1" w:line="360" w:lineRule="auto"/>
      <w:ind/>
      <w:jc w:val="center"/>
    </w:pPr>
    <w:rPr>
      <w:rFonts w:ascii="Calibri" w:hAnsi="Calibri"/>
      <w:b/>
      <w:bCs/>
      <w:lang w:val="en-US" w:bidi="en-US"/>
    </w:rPr>
  </w:style>
  <w:style w:type="paragraph" w:styleId="11359" w:customStyle="1">
    <w:name w:val="xl276"/>
    <w:basedOn w:val="10533"/>
    <w:qFormat/>
    <w:pPr>
      <w:pBdr>
        <w:top w:val="single" w:color="000000" w:sz="8" w:space="0"/>
        <w:right w:val="single" w:color="000000" w:sz="4" w:space="0"/>
      </w:pBdr>
      <w:spacing w:afterAutospacing="1" w:beforeAutospacing="1" w:line="360" w:lineRule="auto"/>
      <w:ind/>
      <w:jc w:val="center"/>
    </w:pPr>
    <w:rPr>
      <w:rFonts w:ascii="Calibri" w:hAnsi="Calibri"/>
      <w:b/>
      <w:bCs/>
      <w:lang w:val="en-US" w:bidi="en-US"/>
    </w:rPr>
  </w:style>
  <w:style w:type="paragraph" w:styleId="11360" w:customStyle="1">
    <w:name w:val="xl277"/>
    <w:basedOn w:val="10533"/>
    <w:qFormat/>
    <w:pPr>
      <w:pBdr/>
      <w:spacing w:afterAutospacing="1" w:beforeAutospacing="1" w:line="360" w:lineRule="auto"/>
      <w:ind/>
    </w:pPr>
    <w:rPr>
      <w:rFonts w:ascii="Arial CYR" w:hAnsi="Arial CYR" w:cs="Arial CYR"/>
      <w:b/>
      <w:bCs/>
      <w:i/>
      <w:iCs/>
      <w:sz w:val="16"/>
      <w:szCs w:val="16"/>
      <w:lang w:val="en-US" w:bidi="en-US"/>
    </w:rPr>
  </w:style>
  <w:style w:type="paragraph" w:styleId="11361" w:customStyle="1">
    <w:name w:val="xl278"/>
    <w:basedOn w:val="10533"/>
    <w:qFormat/>
    <w:pPr>
      <w:pBdr>
        <w:right w:val="single" w:color="000000" w:sz="4" w:space="0"/>
      </w:pBdr>
      <w:spacing w:afterAutospacing="1" w:beforeAutospacing="1" w:line="360" w:lineRule="auto"/>
      <w:ind/>
    </w:pPr>
    <w:rPr>
      <w:rFonts w:ascii="Arial CYR" w:hAnsi="Arial CYR" w:cs="Arial CYR"/>
      <w:b/>
      <w:bCs/>
      <w:i/>
      <w:iCs/>
      <w:lang w:val="en-US" w:bidi="en-US"/>
    </w:rPr>
  </w:style>
  <w:style w:type="paragraph" w:styleId="11362" w:customStyle="1">
    <w:name w:val="xl279"/>
    <w:basedOn w:val="10533"/>
    <w:qFormat/>
    <w:pPr>
      <w:pBdr>
        <w:right w:val="single" w:color="000000" w:sz="8" w:space="0"/>
      </w:pBdr>
      <w:spacing w:afterAutospacing="1" w:beforeAutospacing="1" w:line="360" w:lineRule="auto"/>
      <w:ind/>
    </w:pPr>
    <w:rPr>
      <w:rFonts w:ascii="Calibri" w:hAnsi="Calibri"/>
      <w:lang w:val="en-US" w:bidi="en-US"/>
    </w:rPr>
  </w:style>
  <w:style w:type="paragraph" w:styleId="11363" w:customStyle="1">
    <w:name w:val="xl280"/>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64" w:customStyle="1">
    <w:name w:val="xl281"/>
    <w:basedOn w:val="10533"/>
    <w:qFormat/>
    <w:pPr>
      <w:pBdr>
        <w:left w:val="single" w:color="000000" w:sz="8" w:space="0"/>
      </w:pBdr>
      <w:shd w:val="clear" w:color="000000" w:fill="00b0f0"/>
      <w:spacing w:afterAutospacing="1" w:beforeAutospacing="1" w:line="360" w:lineRule="auto"/>
      <w:ind/>
    </w:pPr>
    <w:rPr>
      <w:rFonts w:ascii="Calibri" w:hAnsi="Calibri"/>
      <w:lang w:val="en-US" w:bidi="en-US"/>
    </w:rPr>
  </w:style>
  <w:style w:type="paragraph" w:styleId="11365" w:customStyle="1">
    <w:name w:val="xl282"/>
    <w:basedOn w:val="10533"/>
    <w:qFormat/>
    <w:pPr>
      <w:pBdr>
        <w:left w:val="single" w:color="000000" w:sz="8" w:space="0"/>
        <w:bottom w:val="single" w:color="000000" w:sz="4" w:space="0"/>
      </w:pBdr>
      <w:spacing w:afterAutospacing="1" w:beforeAutospacing="1" w:line="360" w:lineRule="auto"/>
      <w:ind/>
    </w:pPr>
    <w:rPr>
      <w:rFonts w:ascii="Calibri" w:hAnsi="Calibri"/>
      <w:lang w:val="en-US" w:bidi="en-US"/>
    </w:rPr>
  </w:style>
  <w:style w:type="paragraph" w:styleId="11366" w:customStyle="1">
    <w:name w:val="xl283"/>
    <w:basedOn w:val="10533"/>
    <w:qFormat/>
    <w:pPr>
      <w:pBdr>
        <w:top w:val="single" w:color="000000" w:sz="8"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67" w:customStyle="1">
    <w:name w:val="xl284"/>
    <w:basedOn w:val="10533"/>
    <w:qFormat/>
    <w:pPr>
      <w:pBdr>
        <w:left w:val="single" w:color="000000" w:sz="8" w:space="0"/>
        <w:bottom w:val="single" w:color="000000" w:sz="8" w:space="0"/>
      </w:pBdr>
      <w:spacing w:afterAutospacing="1" w:beforeAutospacing="1" w:line="360" w:lineRule="auto"/>
      <w:ind/>
    </w:pPr>
    <w:rPr>
      <w:rFonts w:ascii="Calibri" w:hAnsi="Calibri"/>
      <w:lang w:val="en-US" w:bidi="en-US"/>
    </w:rPr>
  </w:style>
  <w:style w:type="paragraph" w:styleId="11368" w:customStyle="1">
    <w:name w:val="xl285"/>
    <w:basedOn w:val="10533"/>
    <w:qFormat/>
    <w:pPr>
      <w:pBdr>
        <w:left w:val="single" w:color="000000" w:sz="4" w:space="0"/>
        <w:bottom w:val="single" w:color="000000" w:sz="8" w:space="0"/>
        <w:right w:val="single" w:color="000000" w:sz="8" w:space="0"/>
      </w:pBdr>
      <w:spacing w:afterAutospacing="1" w:beforeAutospacing="1" w:line="360" w:lineRule="auto"/>
      <w:ind/>
    </w:pPr>
    <w:rPr>
      <w:rFonts w:ascii="Calibri" w:hAnsi="Calibri"/>
      <w:b/>
      <w:bCs/>
      <w:i/>
      <w:iCs/>
      <w:lang w:val="en-US" w:bidi="en-US"/>
    </w:rPr>
  </w:style>
  <w:style w:type="paragraph" w:styleId="11369" w:customStyle="1">
    <w:name w:val="xl286"/>
    <w:basedOn w:val="10533"/>
    <w:qFormat/>
    <w:pPr>
      <w:pBdr>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70" w:customStyle="1">
    <w:name w:val="xl287"/>
    <w:basedOn w:val="10533"/>
    <w:qFormat/>
    <w:pPr>
      <w:pBdr>
        <w:top w:val="single" w:color="000000" w:sz="4" w:space="0"/>
        <w:left w:val="single" w:color="000000" w:sz="8" w:space="0"/>
        <w:bottom w:val="single" w:color="000000" w:sz="8" w:space="0"/>
      </w:pBdr>
      <w:spacing w:afterAutospacing="1" w:beforeAutospacing="1" w:line="360" w:lineRule="auto"/>
      <w:ind/>
    </w:pPr>
    <w:rPr>
      <w:rFonts w:ascii="Calibri" w:hAnsi="Calibri"/>
      <w:lang w:val="en-US" w:bidi="en-US"/>
    </w:rPr>
  </w:style>
  <w:style w:type="paragraph" w:styleId="11371" w:customStyle="1">
    <w:name w:val="xl288"/>
    <w:basedOn w:val="10533"/>
    <w:qFormat/>
    <w:pPr>
      <w:pBdr>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72" w:customStyle="1">
    <w:name w:val="xl289"/>
    <w:basedOn w:val="10533"/>
    <w:qFormat/>
    <w:pPr>
      <w:pBdr>
        <w:top w:val="single" w:color="000000" w:sz="4" w:space="0"/>
        <w:left w:val="single" w:color="000000" w:sz="4" w:space="0"/>
        <w:bottom w:val="single" w:color="000000" w:sz="8" w:space="0"/>
        <w:right w:val="single" w:color="000000" w:sz="8" w:space="0"/>
      </w:pBdr>
      <w:spacing w:afterAutospacing="1" w:beforeAutospacing="1" w:line="360" w:lineRule="auto"/>
      <w:ind/>
    </w:pPr>
    <w:rPr>
      <w:rFonts w:ascii="Calibri" w:hAnsi="Calibri"/>
      <w:b/>
      <w:bCs/>
      <w:i/>
      <w:iCs/>
      <w:lang w:val="en-US" w:bidi="en-US"/>
    </w:rPr>
  </w:style>
  <w:style w:type="paragraph" w:styleId="11373" w:customStyle="1">
    <w:name w:val="xl290"/>
    <w:basedOn w:val="10533"/>
    <w:qFormat/>
    <w:pPr>
      <w:pBdr>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74" w:customStyle="1">
    <w:name w:val="xl291"/>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75" w:customStyle="1">
    <w:name w:val="xl292"/>
    <w:basedOn w:val="10533"/>
    <w:qFormat/>
    <w:pPr>
      <w:pBdr>
        <w:top w:val="single" w:color="000000" w:sz="4"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76" w:customStyle="1">
    <w:name w:val="xl293"/>
    <w:basedOn w:val="10533"/>
    <w:qFormat/>
    <w:pPr>
      <w:pBdr>
        <w:top w:val="single" w:color="000000" w:sz="4" w:space="0"/>
        <w:left w:val="single" w:color="000000" w:sz="4" w:space="0"/>
        <w:right w:val="single" w:color="000000" w:sz="8" w:space="0"/>
      </w:pBdr>
      <w:spacing w:afterAutospacing="1" w:beforeAutospacing="1" w:line="360" w:lineRule="auto"/>
      <w:ind/>
    </w:pPr>
    <w:rPr>
      <w:rFonts w:ascii="Calibri" w:hAnsi="Calibri"/>
      <w:b/>
      <w:bCs/>
      <w:i/>
      <w:iCs/>
      <w:lang w:val="en-US" w:bidi="en-US"/>
    </w:rPr>
  </w:style>
  <w:style w:type="paragraph" w:styleId="11377" w:customStyle="1">
    <w:name w:val="xl294"/>
    <w:basedOn w:val="10533"/>
    <w:qFormat/>
    <w:pPr>
      <w:pBdr>
        <w:top w:val="single" w:color="000000" w:sz="8" w:space="0"/>
        <w:right w:val="single" w:color="000000" w:sz="8" w:space="0"/>
      </w:pBdr>
      <w:spacing w:afterAutospacing="1" w:beforeAutospacing="1" w:line="360" w:lineRule="auto"/>
      <w:ind/>
    </w:pPr>
    <w:rPr>
      <w:rFonts w:ascii="Calibri" w:hAnsi="Calibri"/>
      <w:lang w:val="en-US" w:bidi="en-US"/>
    </w:rPr>
  </w:style>
  <w:style w:type="paragraph" w:styleId="11378" w:customStyle="1">
    <w:name w:val="xl295"/>
    <w:basedOn w:val="10533"/>
    <w:qFormat/>
    <w:pPr>
      <w:pBdr>
        <w:right w:val="single" w:color="000000" w:sz="8" w:space="0"/>
      </w:pBdr>
      <w:spacing w:afterAutospacing="1" w:beforeAutospacing="1" w:line="360" w:lineRule="auto"/>
      <w:ind/>
    </w:pPr>
    <w:rPr>
      <w:rFonts w:ascii="Calibri" w:hAnsi="Calibri"/>
      <w:lang w:val="en-US" w:bidi="en-US"/>
    </w:rPr>
  </w:style>
  <w:style w:type="paragraph" w:styleId="11379" w:customStyle="1">
    <w:name w:val="xl296"/>
    <w:basedOn w:val="10533"/>
    <w:qFormat/>
    <w:pPr>
      <w:pBdr>
        <w:left w:val="single" w:color="000000" w:sz="8" w:space="0"/>
      </w:pBdr>
      <w:spacing w:afterAutospacing="1" w:beforeAutospacing="1" w:line="360" w:lineRule="auto"/>
      <w:ind/>
      <w:jc w:val="center"/>
    </w:pPr>
    <w:rPr>
      <w:rFonts w:ascii="Calibri" w:hAnsi="Calibri"/>
      <w:lang w:val="en-US" w:bidi="en-US"/>
    </w:rPr>
  </w:style>
  <w:style w:type="paragraph" w:styleId="11380" w:customStyle="1">
    <w:name w:val="xl297"/>
    <w:basedOn w:val="10533"/>
    <w:qFormat/>
    <w:pPr>
      <w:pBdr>
        <w:left w:val="single" w:color="000000" w:sz="4" w:space="0"/>
        <w:bottom w:val="single" w:color="000000" w:sz="4" w:space="0"/>
        <w:right w:val="single" w:color="000000" w:sz="8" w:space="0"/>
      </w:pBdr>
      <w:spacing w:afterAutospacing="1" w:beforeAutospacing="1" w:line="360" w:lineRule="auto"/>
      <w:ind/>
      <w:jc w:val="right"/>
    </w:pPr>
    <w:rPr>
      <w:rFonts w:ascii="Calibri" w:hAnsi="Calibri"/>
      <w:lang w:val="en-US" w:bidi="en-US"/>
    </w:rPr>
  </w:style>
  <w:style w:type="paragraph" w:styleId="11381" w:customStyle="1">
    <w:name w:val="xl298"/>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right"/>
    </w:pPr>
    <w:rPr>
      <w:rFonts w:ascii="Calibri" w:hAnsi="Calibri"/>
      <w:lang w:val="en-US" w:bidi="en-US"/>
    </w:rPr>
  </w:style>
  <w:style w:type="paragraph" w:styleId="11382" w:customStyle="1">
    <w:name w:val="xl299"/>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right"/>
    </w:pPr>
    <w:rPr>
      <w:rFonts w:ascii="Calibri" w:hAnsi="Calibri"/>
      <w:lang w:val="en-US" w:bidi="en-US"/>
    </w:rPr>
  </w:style>
  <w:style w:type="paragraph" w:styleId="11383" w:customStyle="1">
    <w:name w:val="xl300"/>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right"/>
    </w:pPr>
    <w:rPr>
      <w:rFonts w:ascii="Calibri" w:hAnsi="Calibri"/>
      <w:lang w:val="en-US" w:bidi="en-US"/>
    </w:rPr>
  </w:style>
  <w:style w:type="paragraph" w:styleId="11384" w:customStyle="1">
    <w:name w:val="xl301"/>
    <w:basedOn w:val="10533"/>
    <w:qFormat/>
    <w:pPr>
      <w:pBdr>
        <w:top w:val="single" w:color="000000" w:sz="4"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85" w:customStyle="1">
    <w:name w:val="xl302"/>
    <w:basedOn w:val="10533"/>
    <w:qFormat/>
    <w:pPr>
      <w:pBdr>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86" w:customStyle="1">
    <w:name w:val="xl303"/>
    <w:basedOn w:val="10533"/>
    <w:qFormat/>
    <w:pPr>
      <w:pBdr>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87" w:customStyle="1">
    <w:name w:val="xl304"/>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right"/>
    </w:pPr>
    <w:rPr>
      <w:rFonts w:ascii="Calibri" w:hAnsi="Calibri"/>
      <w:lang w:val="en-US" w:bidi="en-US"/>
    </w:rPr>
  </w:style>
  <w:style w:type="paragraph" w:styleId="11388" w:customStyle="1">
    <w:name w:val="xl305"/>
    <w:basedOn w:val="10533"/>
    <w:qFormat/>
    <w:pPr>
      <w:pBdr>
        <w:left w:val="single" w:color="000000" w:sz="8" w:space="0"/>
      </w:pBdr>
      <w:shd w:val="clear" w:color="000000" w:fill="ffffff"/>
      <w:spacing w:afterAutospacing="1" w:beforeAutospacing="1" w:line="360" w:lineRule="auto"/>
      <w:ind/>
      <w:jc w:val="center"/>
    </w:pPr>
    <w:rPr>
      <w:rFonts w:ascii="Calibri" w:hAnsi="Calibri"/>
      <w:lang w:val="en-US" w:bidi="en-US"/>
    </w:rPr>
  </w:style>
  <w:style w:type="paragraph" w:styleId="11389" w:customStyle="1">
    <w:name w:val="xl306"/>
    <w:basedOn w:val="10533"/>
    <w:qFormat/>
    <w:pPr>
      <w:pBdr>
        <w:left w:val="single" w:color="000000" w:sz="8" w:space="0"/>
      </w:pBdr>
      <w:spacing w:afterAutospacing="1" w:beforeAutospacing="1" w:line="360" w:lineRule="auto"/>
      <w:ind/>
      <w:jc w:val="center"/>
    </w:pPr>
    <w:rPr>
      <w:rFonts w:ascii="Calibri" w:hAnsi="Calibri"/>
      <w:lang w:val="en-US" w:bidi="en-US"/>
    </w:rPr>
  </w:style>
  <w:style w:type="paragraph" w:styleId="11390" w:customStyle="1">
    <w:name w:val="xl307"/>
    <w:basedOn w:val="10533"/>
    <w:qFormat/>
    <w:pPr>
      <w:pBdr>
        <w:top w:val="single" w:color="000000" w:sz="4" w:space="0"/>
        <w:left w:val="single" w:color="000000" w:sz="4" w:space="0"/>
        <w:right w:val="single" w:color="000000" w:sz="8" w:space="0"/>
      </w:pBdr>
      <w:spacing w:afterAutospacing="1" w:beforeAutospacing="1" w:line="360" w:lineRule="auto"/>
      <w:ind/>
      <w:jc w:val="right"/>
    </w:pPr>
    <w:rPr>
      <w:rFonts w:ascii="Calibri" w:hAnsi="Calibri"/>
      <w:lang w:val="en-US" w:bidi="en-US"/>
    </w:rPr>
  </w:style>
  <w:style w:type="paragraph" w:styleId="11391" w:customStyle="1">
    <w:name w:val="xl308"/>
    <w:basedOn w:val="10533"/>
    <w:qFormat/>
    <w:pPr>
      <w:pBdr>
        <w:top w:val="single" w:color="000000" w:sz="4" w:space="0"/>
        <w:left w:val="single" w:color="000000" w:sz="4" w:space="0"/>
        <w:bottom w:val="single" w:color="000000" w:sz="8" w:space="0"/>
        <w:right w:val="single" w:color="000000" w:sz="8" w:space="0"/>
      </w:pBdr>
      <w:spacing w:afterAutospacing="1" w:beforeAutospacing="1" w:line="360" w:lineRule="auto"/>
      <w:ind/>
      <w:jc w:val="right"/>
    </w:pPr>
    <w:rPr>
      <w:rFonts w:ascii="Calibri" w:hAnsi="Calibri"/>
      <w:b/>
      <w:bCs/>
      <w:i/>
      <w:iCs/>
      <w:lang w:val="en-US" w:bidi="en-US"/>
    </w:rPr>
  </w:style>
  <w:style w:type="paragraph" w:styleId="11392" w:customStyle="1">
    <w:name w:val="xl309"/>
    <w:basedOn w:val="10533"/>
    <w:qFormat/>
    <w:pPr>
      <w:pBdr>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93" w:customStyle="1">
    <w:name w:val="xl310"/>
    <w:basedOn w:val="10533"/>
    <w:qFormat/>
    <w:pPr>
      <w:pBdr>
        <w:top w:val="single" w:color="000000" w:sz="4" w:space="0"/>
        <w:left w:val="single" w:color="000000" w:sz="4" w:space="0"/>
        <w:right w:val="single" w:color="000000" w:sz="8" w:space="0"/>
      </w:pBdr>
      <w:spacing w:afterAutospacing="1" w:beforeAutospacing="1" w:line="360" w:lineRule="auto"/>
      <w:ind/>
      <w:jc w:val="center"/>
    </w:pPr>
    <w:rPr>
      <w:rFonts w:ascii="Calibri" w:hAnsi="Calibri"/>
      <w:lang w:val="en-US" w:bidi="en-US"/>
    </w:rPr>
  </w:style>
  <w:style w:type="paragraph" w:styleId="11394" w:customStyle="1">
    <w:name w:val="xl311"/>
    <w:basedOn w:val="10533"/>
    <w:qFormat/>
    <w:pPr>
      <w:pBdr/>
      <w:spacing w:afterAutospacing="1" w:beforeAutospacing="1" w:line="360" w:lineRule="auto"/>
      <w:ind/>
    </w:pPr>
    <w:rPr>
      <w:rFonts w:ascii="Calibri" w:hAnsi="Calibri"/>
      <w:lang w:val="en-US" w:bidi="en-US"/>
    </w:rPr>
  </w:style>
  <w:style w:type="paragraph" w:styleId="11395" w:customStyle="1">
    <w:name w:val="xl312"/>
    <w:basedOn w:val="10533"/>
    <w:qFormat/>
    <w:pPr>
      <w:pBdr>
        <w:right w:val="single" w:color="000000" w:sz="8" w:space="0"/>
      </w:pBdr>
      <w:spacing w:afterAutospacing="1" w:beforeAutospacing="1" w:line="360" w:lineRule="auto"/>
      <w:ind/>
    </w:pPr>
    <w:rPr>
      <w:rFonts w:ascii="Calibri" w:hAnsi="Calibri"/>
      <w:lang w:val="en-US" w:bidi="en-US"/>
    </w:rPr>
  </w:style>
  <w:style w:type="paragraph" w:styleId="11396" w:customStyle="1">
    <w:name w:val="xl313"/>
    <w:basedOn w:val="10533"/>
    <w:qFormat/>
    <w:pPr>
      <w:pBdr>
        <w:top w:val="single" w:color="000000" w:sz="8" w:space="0"/>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97" w:customStyle="1">
    <w:name w:val="xl314"/>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98" w:customStyle="1">
    <w:name w:val="xl315"/>
    <w:basedOn w:val="10533"/>
    <w:qFormat/>
    <w:pPr>
      <w:pBdr>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399" w:customStyle="1">
    <w:name w:val="xl316"/>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00" w:customStyle="1">
    <w:name w:val="xl317"/>
    <w:basedOn w:val="10533"/>
    <w:qFormat/>
    <w:pPr>
      <w:pBdr>
        <w:left w:val="single" w:color="000000" w:sz="8" w:space="0"/>
      </w:pBdr>
      <w:spacing w:afterAutospacing="1" w:beforeAutospacing="1" w:line="360" w:lineRule="auto"/>
      <w:ind/>
    </w:pPr>
    <w:rPr>
      <w:rFonts w:ascii="Calibri" w:hAnsi="Calibri"/>
      <w:lang w:val="en-US" w:bidi="en-US"/>
    </w:rPr>
  </w:style>
  <w:style w:type="paragraph" w:styleId="11401" w:customStyle="1">
    <w:name w:val="xl318"/>
    <w:basedOn w:val="10533"/>
    <w:qFormat/>
    <w:pPr>
      <w:pBdr>
        <w:right w:val="single" w:color="000000" w:sz="8" w:space="0"/>
      </w:pBdr>
      <w:spacing w:afterAutospacing="1" w:beforeAutospacing="1" w:line="360" w:lineRule="auto"/>
      <w:ind/>
    </w:pPr>
    <w:rPr>
      <w:rFonts w:ascii="Calibri" w:hAnsi="Calibri"/>
      <w:lang w:val="en-US" w:bidi="en-US"/>
    </w:rPr>
  </w:style>
  <w:style w:type="paragraph" w:styleId="11402" w:customStyle="1">
    <w:name w:val="xl319"/>
    <w:basedOn w:val="10533"/>
    <w:qFormat/>
    <w:pPr>
      <w:pBdr>
        <w:top w:val="single" w:color="000000" w:sz="8"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03" w:customStyle="1">
    <w:name w:val="xl320"/>
    <w:basedOn w:val="10533"/>
    <w:qFormat/>
    <w:pPr>
      <w:pBdr>
        <w:top w:val="single" w:color="000000" w:sz="8" w:space="0"/>
        <w:left w:val="single" w:color="000000" w:sz="8" w:space="0"/>
        <w:bottom w:val="single" w:color="000000" w:sz="4" w:space="0"/>
      </w:pBdr>
      <w:spacing w:afterAutospacing="1" w:beforeAutospacing="1" w:line="360" w:lineRule="auto"/>
      <w:ind/>
    </w:pPr>
    <w:rPr>
      <w:rFonts w:ascii="Calibri" w:hAnsi="Calibri"/>
      <w:lang w:val="en-US" w:bidi="en-US"/>
    </w:rPr>
  </w:style>
  <w:style w:type="paragraph" w:styleId="11404" w:customStyle="1">
    <w:name w:val="xl321"/>
    <w:basedOn w:val="10533"/>
    <w:qFormat/>
    <w:pPr>
      <w:pBdr>
        <w:bottom w:val="single" w:color="000000" w:sz="8" w:space="0"/>
        <w:right w:val="single" w:color="000000" w:sz="4" w:space="0"/>
      </w:pBdr>
      <w:spacing w:afterAutospacing="1" w:beforeAutospacing="1" w:line="360" w:lineRule="auto"/>
      <w:ind/>
    </w:pPr>
    <w:rPr>
      <w:rFonts w:ascii="Calibri" w:hAnsi="Calibri"/>
      <w:lang w:val="en-US" w:bidi="en-US"/>
    </w:rPr>
  </w:style>
  <w:style w:type="paragraph" w:styleId="11405" w:customStyle="1">
    <w:name w:val="xl322"/>
    <w:basedOn w:val="10533"/>
    <w:qFormat/>
    <w:pPr>
      <w:pBdr>
        <w:top w:val="single" w:color="000000" w:sz="4" w:space="0"/>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06" w:customStyle="1">
    <w:name w:val="xl323"/>
    <w:basedOn w:val="10533"/>
    <w:qFormat/>
    <w:pPr>
      <w:pBdr>
        <w:top w:val="single" w:color="000000" w:sz="4" w:space="0"/>
        <w:left w:val="single" w:color="000000" w:sz="4" w:space="0"/>
      </w:pBdr>
      <w:shd w:val="clear" w:color="000000" w:fill="bfbfbf"/>
      <w:spacing w:afterAutospacing="1" w:beforeAutospacing="1" w:line="360" w:lineRule="auto"/>
      <w:ind/>
      <w:jc w:val="center"/>
    </w:pPr>
    <w:rPr>
      <w:rFonts w:ascii="Calibri" w:hAnsi="Calibri"/>
      <w:b/>
      <w:bCs/>
      <w:lang w:val="en-US" w:bidi="en-US"/>
    </w:rPr>
  </w:style>
  <w:style w:type="paragraph" w:styleId="11407" w:customStyle="1">
    <w:name w:val="xl324"/>
    <w:basedOn w:val="10533"/>
    <w:qFormat/>
    <w:pPr>
      <w:pBdr>
        <w:top w:val="single" w:color="000000" w:sz="4" w:space="0"/>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08" w:customStyle="1">
    <w:name w:val="xl325"/>
    <w:basedOn w:val="10533"/>
    <w:qFormat/>
    <w:pPr>
      <w:pBdr>
        <w:top w:val="single" w:color="000000" w:sz="4" w:space="0"/>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09" w:customStyle="1">
    <w:name w:val="xl326"/>
    <w:basedOn w:val="10533"/>
    <w:qFormat/>
    <w:pPr>
      <w:pBdr>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0" w:customStyle="1">
    <w:name w:val="xl327"/>
    <w:basedOn w:val="10533"/>
    <w:qFormat/>
    <w:pPr>
      <w:pBdr>
        <w:lef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1" w:customStyle="1">
    <w:name w:val="xl328"/>
    <w:basedOn w:val="10533"/>
    <w:qFormat/>
    <w:pPr>
      <w:pBdr>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2" w:customStyle="1">
    <w:name w:val="xl329"/>
    <w:basedOn w:val="10533"/>
    <w:qFormat/>
    <w:pPr>
      <w:pBdr>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3" w:customStyle="1">
    <w:name w:val="xl330"/>
    <w:basedOn w:val="10533"/>
    <w:qFormat/>
    <w:pPr>
      <w:pBdr>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4" w:customStyle="1">
    <w:name w:val="xl331"/>
    <w:basedOn w:val="10533"/>
    <w:qFormat/>
    <w:pPr>
      <w:pBdr>
        <w:left w:val="single" w:color="000000" w:sz="4" w:space="0"/>
      </w:pBdr>
      <w:shd w:val="clear" w:color="000000" w:fill="bfbfbf"/>
      <w:spacing w:afterAutospacing="1" w:beforeAutospacing="1" w:line="360" w:lineRule="auto"/>
      <w:ind/>
      <w:jc w:val="center"/>
    </w:pPr>
    <w:rPr>
      <w:rFonts w:ascii="Calibri" w:hAnsi="Calibri"/>
      <w:b/>
      <w:bCs/>
      <w:lang w:val="en-US" w:bidi="en-US"/>
    </w:rPr>
  </w:style>
  <w:style w:type="paragraph" w:styleId="11415" w:customStyle="1">
    <w:name w:val="xl332"/>
    <w:basedOn w:val="10533"/>
    <w:qFormat/>
    <w:pPr>
      <w:pBdr>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6" w:customStyle="1">
    <w:name w:val="xl333"/>
    <w:basedOn w:val="10533"/>
    <w:qFormat/>
    <w:pPr>
      <w:pBdr>
        <w:left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7" w:customStyle="1">
    <w:name w:val="xl334"/>
    <w:basedOn w:val="10533"/>
    <w:qFormat/>
    <w:pPr>
      <w:pBdr>
        <w:left w:val="single" w:color="000000" w:sz="4" w:space="0"/>
        <w:bottom w:val="single" w:color="000000" w:sz="4" w:space="0"/>
        <w:right w:val="single" w:color="000000" w:sz="4" w:space="0"/>
      </w:pBdr>
      <w:shd w:val="clear" w:color="000000" w:fill="bfbfbf"/>
      <w:spacing w:afterAutospacing="1" w:beforeAutospacing="1" w:line="360" w:lineRule="auto"/>
      <w:ind/>
      <w:jc w:val="center"/>
    </w:pPr>
    <w:rPr>
      <w:rFonts w:ascii="Calibri" w:hAnsi="Calibri"/>
      <w:lang w:val="en-US" w:bidi="en-US"/>
    </w:rPr>
  </w:style>
  <w:style w:type="paragraph" w:styleId="11418" w:customStyle="1">
    <w:name w:val="xl335"/>
    <w:basedOn w:val="10533"/>
    <w:qFormat/>
    <w:pPr>
      <w:pBdr>
        <w:top w:val="single" w:color="000000" w:sz="8"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19" w:customStyle="1">
    <w:name w:val="xl336"/>
    <w:basedOn w:val="10533"/>
    <w:qFormat/>
    <w:pPr>
      <w:pBdr>
        <w:bottom w:val="single" w:color="000000" w:sz="8" w:space="0"/>
        <w:right w:val="single" w:color="000000" w:sz="4" w:space="0"/>
      </w:pBdr>
      <w:spacing w:afterAutospacing="1" w:beforeAutospacing="1" w:line="360" w:lineRule="auto"/>
      <w:ind/>
    </w:pPr>
    <w:rPr>
      <w:rFonts w:ascii="Calibri" w:hAnsi="Calibri"/>
      <w:lang w:val="en-US" w:bidi="en-US"/>
    </w:rPr>
  </w:style>
  <w:style w:type="paragraph" w:styleId="11420" w:customStyle="1">
    <w:name w:val="xl337"/>
    <w:basedOn w:val="10533"/>
    <w:qFormat/>
    <w:pPr>
      <w:pBdr>
        <w:left w:val="single" w:color="000000" w:sz="4" w:space="0"/>
        <w:bottom w:val="single" w:color="000000" w:sz="8" w:space="0"/>
        <w:right w:val="single" w:color="000000" w:sz="4" w:space="0"/>
      </w:pBdr>
      <w:spacing w:afterAutospacing="1" w:beforeAutospacing="1" w:line="360" w:lineRule="auto"/>
      <w:ind/>
      <w:jc w:val="right"/>
    </w:pPr>
    <w:rPr>
      <w:rFonts w:ascii="Calibri" w:hAnsi="Calibri"/>
      <w:b/>
      <w:bCs/>
      <w:i/>
      <w:iCs/>
      <w:lang w:val="en-US" w:bidi="en-US"/>
    </w:rPr>
  </w:style>
  <w:style w:type="paragraph" w:styleId="11421" w:customStyle="1">
    <w:name w:val="xl338"/>
    <w:basedOn w:val="10533"/>
    <w:qFormat/>
    <w:pPr>
      <w:pBdr>
        <w:left w:val="single" w:color="000000" w:sz="4" w:space="0"/>
        <w:bottom w:val="single" w:color="000000" w:sz="8" w:space="0"/>
        <w:right w:val="single" w:color="000000" w:sz="8" w:space="0"/>
      </w:pBdr>
      <w:spacing w:afterAutospacing="1" w:beforeAutospacing="1" w:line="360" w:lineRule="auto"/>
      <w:ind/>
      <w:jc w:val="right"/>
    </w:pPr>
    <w:rPr>
      <w:rFonts w:ascii="Calibri" w:hAnsi="Calibri"/>
      <w:b/>
      <w:bCs/>
      <w:i/>
      <w:iCs/>
      <w:lang w:val="en-US" w:bidi="en-US"/>
    </w:rPr>
  </w:style>
  <w:style w:type="paragraph" w:styleId="11422" w:customStyle="1">
    <w:name w:val="xl339"/>
    <w:basedOn w:val="10533"/>
    <w:qFormat/>
    <w:pPr>
      <w:pBdr>
        <w:top w:val="single" w:color="000000" w:sz="4" w:space="0"/>
        <w:left w:val="single" w:color="000000" w:sz="4" w:space="0"/>
        <w:right w:val="single" w:color="000000" w:sz="4" w:space="0"/>
      </w:pBdr>
      <w:spacing w:afterAutospacing="1" w:beforeAutospacing="1" w:line="360" w:lineRule="auto"/>
      <w:ind/>
      <w:jc w:val="right"/>
    </w:pPr>
    <w:rPr>
      <w:rFonts w:ascii="Calibri" w:hAnsi="Calibri"/>
      <w:lang w:val="en-US" w:bidi="en-US"/>
    </w:rPr>
  </w:style>
  <w:style w:type="paragraph" w:styleId="11423" w:customStyle="1">
    <w:name w:val="xl340"/>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424" w:customStyle="1">
    <w:name w:val="xl341"/>
    <w:basedOn w:val="10533"/>
    <w:qFormat/>
    <w:pPr>
      <w:pBdr>
        <w:top w:val="single" w:color="000000" w:sz="4" w:space="0"/>
        <w:left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25" w:customStyle="1">
    <w:name w:val="xl342"/>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426" w:customStyle="1">
    <w:name w:val="xl343"/>
    <w:basedOn w:val="10533"/>
    <w:qFormat/>
    <w:pPr>
      <w:pBdr>
        <w:top w:val="single" w:color="000000" w:sz="4" w:space="0"/>
        <w:left w:val="single" w:color="000000" w:sz="4" w:space="0"/>
        <w:right w:val="single" w:color="000000" w:sz="4" w:space="0"/>
      </w:pBdr>
      <w:spacing w:afterAutospacing="1" w:beforeAutospacing="1" w:line="360" w:lineRule="auto"/>
      <w:ind/>
    </w:pPr>
    <w:rPr>
      <w:rFonts w:ascii="Calibri" w:hAnsi="Calibri"/>
      <w:lang w:val="en-US" w:bidi="en-US"/>
    </w:rPr>
  </w:style>
  <w:style w:type="paragraph" w:styleId="11427" w:customStyle="1">
    <w:name w:val="xl344"/>
    <w:basedOn w:val="10533"/>
    <w:qFormat/>
    <w:pPr>
      <w:pBdr>
        <w:top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28" w:customStyle="1">
    <w:name w:val="xl345"/>
    <w:basedOn w:val="10533"/>
    <w:qFormat/>
    <w:pPr>
      <w:pBdr>
        <w:top w:val="single" w:color="000000" w:sz="4" w:space="0"/>
        <w:left w:val="single" w:color="000000" w:sz="4" w:space="0"/>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29" w:customStyle="1">
    <w:name w:val="xl346"/>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430" w:customStyle="1">
    <w:name w:val="xl347"/>
    <w:basedOn w:val="10533"/>
    <w:qFormat/>
    <w:pPr>
      <w:pBdr>
        <w:top w:val="single" w:color="000000" w:sz="4" w:space="0"/>
        <w:bottom w:val="single" w:color="000000" w:sz="4" w:space="0"/>
        <w:right w:val="single" w:color="000000" w:sz="4" w:space="0"/>
      </w:pBdr>
      <w:spacing w:afterAutospacing="1" w:beforeAutospacing="1" w:line="360" w:lineRule="auto"/>
      <w:ind/>
    </w:pPr>
    <w:rPr>
      <w:rFonts w:ascii="Calibri" w:hAnsi="Calibri"/>
      <w:lang w:val="en-US" w:bidi="en-US"/>
    </w:rPr>
  </w:style>
  <w:style w:type="paragraph" w:styleId="11431" w:customStyle="1">
    <w:name w:val="xl348"/>
    <w:basedOn w:val="10533"/>
    <w:qFormat/>
    <w:pPr>
      <w:pBdr>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32" w:customStyle="1">
    <w:name w:val="xl349"/>
    <w:basedOn w:val="10533"/>
    <w:qFormat/>
    <w:pPr>
      <w:pBdr>
        <w:bottom w:val="single" w:color="000000" w:sz="4" w:space="0"/>
        <w:right w:val="single" w:color="000000" w:sz="8" w:space="0"/>
      </w:pBdr>
      <w:spacing w:afterAutospacing="1" w:beforeAutospacing="1" w:line="360" w:lineRule="auto"/>
      <w:ind/>
    </w:pPr>
    <w:rPr>
      <w:rFonts w:ascii="Calibri" w:hAnsi="Calibri"/>
      <w:lang w:val="en-US" w:bidi="en-US"/>
    </w:rPr>
  </w:style>
  <w:style w:type="paragraph" w:styleId="11433" w:customStyle="1">
    <w:name w:val="xl350"/>
    <w:basedOn w:val="10533"/>
    <w:qFormat/>
    <w:pPr>
      <w:pBdr>
        <w:left w:val="single" w:color="000000" w:sz="8" w:space="0"/>
        <w:bottom w:val="single" w:color="000000" w:sz="4" w:space="0"/>
      </w:pBdr>
      <w:spacing w:afterAutospacing="1" w:beforeAutospacing="1" w:line="360" w:lineRule="auto"/>
      <w:ind/>
      <w:jc w:val="center"/>
    </w:pPr>
    <w:rPr>
      <w:rFonts w:ascii="Calibri" w:hAnsi="Calibri"/>
      <w:lang w:val="en-US" w:bidi="en-US"/>
    </w:rPr>
  </w:style>
  <w:style w:type="paragraph" w:styleId="11434" w:customStyle="1">
    <w:name w:val="Chapter Subtitle"/>
    <w:basedOn w:val="11233"/>
    <w:qFormat/>
    <w:pPr>
      <w:keepNext w:val="true"/>
      <w:keepLines w:val="true"/>
      <w:pBdr/>
      <w:spacing w:after="0" w:before="60" w:line="240" w:lineRule="auto"/>
      <w:ind w:firstLine="0"/>
      <w:jc w:val="left"/>
    </w:pPr>
    <w:rPr>
      <w:rFonts w:ascii="Arial" w:hAnsi="Arial"/>
      <w:spacing w:val="-16"/>
      <w:sz w:val="32"/>
    </w:rPr>
  </w:style>
  <w:style w:type="paragraph" w:styleId="11435" w:customStyle="1">
    <w:name w:val="A2_list_2"/>
    <w:basedOn w:val="10533"/>
    <w:next w:val="10533"/>
    <w:qFormat/>
    <w:pPr>
      <w:numPr>
        <w:ilvl w:val="1"/>
        <w:numId w:val="7"/>
      </w:numPr>
      <w:pBdr>
        <w:right w:val="single" w:color="000000" w:sz="4" w:space="4"/>
      </w:pBdr>
      <w:tabs>
        <w:tab w:val="clear" w:leader="none" w:pos="708"/>
        <w:tab w:val="left" w:leader="none" w:pos="2880"/>
      </w:tabs>
      <w:spacing w:after="60" w:before="60" w:line="360" w:lineRule="auto"/>
      <w:ind/>
    </w:pPr>
    <w:rPr>
      <w:color w:val="000000"/>
      <w:lang w:val="en-US" w:eastAsia="en-US" w:bidi="en-US"/>
    </w:rPr>
  </w:style>
  <w:style w:type="paragraph" w:styleId="11438" w:customStyle="1">
    <w:name w:val="3 уровень Подзаголовок"/>
    <w:basedOn w:val="10536"/>
    <w:uiPriority w:val="99"/>
    <w:qFormat/>
    <w:pPr>
      <w:keepLines w:val="true"/>
      <w:numPr>
        <w:ilvl w:val="2"/>
        <w:numId w:val="8"/>
      </w:numPr>
      <w:pBdr/>
      <w:spacing w:after="0" w:before="200"/>
      <w:ind/>
    </w:pPr>
    <w:rPr>
      <w:rFonts w:ascii="Arial Unicode MS" w:hAnsi="Arial Unicode MS" w:eastAsia="Arial Unicode MS" w:cs="Arial Unicode MS"/>
      <w:bCs/>
      <w:color w:val="000000"/>
      <w:sz w:val="21"/>
      <w:szCs w:val="21"/>
      <w:lang w:eastAsia="ru-RU"/>
    </w:rPr>
  </w:style>
  <w:style w:type="paragraph" w:styleId="11439">
    <w:name w:val="Revision"/>
    <w:uiPriority w:val="99"/>
    <w:qFormat/>
    <w:pPr>
      <w:widowControl w:val="true"/>
      <w:pBdr/>
      <w:bidi w:val="false"/>
      <w:spacing w:after="200" w:before="0" w:line="276" w:lineRule="auto"/>
      <w:ind/>
      <w:jc w:val="left"/>
    </w:pPr>
    <w:rPr>
      <w:rFonts w:ascii="Calibri" w:hAnsi="Calibri" w:eastAsia="Times New Roman" w:cs="Times New Roman" w:asciiTheme="minorHAnsi" w:hAnsiTheme="minorHAnsi"/>
      <w:color w:val="auto"/>
      <w:sz w:val="22"/>
      <w:szCs w:val="22"/>
      <w:lang w:val="en-US" w:eastAsia="en-US" w:bidi="en-US"/>
    </w:rPr>
  </w:style>
  <w:style w:type="paragraph" w:styleId="11443" w:customStyle="1">
    <w:name w:val="основной"/>
    <w:basedOn w:val="10533"/>
    <w:qFormat/>
    <w:pPr>
      <w:pBdr/>
      <w:spacing/>
      <w:ind w:firstLine="720"/>
      <w:jc w:val="both"/>
    </w:pPr>
    <w:rPr>
      <w:szCs w:val="20"/>
      <w:lang w:val="en-US" w:bidi="en-US"/>
    </w:rPr>
  </w:style>
  <w:style w:type="paragraph" w:styleId="11444" w:customStyle="1">
    <w:name w:val="ConsPlusNonformat"/>
    <w:uiPriority w:val="99"/>
    <w:qFormat/>
    <w:pPr>
      <w:widowControl w:val="true"/>
      <w:pBdr/>
      <w:bidi w:val="false"/>
      <w:spacing w:after="200" w:before="0" w:line="276" w:lineRule="auto"/>
      <w:ind/>
      <w:jc w:val="left"/>
    </w:pPr>
    <w:rPr>
      <w:rFonts w:ascii="Courier New" w:hAnsi="Courier New" w:eastAsia="Times New Roman" w:cs="Courier New"/>
      <w:color w:val="auto"/>
      <w:sz w:val="22"/>
      <w:szCs w:val="22"/>
      <w:lang w:val="en-US" w:eastAsia="en-US" w:bidi="en-US"/>
    </w:rPr>
  </w:style>
  <w:style w:type="paragraph" w:styleId="11445" w:customStyle="1">
    <w:name w:val="ConsPlusTitle"/>
    <w:qFormat/>
    <w:pPr>
      <w:widowControl w:val="false"/>
      <w:pBdr/>
      <w:bidi w:val="false"/>
      <w:spacing w:after="200" w:before="0" w:line="276" w:lineRule="auto"/>
      <w:ind/>
      <w:jc w:val="left"/>
    </w:pPr>
    <w:rPr>
      <w:rFonts w:ascii="Cambria" w:hAnsi="Cambria" w:eastAsia="Times New Roman" w:cs="Times New Roman"/>
      <w:b/>
      <w:bCs/>
      <w:color w:val="auto"/>
      <w:sz w:val="24"/>
      <w:szCs w:val="24"/>
      <w:lang w:val="en-US" w:eastAsia="ru-RU" w:bidi="en-US"/>
    </w:rPr>
  </w:style>
  <w:style w:type="paragraph" w:styleId="11446" w:customStyle="1">
    <w:name w:val="заголовок таблицы"/>
    <w:basedOn w:val="10533"/>
    <w:uiPriority w:val="99"/>
    <w:qFormat/>
    <w:pPr>
      <w:keepNext w:val="true"/>
      <w:keepLines w:val="true"/>
      <w:pBdr/>
      <w:tabs>
        <w:tab w:val="clear" w:leader="none" w:pos="708"/>
        <w:tab w:val="left" w:leader="none" w:pos="1134"/>
      </w:tabs>
      <w:spacing/>
      <w:ind/>
      <w:jc w:val="both"/>
    </w:pPr>
    <w:rPr>
      <w:rFonts w:ascii="Arial" w:hAnsi="Arial" w:cs="Arial"/>
      <w:b/>
      <w:lang w:val="en-US" w:bidi="en-US"/>
    </w:rPr>
  </w:style>
  <w:style w:type="paragraph" w:styleId="11447" w:customStyle="1">
    <w:name w:val="Знак Знак Знак1"/>
    <w:basedOn w:val="10533"/>
    <w:qFormat/>
    <w:pPr>
      <w:pBdr/>
      <w:tabs>
        <w:tab w:val="left" w:leader="none" w:pos="360"/>
        <w:tab w:val="clear" w:leader="none" w:pos="708"/>
      </w:tabs>
      <w:spacing w:after="160" w:before="0" w:line="240" w:lineRule="exact"/>
      <w:ind/>
    </w:pPr>
    <w:rPr>
      <w:rFonts w:ascii="Verdana" w:hAnsi="Verdana" w:cs="Verdana"/>
      <w:sz w:val="20"/>
      <w:szCs w:val="20"/>
      <w:lang w:val="en-US" w:eastAsia="en-US" w:bidi="en-US"/>
    </w:rPr>
  </w:style>
  <w:style w:type="paragraph" w:styleId="11448" w:customStyle="1">
    <w:name w:val="e02"/>
    <w:basedOn w:val="10533"/>
    <w:qFormat/>
    <w:pPr>
      <w:pBdr/>
      <w:spacing w:afterAutospacing="1" w:beforeAutospacing="1"/>
      <w:ind/>
    </w:pPr>
    <w:rPr>
      <w:lang w:val="en-US" w:bidi="en-US"/>
    </w:rPr>
  </w:style>
  <w:style w:type="paragraph" w:styleId="11449" w:customStyle="1">
    <w:name w:val="Default"/>
    <w:qFormat/>
    <w:pPr>
      <w:widowControl w:val="true"/>
      <w:pBdr/>
      <w:bidi w:val="false"/>
      <w:spacing w:after="200" w:before="0" w:line="276" w:lineRule="auto"/>
      <w:ind/>
      <w:jc w:val="left"/>
    </w:pPr>
    <w:rPr>
      <w:rFonts w:ascii="Cambria" w:hAnsi="Cambria" w:eastAsia="Times New Roman" w:cs="Times New Roman"/>
      <w:color w:val="000000"/>
      <w:sz w:val="24"/>
      <w:szCs w:val="24"/>
      <w:lang w:val="en-US" w:eastAsia="en-US" w:bidi="en-US"/>
    </w:rPr>
  </w:style>
  <w:style w:type="paragraph" w:styleId="11450" w:customStyle="1">
    <w:name w:val="ConsPlusCell"/>
    <w:link w:val="10858"/>
    <w:uiPriority w:val="99"/>
    <w:qFormat/>
    <w:pPr>
      <w:widowControl w:val="false"/>
      <w:pBdr/>
      <w:bidi w:val="false"/>
      <w:spacing w:after="200" w:before="0" w:line="276" w:lineRule="auto"/>
      <w:ind/>
      <w:jc w:val="left"/>
    </w:pPr>
    <w:rPr>
      <w:rFonts w:ascii="Arial" w:hAnsi="Arial" w:eastAsia="Times New Roman" w:cs="Arial"/>
      <w:color w:val="auto"/>
      <w:sz w:val="22"/>
      <w:szCs w:val="22"/>
      <w:lang w:val="en-US" w:eastAsia="ru-RU" w:bidi="en-US"/>
    </w:rPr>
  </w:style>
  <w:style w:type="paragraph" w:styleId="11452" w:customStyle="1">
    <w:name w:val="Абзац"/>
    <w:basedOn w:val="10533"/>
    <w:link w:val="10611"/>
    <w:qFormat/>
    <w:pPr>
      <w:pBdr/>
      <w:spacing w:after="60" w:before="0"/>
      <w:ind w:firstLine="680"/>
      <w:jc w:val="both"/>
    </w:pPr>
    <w:rPr>
      <w:lang w:val="en-US" w:eastAsia="en-US" w:bidi="en-US"/>
    </w:rPr>
  </w:style>
  <w:style w:type="paragraph" w:styleId="11453" w:customStyle="1">
    <w:name w:val="Название таблицы"/>
    <w:basedOn w:val="11057"/>
    <w:qFormat/>
    <w:pPr>
      <w:pBdr/>
      <w:spacing/>
      <w:ind/>
    </w:pPr>
    <w:rPr>
      <w:rFonts w:ascii="Calibri" w:hAnsi="Calibri"/>
      <w:szCs w:val="22"/>
    </w:rPr>
  </w:style>
  <w:style w:type="paragraph" w:styleId="11454" w:customStyle="1">
    <w:name w:val="Табличный_центр"/>
    <w:basedOn w:val="10533"/>
    <w:qFormat/>
    <w:pPr>
      <w:pBdr/>
      <w:spacing/>
      <w:ind/>
    </w:pPr>
    <w:rPr>
      <w:lang w:val="en-US" w:bidi="en-US"/>
    </w:rPr>
  </w:style>
  <w:style w:type="paragraph" w:styleId="11455" w:customStyle="1">
    <w:name w:val="Табличный_заголовки"/>
    <w:basedOn w:val="10533"/>
    <w:qFormat/>
    <w:pPr>
      <w:keepNext w:val="true"/>
      <w:keepLines w:val="true"/>
      <w:pBdr/>
      <w:spacing/>
      <w:ind/>
    </w:pPr>
    <w:rPr>
      <w:b/>
      <w:lang w:val="en-US" w:bidi="en-US"/>
    </w:rPr>
  </w:style>
  <w:style w:type="paragraph" w:styleId="11456" w:customStyle="1">
    <w:name w:val="Табличный_слева"/>
    <w:basedOn w:val="10533"/>
    <w:qFormat/>
    <w:pPr>
      <w:pBdr/>
      <w:spacing/>
      <w:ind/>
    </w:pPr>
    <w:rPr>
      <w:lang w:val="en-US" w:bidi="en-US"/>
    </w:rPr>
  </w:style>
  <w:style w:type="paragraph" w:styleId="11459">
    <w:name w:val="Quote"/>
    <w:basedOn w:val="10533"/>
    <w:next w:val="10533"/>
    <w:link w:val="13523"/>
    <w:uiPriority w:val="29"/>
    <w:qFormat/>
    <w:pPr>
      <w:pBdr/>
      <w:spacing/>
      <w:ind/>
    </w:pPr>
    <w:rPr>
      <w:rFonts w:ascii="Calibri" w:hAnsi="Calibri"/>
      <w:i/>
      <w:iCs/>
      <w:color w:val="000000"/>
      <w:lang w:val="en-US" w:eastAsia="en-US" w:bidi="en-US"/>
    </w:rPr>
  </w:style>
  <w:style w:type="paragraph" w:styleId="11460">
    <w:name w:val="Intense Quote"/>
    <w:basedOn w:val="10533"/>
    <w:next w:val="10533"/>
    <w:link w:val="10616"/>
    <w:uiPriority w:val="30"/>
    <w:qFormat/>
    <w:pPr>
      <w:pBdr>
        <w:top w:val="single" w:color="000000" w:sz="4" w:space="10"/>
        <w:bottom w:val="single" w:color="000000" w:sz="4" w:space="10"/>
      </w:pBdr>
      <w:spacing w:after="240" w:before="240" w:line="300" w:lineRule="auto"/>
      <w:ind w:right="1152" w:firstLine="680" w:left="1152"/>
      <w:jc w:val="both"/>
    </w:pPr>
    <w:rPr>
      <w:rFonts w:ascii="Cambria" w:hAnsi="Cambria"/>
      <w:i/>
      <w:iCs/>
      <w:lang w:val="en-US" w:eastAsia="en-US" w:bidi="en-US"/>
    </w:rPr>
  </w:style>
  <w:style w:type="paragraph" w:styleId="11461" w:customStyle="1">
    <w:name w:val="МОЙ Заголовок 1"/>
    <w:basedOn w:val="10534"/>
    <w:link w:val="10622"/>
    <w:qFormat/>
    <w:pPr>
      <w:numPr>
        <w:ilvl w:val="0"/>
        <w:numId w:val="0"/>
      </w:numPr>
      <w:pBdr/>
      <w:spacing w:after="240" w:before="480" w:line="240" w:lineRule="auto"/>
      <w:ind w:hanging="680" w:left="680"/>
      <w:contextualSpacing w:val="true"/>
    </w:pPr>
    <w:rPr>
      <w:rFonts w:ascii="Arial Black" w:hAnsi="Arial Black"/>
      <w:b w:val="0"/>
      <w:bCs/>
      <w:szCs w:val="28"/>
    </w:rPr>
  </w:style>
  <w:style w:type="paragraph" w:styleId="11462" w:customStyle="1">
    <w:name w:val="Основной текст (3)"/>
    <w:basedOn w:val="10533"/>
    <w:link w:val="10624"/>
    <w:qFormat/>
    <w:pPr>
      <w:pBdr/>
      <w:shd w:val="clear" w:color="auto" w:fill="ffffff"/>
      <w:spacing w:line="398" w:lineRule="exact"/>
      <w:ind w:hanging="840"/>
      <w:jc w:val="center"/>
    </w:pPr>
    <w:rPr>
      <w:rFonts w:ascii="Arial" w:hAnsi="Arial" w:eastAsia="Arial" w:cs="Arial"/>
      <w:b/>
      <w:bCs/>
      <w:spacing w:val="-10"/>
    </w:rPr>
  </w:style>
  <w:style w:type="paragraph" w:styleId="11463" w:customStyle="1">
    <w:name w:val="Основной текст (5)"/>
    <w:basedOn w:val="10533"/>
    <w:link w:val="10625"/>
    <w:qFormat/>
    <w:pPr>
      <w:pBdr/>
      <w:shd w:val="clear" w:color="auto" w:fill="ffffff"/>
      <w:spacing w:after="600" w:before="600" w:line="0" w:lineRule="atLeast"/>
      <w:ind w:hanging="1120"/>
    </w:pPr>
    <w:rPr>
      <w:rFonts w:ascii="Arial" w:hAnsi="Arial" w:eastAsia="Arial" w:cs="Arial"/>
      <w:b/>
      <w:bCs/>
      <w:spacing w:val="-10"/>
      <w:sz w:val="21"/>
      <w:szCs w:val="21"/>
    </w:rPr>
  </w:style>
  <w:style w:type="paragraph" w:styleId="11464" w:customStyle="1">
    <w:name w:val="Колонтитул"/>
    <w:basedOn w:val="10533"/>
    <w:link w:val="10628"/>
    <w:qFormat/>
    <w:pPr>
      <w:pBdr/>
      <w:shd w:val="clear" w:color="auto" w:fill="ffffff"/>
      <w:spacing w:line="0" w:lineRule="atLeast"/>
      <w:ind/>
    </w:pPr>
    <w:rPr>
      <w:rFonts w:ascii="Arial Narrow" w:hAnsi="Arial Narrow" w:eastAsia="Arial Narrow" w:cs="Arial Narrow"/>
      <w:b/>
      <w:bCs/>
      <w:sz w:val="15"/>
      <w:szCs w:val="15"/>
    </w:rPr>
  </w:style>
  <w:style w:type="paragraph" w:styleId="11465" w:customStyle="1">
    <w:name w:val="Standard"/>
    <w:qFormat/>
    <w:pPr>
      <w:widowControl w:val="false"/>
      <w:pBdr/>
      <w:bidi w:val="false"/>
      <w:spacing w:after="200" w:before="0" w:line="276" w:lineRule="auto"/>
      <w:ind/>
      <w:jc w:val="left"/>
    </w:pPr>
    <w:rPr>
      <w:rFonts w:ascii="Cambria" w:hAnsi="Cambria" w:eastAsia="Andale Sans UI" w:cs="Tahoma"/>
      <w:color w:val="auto"/>
      <w:sz w:val="24"/>
      <w:szCs w:val="24"/>
      <w:lang w:val="de-DE" w:eastAsia="ja-JP" w:bidi="fa-IR"/>
    </w:rPr>
  </w:style>
  <w:style w:type="paragraph" w:styleId="11466" w:customStyle="1">
    <w:name w:val="869F5D86A0724688A234C6CC24B6A76E"/>
    <w:uiPriority w:val="99"/>
    <w:qFormat/>
    <w:pPr>
      <w:widowControl w:val="true"/>
      <w:pBdr/>
      <w:bidi w:val="false"/>
      <w:spacing w:after="200" w:before="0" w:line="276" w:lineRule="auto"/>
      <w:ind/>
      <w:jc w:val="left"/>
    </w:pPr>
    <w:rPr>
      <w:rFonts w:ascii="Calibri" w:hAnsi="Calibri" w:eastAsia="Times New Roman" w:cs="Times New Roman" w:asciiTheme="minorHAnsi" w:hAnsiTheme="minorHAnsi"/>
      <w:color w:val="auto"/>
      <w:sz w:val="22"/>
      <w:szCs w:val="22"/>
      <w:lang w:val="en-US" w:eastAsia="ru-RU" w:bidi="en-US"/>
    </w:rPr>
  </w:style>
  <w:style w:type="paragraph" w:styleId="11467" w:customStyle="1">
    <w:name w:val="xl47487"/>
    <w:basedOn w:val="10533"/>
    <w:uiPriority w:val="99"/>
    <w:qFormat/>
    <w:pPr>
      <w:pBdr/>
      <w:spacing w:afterAutospacing="1" w:beforeAutospacing="1" w:line="360" w:lineRule="auto"/>
      <w:ind/>
    </w:pPr>
    <w:rPr>
      <w:rFonts w:ascii="Arial" w:hAnsi="Arial" w:cs="Arial"/>
      <w:sz w:val="20"/>
      <w:szCs w:val="20"/>
      <w:lang w:val="en-US" w:bidi="en-US"/>
    </w:rPr>
  </w:style>
  <w:style w:type="paragraph" w:styleId="11468" w:customStyle="1">
    <w:name w:val="xl47488"/>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sz w:val="20"/>
      <w:szCs w:val="20"/>
      <w:lang w:val="en-US" w:bidi="en-US"/>
    </w:rPr>
  </w:style>
  <w:style w:type="paragraph" w:styleId="11469" w:customStyle="1">
    <w:name w:val="xl47489"/>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b/>
      <w:bCs/>
      <w:lang w:val="en-US" w:bidi="en-US"/>
    </w:rPr>
  </w:style>
  <w:style w:type="paragraph" w:styleId="11470" w:customStyle="1">
    <w:name w:val="xl47490"/>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lang w:val="en-US" w:bidi="en-US"/>
    </w:rPr>
  </w:style>
  <w:style w:type="paragraph" w:styleId="11471" w:customStyle="1">
    <w:name w:val="xl47491"/>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lang w:val="en-US" w:bidi="en-US"/>
    </w:rPr>
  </w:style>
  <w:style w:type="paragraph" w:styleId="11472" w:customStyle="1">
    <w:name w:val="xl47492"/>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Arial" w:hAnsi="Arial" w:cs="Arial"/>
      <w:lang w:val="en-US" w:bidi="en-US"/>
    </w:rPr>
  </w:style>
  <w:style w:type="paragraph" w:styleId="11473" w:customStyle="1">
    <w:name w:val="xl47493"/>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lang w:val="en-US" w:bidi="en-US"/>
    </w:rPr>
  </w:style>
  <w:style w:type="paragraph" w:styleId="11474" w:customStyle="1">
    <w:name w:val="xl47494"/>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Arial" w:hAnsi="Arial" w:cs="Arial"/>
      <w:lang w:val="en-US" w:bidi="en-US"/>
    </w:rPr>
  </w:style>
  <w:style w:type="paragraph" w:styleId="11475" w:customStyle="1">
    <w:name w:val="xl47495"/>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sz w:val="20"/>
      <w:szCs w:val="20"/>
      <w:lang w:val="en-US" w:bidi="en-US"/>
    </w:rPr>
  </w:style>
  <w:style w:type="paragraph" w:styleId="11476" w:customStyle="1">
    <w:name w:val="xl47496"/>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sz w:val="20"/>
      <w:szCs w:val="20"/>
      <w:lang w:val="en-US" w:bidi="en-US"/>
    </w:rPr>
  </w:style>
  <w:style w:type="paragraph" w:styleId="11477" w:customStyle="1">
    <w:name w:val="xl47497"/>
    <w:basedOn w:val="10533"/>
    <w:uiPriority w:val="99"/>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line="360" w:lineRule="auto"/>
      <w:ind/>
    </w:pPr>
    <w:rPr>
      <w:rFonts w:ascii="Arial" w:hAnsi="Arial" w:cs="Arial"/>
      <w:sz w:val="20"/>
      <w:szCs w:val="20"/>
      <w:lang w:val="en-US" w:bidi="en-US"/>
    </w:rPr>
  </w:style>
  <w:style w:type="paragraph" w:styleId="11478" w:customStyle="1">
    <w:name w:val="xl47498"/>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right"/>
    </w:pPr>
    <w:rPr>
      <w:rFonts w:ascii="Arial" w:hAnsi="Arial" w:cs="Arial"/>
      <w:lang w:val="en-US" w:bidi="en-US"/>
    </w:rPr>
  </w:style>
  <w:style w:type="paragraph" w:styleId="11479" w:customStyle="1">
    <w:name w:val="xl47499"/>
    <w:basedOn w:val="10533"/>
    <w:uiPriority w:val="99"/>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line="360" w:lineRule="auto"/>
      <w:ind/>
      <w:jc w:val="right"/>
    </w:pPr>
    <w:rPr>
      <w:rFonts w:ascii="Arial" w:hAnsi="Arial" w:cs="Arial"/>
      <w:lang w:val="en-US" w:bidi="en-US"/>
    </w:rPr>
  </w:style>
  <w:style w:type="paragraph" w:styleId="11480" w:customStyle="1">
    <w:name w:val="xl47500"/>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b/>
      <w:bCs/>
      <w:sz w:val="20"/>
      <w:szCs w:val="20"/>
      <w:lang w:val="en-US" w:bidi="en-US"/>
    </w:rPr>
  </w:style>
  <w:style w:type="paragraph" w:styleId="11481" w:customStyle="1">
    <w:name w:val="xl47485"/>
    <w:basedOn w:val="10533"/>
    <w:uiPriority w:val="99"/>
    <w:qFormat/>
    <w:pPr>
      <w:pBdr/>
      <w:spacing w:afterAutospacing="1" w:beforeAutospacing="1" w:line="360" w:lineRule="auto"/>
      <w:ind/>
    </w:pPr>
    <w:rPr>
      <w:rFonts w:ascii="Arial" w:hAnsi="Arial" w:cs="Arial"/>
      <w:sz w:val="20"/>
      <w:szCs w:val="20"/>
      <w:lang w:val="en-US" w:bidi="en-US"/>
    </w:rPr>
  </w:style>
  <w:style w:type="paragraph" w:styleId="11482" w:customStyle="1">
    <w:name w:val="xl47486"/>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Arial" w:hAnsi="Arial" w:cs="Arial"/>
      <w:sz w:val="20"/>
      <w:szCs w:val="20"/>
      <w:lang w:val="en-US" w:bidi="en-US"/>
    </w:rPr>
  </w:style>
  <w:style w:type="paragraph" w:styleId="11483" w:customStyle="1">
    <w:name w:val="Абзац списка1"/>
    <w:basedOn w:val="10533"/>
    <w:qFormat/>
    <w:pPr>
      <w:pBdr/>
      <w:spacing w:line="360" w:lineRule="auto"/>
      <w:ind/>
      <w:jc w:val="both"/>
    </w:pPr>
    <w:rPr>
      <w:sz w:val="28"/>
      <w:lang w:val="en-US" w:eastAsia="en-US" w:bidi="en-US"/>
    </w:rPr>
  </w:style>
  <w:style w:type="paragraph" w:styleId="11484" w:customStyle="1">
    <w:name w:val="ConsNormal"/>
    <w:qFormat/>
    <w:pPr>
      <w:widowControl w:val="true"/>
      <w:pBdr/>
      <w:bidi w:val="false"/>
      <w:spacing w:after="200" w:before="0" w:line="276" w:lineRule="auto"/>
      <w:ind w:firstLine="720"/>
      <w:jc w:val="left"/>
    </w:pPr>
    <w:rPr>
      <w:rFonts w:ascii="Consultant" w:hAnsi="Consultant" w:eastAsia="Times New Roman" w:cs="Times New Roman"/>
      <w:color w:val="auto"/>
      <w:sz w:val="22"/>
      <w:szCs w:val="22"/>
      <w:lang w:val="en-US" w:eastAsia="ru-RU" w:bidi="en-US"/>
    </w:rPr>
  </w:style>
  <w:style w:type="paragraph" w:styleId="11485" w:customStyle="1">
    <w:name w:val="ConsNonformat"/>
    <w:link w:val="11052"/>
    <w:uiPriority w:val="99"/>
    <w:qFormat/>
    <w:pPr>
      <w:widowControl w:val="true"/>
      <w:pBdr/>
      <w:bidi w:val="false"/>
      <w:spacing w:after="200" w:before="0" w:line="276" w:lineRule="auto"/>
      <w:ind/>
      <w:jc w:val="left"/>
    </w:pPr>
    <w:rPr>
      <w:rFonts w:ascii="Consultant" w:hAnsi="Consultant" w:eastAsia="Times New Roman" w:cs="Times New Roman"/>
      <w:color w:val="auto"/>
      <w:sz w:val="22"/>
      <w:szCs w:val="22"/>
      <w:lang w:val="en-US" w:eastAsia="ru-RU" w:bidi="en-US"/>
    </w:rPr>
  </w:style>
  <w:style w:type="paragraph" w:styleId="11486" w:customStyle="1">
    <w:name w:val="ConsCell"/>
    <w:uiPriority w:val="99"/>
    <w:qFormat/>
    <w:pPr>
      <w:widowControl w:val="true"/>
      <w:pBdr/>
      <w:bidi w:val="false"/>
      <w:spacing w:after="200" w:before="0" w:line="276" w:lineRule="auto"/>
      <w:ind/>
      <w:jc w:val="left"/>
    </w:pPr>
    <w:rPr>
      <w:rFonts w:ascii="Consultant" w:hAnsi="Consultant" w:eastAsia="Times New Roman" w:cs="Times New Roman"/>
      <w:color w:val="auto"/>
      <w:sz w:val="22"/>
      <w:szCs w:val="22"/>
      <w:lang w:val="en-US" w:eastAsia="ru-RU" w:bidi="en-US"/>
    </w:rPr>
  </w:style>
  <w:style w:type="paragraph" w:styleId="11487" w:customStyle="1">
    <w:name w:val="ConsTitle"/>
    <w:uiPriority w:val="99"/>
    <w:qFormat/>
    <w:pPr>
      <w:widowControl w:val="true"/>
      <w:pBdr/>
      <w:bidi w:val="false"/>
      <w:spacing w:after="200" w:before="0" w:line="276" w:lineRule="auto"/>
      <w:ind/>
      <w:jc w:val="left"/>
    </w:pPr>
    <w:rPr>
      <w:rFonts w:ascii="Arial" w:hAnsi="Arial" w:eastAsia="Times New Roman" w:cs="Times New Roman"/>
      <w:b/>
      <w:color w:val="auto"/>
      <w:sz w:val="16"/>
      <w:szCs w:val="22"/>
      <w:lang w:val="en-US" w:eastAsia="ru-RU" w:bidi="en-US"/>
    </w:rPr>
  </w:style>
  <w:style w:type="paragraph" w:styleId="11488" w:customStyle="1">
    <w:name w:val="xl46737"/>
    <w:basedOn w:val="10533"/>
    <w:uiPriority w:val="99"/>
    <w:qFormat/>
    <w:pPr>
      <w:pBdr>
        <w:top w:val="single" w:color="000000" w:sz="4" w:space="0"/>
        <w:left w:val="single" w:color="000000" w:sz="8" w:space="0"/>
        <w:bottom w:val="single" w:color="000000" w:sz="4" w:space="0"/>
        <w:right w:val="single" w:color="000000" w:sz="4" w:space="0"/>
      </w:pBdr>
      <w:shd w:val="clear" w:color="000000" w:fill="eaf1dd"/>
      <w:spacing w:afterAutospacing="1" w:beforeAutospacing="1" w:line="360" w:lineRule="auto"/>
      <w:ind/>
    </w:pPr>
    <w:rPr>
      <w:sz w:val="20"/>
      <w:szCs w:val="20"/>
      <w:lang w:val="en-US" w:bidi="en-US"/>
    </w:rPr>
  </w:style>
  <w:style w:type="paragraph" w:styleId="11489" w:customStyle="1">
    <w:name w:val="xl46738"/>
    <w:basedOn w:val="10533"/>
    <w:uiPriority w:val="99"/>
    <w:qFormat/>
    <w:pPr>
      <w:pBdr>
        <w:top w:val="single" w:color="000000" w:sz="4" w:space="0"/>
        <w:left w:val="single" w:color="000000" w:sz="8" w:space="0"/>
        <w:bottom w:val="single" w:color="000000" w:sz="4" w:space="0"/>
        <w:right w:val="single" w:color="000000" w:sz="4" w:space="0"/>
      </w:pBdr>
      <w:shd w:val="clear" w:color="000000" w:fill="d8d8d8"/>
      <w:spacing w:afterAutospacing="1" w:beforeAutospacing="1" w:line="360" w:lineRule="auto"/>
      <w:ind/>
    </w:pPr>
    <w:rPr>
      <w:sz w:val="20"/>
      <w:szCs w:val="20"/>
      <w:lang w:val="en-US" w:bidi="en-US"/>
    </w:rPr>
  </w:style>
  <w:style w:type="paragraph" w:styleId="11490" w:customStyle="1">
    <w:name w:val="xl46739"/>
    <w:basedOn w:val="10533"/>
    <w:uiPriority w:val="99"/>
    <w:qFormat/>
    <w:pPr>
      <w:pBdr>
        <w:top w:val="single" w:color="000000" w:sz="4" w:space="0"/>
        <w:left w:val="single" w:color="000000" w:sz="8" w:space="0"/>
        <w:bottom w:val="single" w:color="000000" w:sz="4" w:space="0"/>
        <w:right w:val="single" w:color="000000" w:sz="4" w:space="0"/>
      </w:pBdr>
      <w:shd w:val="clear" w:color="000000" w:fill="fde9d9"/>
      <w:spacing w:afterAutospacing="1" w:beforeAutospacing="1" w:line="360" w:lineRule="auto"/>
      <w:ind/>
    </w:pPr>
    <w:rPr>
      <w:sz w:val="20"/>
      <w:szCs w:val="20"/>
      <w:lang w:val="en-US" w:bidi="en-US"/>
    </w:rPr>
  </w:style>
  <w:style w:type="paragraph" w:styleId="11491" w:customStyle="1">
    <w:name w:val="xl46740"/>
    <w:basedOn w:val="10533"/>
    <w:uiPriority w:val="99"/>
    <w:qFormat/>
    <w:pPr>
      <w:pBdr>
        <w:top w:val="single" w:color="000000" w:sz="4" w:space="0"/>
        <w:left w:val="single" w:color="000000" w:sz="8" w:space="0"/>
        <w:bottom w:val="single" w:color="000000" w:sz="4" w:space="0"/>
        <w:right w:val="single" w:color="000000" w:sz="4" w:space="0"/>
      </w:pBdr>
      <w:shd w:val="clear" w:color="000000" w:fill="dbeef3"/>
      <w:spacing w:afterAutospacing="1" w:beforeAutospacing="1" w:line="360" w:lineRule="auto"/>
      <w:ind/>
    </w:pPr>
    <w:rPr>
      <w:sz w:val="20"/>
      <w:szCs w:val="20"/>
      <w:lang w:val="en-US" w:bidi="en-US"/>
    </w:rPr>
  </w:style>
  <w:style w:type="paragraph" w:styleId="11492" w:customStyle="1">
    <w:name w:val="xl46741"/>
    <w:basedOn w:val="10533"/>
    <w:uiPriority w:val="99"/>
    <w:qFormat/>
    <w:pPr>
      <w:pBdr>
        <w:top w:val="single" w:color="000000" w:sz="4" w:space="0"/>
        <w:left w:val="single" w:color="000000" w:sz="8" w:space="0"/>
        <w:bottom w:val="single" w:color="000000" w:sz="4" w:space="0"/>
        <w:right w:val="single" w:color="000000" w:sz="4" w:space="0"/>
      </w:pBdr>
      <w:shd w:val="clear" w:color="000000" w:fill="e6b9b8"/>
      <w:spacing w:afterAutospacing="1" w:beforeAutospacing="1" w:line="360" w:lineRule="auto"/>
      <w:ind/>
      <w:jc w:val="center"/>
    </w:pPr>
    <w:rPr>
      <w:sz w:val="20"/>
      <w:szCs w:val="20"/>
      <w:lang w:val="en-US" w:bidi="en-US"/>
    </w:rPr>
  </w:style>
  <w:style w:type="paragraph" w:styleId="11493" w:customStyle="1">
    <w:name w:val="xl46742"/>
    <w:basedOn w:val="10533"/>
    <w:uiPriority w:val="99"/>
    <w:qFormat/>
    <w:pPr>
      <w:pBdr>
        <w:top w:val="single" w:color="000000" w:sz="4" w:space="0"/>
        <w:left w:val="single" w:color="000000" w:sz="8" w:space="0"/>
        <w:bottom w:val="single" w:color="000000" w:sz="4" w:space="0"/>
        <w:right w:val="single" w:color="000000" w:sz="4" w:space="0"/>
      </w:pBdr>
      <w:shd w:val="clear" w:color="000000" w:fill="eeece1"/>
      <w:spacing w:afterAutospacing="1" w:beforeAutospacing="1" w:line="360" w:lineRule="auto"/>
      <w:ind/>
    </w:pPr>
    <w:rPr>
      <w:sz w:val="20"/>
      <w:szCs w:val="20"/>
      <w:lang w:val="en-US" w:bidi="en-US"/>
    </w:rPr>
  </w:style>
  <w:style w:type="paragraph" w:styleId="11494" w:customStyle="1">
    <w:name w:val="xl46743"/>
    <w:basedOn w:val="10533"/>
    <w:uiPriority w:val="99"/>
    <w:qFormat/>
    <w:pPr>
      <w:pBdr>
        <w:top w:val="single" w:color="000000" w:sz="4" w:space="0"/>
        <w:left w:val="single" w:color="000000" w:sz="8" w:space="0"/>
        <w:bottom w:val="single" w:color="000000" w:sz="8" w:space="0"/>
        <w:right w:val="single" w:color="000000" w:sz="4" w:space="0"/>
      </w:pBdr>
      <w:shd w:val="clear" w:color="000000" w:fill="92d050"/>
      <w:spacing w:afterAutospacing="1" w:beforeAutospacing="1" w:line="360" w:lineRule="auto"/>
      <w:ind/>
    </w:pPr>
    <w:rPr>
      <w:lang w:val="en-US" w:bidi="en-US"/>
    </w:rPr>
  </w:style>
  <w:style w:type="paragraph" w:styleId="11495" w:customStyle="1">
    <w:name w:val="xl46744"/>
    <w:basedOn w:val="10533"/>
    <w:uiPriority w:val="99"/>
    <w:qFormat/>
    <w:pPr>
      <w:pBdr>
        <w:top w:val="single" w:color="000000" w:sz="4" w:space="0"/>
        <w:left w:val="single" w:color="000000" w:sz="8" w:space="0"/>
        <w:bottom w:val="single" w:color="000000" w:sz="4" w:space="0"/>
        <w:right w:val="single" w:color="000000" w:sz="4" w:space="0"/>
      </w:pBdr>
      <w:shd w:val="clear" w:color="000000" w:fill="bfbfbf"/>
      <w:spacing w:afterAutospacing="1" w:beforeAutospacing="1" w:line="360" w:lineRule="auto"/>
      <w:ind/>
    </w:pPr>
    <w:rPr>
      <w:sz w:val="20"/>
      <w:szCs w:val="20"/>
      <w:lang w:val="en-US" w:bidi="en-US"/>
    </w:rPr>
  </w:style>
  <w:style w:type="paragraph" w:styleId="11496" w:customStyle="1">
    <w:name w:val="xl46745"/>
    <w:basedOn w:val="10533"/>
    <w:uiPriority w:val="99"/>
    <w:qFormat/>
    <w:pPr>
      <w:pBdr>
        <w:top w:val="single" w:color="000000" w:sz="4" w:space="0"/>
        <w:left w:val="single" w:color="000000" w:sz="4" w:space="0"/>
        <w:bottom w:val="single" w:color="000000" w:sz="4" w:space="0"/>
        <w:right w:val="single" w:color="000000" w:sz="4" w:space="0"/>
      </w:pBdr>
      <w:shd w:val="clear" w:color="000000" w:fill="eeece1"/>
      <w:spacing w:afterAutospacing="1" w:beforeAutospacing="1" w:line="360" w:lineRule="auto"/>
      <w:ind/>
      <w:jc w:val="right"/>
    </w:pPr>
    <w:rPr>
      <w:sz w:val="20"/>
      <w:szCs w:val="20"/>
      <w:lang w:val="en-US" w:bidi="en-US"/>
    </w:rPr>
  </w:style>
  <w:style w:type="paragraph" w:styleId="11497" w:customStyle="1">
    <w:name w:val="xl46746"/>
    <w:basedOn w:val="10533"/>
    <w:uiPriority w:val="99"/>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jc w:val="right"/>
    </w:pPr>
    <w:rPr>
      <w:sz w:val="20"/>
      <w:szCs w:val="20"/>
      <w:lang w:val="en-US" w:bidi="en-US"/>
    </w:rPr>
  </w:style>
  <w:style w:type="paragraph" w:styleId="11498" w:customStyle="1">
    <w:name w:val="xl46747"/>
    <w:basedOn w:val="10533"/>
    <w:uiPriority w:val="99"/>
    <w:qFormat/>
    <w:pPr>
      <w:pBdr>
        <w:top w:val="single" w:color="000000" w:sz="4" w:space="0"/>
        <w:left w:val="single" w:color="000000" w:sz="4" w:space="0"/>
        <w:bottom w:val="single" w:color="000000" w:sz="4" w:space="0"/>
        <w:right w:val="single" w:color="000000" w:sz="4" w:space="0"/>
      </w:pBdr>
      <w:shd w:val="clear" w:color="000000" w:fill="bfbfbf"/>
      <w:spacing w:afterAutospacing="1" w:beforeAutospacing="1" w:line="360" w:lineRule="auto"/>
      <w:ind/>
      <w:jc w:val="right"/>
    </w:pPr>
    <w:rPr>
      <w:sz w:val="20"/>
      <w:szCs w:val="20"/>
      <w:lang w:val="en-US" w:bidi="en-US"/>
    </w:rPr>
  </w:style>
  <w:style w:type="paragraph" w:styleId="11499" w:customStyle="1">
    <w:name w:val="xl46748"/>
    <w:basedOn w:val="10533"/>
    <w:uiPriority w:val="99"/>
    <w:qFormat/>
    <w:pPr>
      <w:pBdr>
        <w:top w:val="single" w:color="000000" w:sz="4" w:space="0"/>
        <w:left w:val="single" w:color="000000" w:sz="4" w:space="0"/>
        <w:bottom w:val="single" w:color="000000" w:sz="4" w:space="0"/>
        <w:right w:val="single" w:color="000000" w:sz="4" w:space="0"/>
      </w:pBdr>
      <w:shd w:val="clear" w:color="000000" w:fill="fde9d9"/>
      <w:spacing w:afterAutospacing="1" w:beforeAutospacing="1" w:line="360" w:lineRule="auto"/>
      <w:ind/>
      <w:jc w:val="right"/>
    </w:pPr>
    <w:rPr>
      <w:sz w:val="20"/>
      <w:szCs w:val="20"/>
      <w:lang w:val="en-US" w:bidi="en-US"/>
    </w:rPr>
  </w:style>
  <w:style w:type="paragraph" w:styleId="11500" w:customStyle="1">
    <w:name w:val="xl46749"/>
    <w:basedOn w:val="10533"/>
    <w:uiPriority w:val="99"/>
    <w:qFormat/>
    <w:pPr>
      <w:pBdr>
        <w:top w:val="single" w:color="000000" w:sz="4" w:space="0"/>
        <w:left w:val="single" w:color="000000" w:sz="4" w:space="0"/>
        <w:bottom w:val="single" w:color="000000" w:sz="4" w:space="0"/>
        <w:right w:val="single" w:color="000000" w:sz="4" w:space="0"/>
      </w:pBdr>
      <w:shd w:val="clear" w:color="000000" w:fill="dbeef3"/>
      <w:spacing w:afterAutospacing="1" w:beforeAutospacing="1" w:line="360" w:lineRule="auto"/>
      <w:ind/>
      <w:jc w:val="right"/>
    </w:pPr>
    <w:rPr>
      <w:sz w:val="20"/>
      <w:szCs w:val="20"/>
      <w:lang w:val="en-US" w:bidi="en-US"/>
    </w:rPr>
  </w:style>
  <w:style w:type="paragraph" w:styleId="11501" w:customStyle="1">
    <w:name w:val="xl46750"/>
    <w:basedOn w:val="10533"/>
    <w:uiPriority w:val="99"/>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jc w:val="right"/>
    </w:pPr>
    <w:rPr>
      <w:sz w:val="20"/>
      <w:szCs w:val="20"/>
      <w:lang w:val="en-US" w:bidi="en-US"/>
    </w:rPr>
  </w:style>
  <w:style w:type="paragraph" w:styleId="11502" w:customStyle="1">
    <w:name w:val="xl46751"/>
    <w:basedOn w:val="10533"/>
    <w:uiPriority w:val="99"/>
    <w:qFormat/>
    <w:pPr>
      <w:pBdr>
        <w:top w:val="single" w:color="000000" w:sz="4" w:space="0"/>
        <w:left w:val="single" w:color="000000" w:sz="4" w:space="0"/>
        <w:bottom w:val="single" w:color="000000" w:sz="4" w:space="0"/>
        <w:right w:val="single" w:color="000000" w:sz="4" w:space="0"/>
      </w:pBdr>
      <w:shd w:val="clear" w:color="000000" w:fill="e6b9b8"/>
      <w:spacing w:afterAutospacing="1" w:beforeAutospacing="1" w:line="360" w:lineRule="auto"/>
      <w:ind/>
      <w:jc w:val="right"/>
    </w:pPr>
    <w:rPr>
      <w:sz w:val="20"/>
      <w:szCs w:val="20"/>
      <w:lang w:val="en-US" w:bidi="en-US"/>
    </w:rPr>
  </w:style>
  <w:style w:type="paragraph" w:styleId="11503" w:customStyle="1">
    <w:name w:val="xl46752"/>
    <w:basedOn w:val="10533"/>
    <w:uiPriority w:val="99"/>
    <w:qFormat/>
    <w:pPr>
      <w:pBdr>
        <w:top w:val="single" w:color="000000" w:sz="4" w:space="0"/>
        <w:left w:val="single" w:color="000000" w:sz="4" w:space="0"/>
        <w:bottom w:val="single" w:color="000000" w:sz="4" w:space="0"/>
        <w:right w:val="single" w:color="000000" w:sz="4" w:space="0"/>
      </w:pBdr>
      <w:shd w:val="clear" w:color="000000" w:fill="93cddd"/>
      <w:spacing w:afterAutospacing="1" w:beforeAutospacing="1" w:line="360" w:lineRule="auto"/>
      <w:ind/>
      <w:jc w:val="right"/>
    </w:pPr>
    <w:rPr>
      <w:sz w:val="20"/>
      <w:szCs w:val="20"/>
      <w:lang w:val="en-US" w:bidi="en-US"/>
    </w:rPr>
  </w:style>
  <w:style w:type="paragraph" w:styleId="11504" w:customStyle="1">
    <w:name w:val="xl46753"/>
    <w:basedOn w:val="10533"/>
    <w:uiPriority w:val="99"/>
    <w:qFormat/>
    <w:pPr>
      <w:pBdr>
        <w:top w:val="single" w:color="000000" w:sz="8" w:space="0"/>
        <w:left w:val="single" w:color="000000" w:sz="8" w:space="0"/>
        <w:bottom w:val="single" w:color="000000" w:sz="4" w:space="0"/>
        <w:right w:val="single" w:color="000000" w:sz="4" w:space="0"/>
      </w:pBdr>
      <w:shd w:val="clear" w:color="000000" w:fill="fac090"/>
      <w:spacing w:afterAutospacing="1" w:beforeAutospacing="1" w:line="360" w:lineRule="auto"/>
      <w:ind/>
      <w:jc w:val="center"/>
    </w:pPr>
    <w:rPr>
      <w:b/>
      <w:bCs/>
      <w:sz w:val="28"/>
      <w:szCs w:val="28"/>
      <w:lang w:val="en-US" w:bidi="en-US"/>
    </w:rPr>
  </w:style>
  <w:style w:type="paragraph" w:styleId="11505" w:customStyle="1">
    <w:name w:val="xl46754"/>
    <w:basedOn w:val="10533"/>
    <w:uiPriority w:val="99"/>
    <w:qFormat/>
    <w:pPr>
      <w:pBdr>
        <w:top w:val="single" w:color="000000" w:sz="8" w:space="0"/>
        <w:left w:val="single" w:color="000000" w:sz="4" w:space="0"/>
        <w:bottom w:val="single" w:color="000000" w:sz="4" w:space="0"/>
        <w:right w:val="single" w:color="000000" w:sz="4" w:space="0"/>
      </w:pBdr>
      <w:shd w:val="clear" w:color="000000" w:fill="fac090"/>
      <w:spacing w:afterAutospacing="1" w:beforeAutospacing="1" w:line="360" w:lineRule="auto"/>
      <w:ind/>
      <w:jc w:val="right"/>
    </w:pPr>
    <w:rPr>
      <w:b/>
      <w:bCs/>
      <w:sz w:val="28"/>
      <w:szCs w:val="28"/>
      <w:lang w:val="en-US" w:bidi="en-US"/>
    </w:rPr>
  </w:style>
  <w:style w:type="paragraph" w:styleId="11506" w:customStyle="1">
    <w:name w:val="xl46755"/>
    <w:basedOn w:val="10533"/>
    <w:uiPriority w:val="99"/>
    <w:qFormat/>
    <w:pPr>
      <w:pBdr>
        <w:top w:val="single" w:color="000000" w:sz="8" w:space="0"/>
        <w:left w:val="single" w:color="000000" w:sz="4" w:space="0"/>
        <w:bottom w:val="single" w:color="000000" w:sz="4" w:space="0"/>
        <w:right w:val="single" w:color="000000" w:sz="4" w:space="0"/>
      </w:pBdr>
      <w:shd w:val="clear" w:color="000000" w:fill="fac090"/>
      <w:spacing w:afterAutospacing="1" w:beforeAutospacing="1" w:line="360" w:lineRule="auto"/>
      <w:ind/>
      <w:jc w:val="right"/>
    </w:pPr>
    <w:rPr>
      <w:b/>
      <w:bCs/>
      <w:sz w:val="28"/>
      <w:szCs w:val="28"/>
      <w:lang w:val="en-US" w:bidi="en-US"/>
    </w:rPr>
  </w:style>
  <w:style w:type="paragraph" w:styleId="11507" w:customStyle="1">
    <w:name w:val="xl46756"/>
    <w:basedOn w:val="10533"/>
    <w:uiPriority w:val="99"/>
    <w:qFormat/>
    <w:pPr>
      <w:pBdr>
        <w:top w:val="single" w:color="000000" w:sz="8" w:space="0"/>
        <w:left w:val="single" w:color="000000" w:sz="4" w:space="0"/>
        <w:bottom w:val="single" w:color="000000" w:sz="4" w:space="0"/>
        <w:right w:val="single" w:color="000000" w:sz="8" w:space="0"/>
      </w:pBdr>
      <w:shd w:val="clear" w:color="000000" w:fill="fac090"/>
      <w:spacing w:afterAutospacing="1" w:beforeAutospacing="1" w:line="360" w:lineRule="auto"/>
      <w:ind/>
      <w:jc w:val="right"/>
    </w:pPr>
    <w:rPr>
      <w:b/>
      <w:bCs/>
      <w:sz w:val="28"/>
      <w:szCs w:val="28"/>
      <w:lang w:val="en-US" w:bidi="en-US"/>
    </w:rPr>
  </w:style>
  <w:style w:type="paragraph" w:styleId="11508" w:customStyle="1">
    <w:name w:val="xl46757"/>
    <w:basedOn w:val="10533"/>
    <w:uiPriority w:val="99"/>
    <w:qFormat/>
    <w:pPr>
      <w:pBdr>
        <w:top w:val="single" w:color="000000" w:sz="4" w:space="0"/>
        <w:left w:val="single" w:color="000000" w:sz="4" w:space="0"/>
        <w:bottom w:val="single" w:color="000000" w:sz="4" w:space="0"/>
        <w:right w:val="single" w:color="000000" w:sz="8" w:space="0"/>
      </w:pBdr>
      <w:shd w:val="clear" w:color="000000" w:fill="eaf1dd"/>
      <w:spacing w:afterAutospacing="1" w:beforeAutospacing="1" w:line="360" w:lineRule="auto"/>
      <w:ind/>
      <w:jc w:val="right"/>
    </w:pPr>
    <w:rPr>
      <w:sz w:val="20"/>
      <w:szCs w:val="20"/>
      <w:lang w:val="en-US" w:bidi="en-US"/>
    </w:rPr>
  </w:style>
  <w:style w:type="paragraph" w:styleId="11509" w:customStyle="1">
    <w:name w:val="xl46758"/>
    <w:basedOn w:val="10533"/>
    <w:uiPriority w:val="99"/>
    <w:qFormat/>
    <w:pPr>
      <w:pBdr>
        <w:top w:val="single" w:color="000000" w:sz="4" w:space="0"/>
        <w:left w:val="single" w:color="000000" w:sz="4" w:space="0"/>
        <w:bottom w:val="single" w:color="000000" w:sz="4" w:space="0"/>
        <w:right w:val="single" w:color="000000" w:sz="8" w:space="0"/>
      </w:pBdr>
      <w:shd w:val="clear" w:color="000000" w:fill="bfbfbf"/>
      <w:spacing w:afterAutospacing="1" w:beforeAutospacing="1" w:line="360" w:lineRule="auto"/>
      <w:ind/>
      <w:jc w:val="right"/>
    </w:pPr>
    <w:rPr>
      <w:sz w:val="20"/>
      <w:szCs w:val="20"/>
      <w:lang w:val="en-US" w:bidi="en-US"/>
    </w:rPr>
  </w:style>
  <w:style w:type="paragraph" w:styleId="11510" w:customStyle="1">
    <w:name w:val="xl46759"/>
    <w:basedOn w:val="10533"/>
    <w:uiPriority w:val="99"/>
    <w:qFormat/>
    <w:pPr>
      <w:pBdr>
        <w:top w:val="single" w:color="000000" w:sz="4" w:space="0"/>
        <w:left w:val="single" w:color="000000" w:sz="4" w:space="0"/>
        <w:bottom w:val="single" w:color="000000" w:sz="4" w:space="0"/>
        <w:right w:val="single" w:color="000000" w:sz="8" w:space="0"/>
      </w:pBdr>
      <w:shd w:val="clear" w:color="000000" w:fill="fde9d9"/>
      <w:spacing w:afterAutospacing="1" w:beforeAutospacing="1" w:line="360" w:lineRule="auto"/>
      <w:ind/>
      <w:jc w:val="right"/>
    </w:pPr>
    <w:rPr>
      <w:sz w:val="20"/>
      <w:szCs w:val="20"/>
      <w:lang w:val="en-US" w:bidi="en-US"/>
    </w:rPr>
  </w:style>
  <w:style w:type="paragraph" w:styleId="11511" w:customStyle="1">
    <w:name w:val="xl46760"/>
    <w:basedOn w:val="10533"/>
    <w:uiPriority w:val="99"/>
    <w:qFormat/>
    <w:pPr>
      <w:pBdr>
        <w:top w:val="single" w:color="000000" w:sz="4" w:space="0"/>
        <w:left w:val="single" w:color="000000" w:sz="4" w:space="0"/>
        <w:bottom w:val="single" w:color="000000" w:sz="4" w:space="0"/>
        <w:right w:val="single" w:color="000000" w:sz="8" w:space="0"/>
      </w:pBdr>
      <w:shd w:val="clear" w:color="000000" w:fill="dbeef3"/>
      <w:spacing w:afterAutospacing="1" w:beforeAutospacing="1" w:line="360" w:lineRule="auto"/>
      <w:ind/>
      <w:jc w:val="right"/>
    </w:pPr>
    <w:rPr>
      <w:sz w:val="20"/>
      <w:szCs w:val="20"/>
      <w:lang w:val="en-US" w:bidi="en-US"/>
    </w:rPr>
  </w:style>
  <w:style w:type="paragraph" w:styleId="11512" w:customStyle="1">
    <w:name w:val="xl46761"/>
    <w:basedOn w:val="10533"/>
    <w:uiPriority w:val="99"/>
    <w:qFormat/>
    <w:pPr>
      <w:pBdr>
        <w:top w:val="single" w:color="000000" w:sz="4" w:space="0"/>
        <w:left w:val="single" w:color="000000" w:sz="4" w:space="0"/>
        <w:bottom w:val="single" w:color="000000" w:sz="4" w:space="0"/>
        <w:right w:val="single" w:color="000000" w:sz="8" w:space="0"/>
      </w:pBdr>
      <w:shd w:val="clear" w:color="000000" w:fill="d8d8d8"/>
      <w:spacing w:afterAutospacing="1" w:beforeAutospacing="1" w:line="360" w:lineRule="auto"/>
      <w:ind/>
      <w:jc w:val="right"/>
    </w:pPr>
    <w:rPr>
      <w:sz w:val="20"/>
      <w:szCs w:val="20"/>
      <w:lang w:val="en-US" w:bidi="en-US"/>
    </w:rPr>
  </w:style>
  <w:style w:type="paragraph" w:styleId="11513" w:customStyle="1">
    <w:name w:val="xl46762"/>
    <w:basedOn w:val="10533"/>
    <w:uiPriority w:val="99"/>
    <w:qFormat/>
    <w:pPr>
      <w:pBdr>
        <w:top w:val="single" w:color="000000" w:sz="4" w:space="0"/>
        <w:left w:val="single" w:color="000000" w:sz="4" w:space="0"/>
        <w:bottom w:val="single" w:color="000000" w:sz="4" w:space="0"/>
        <w:right w:val="single" w:color="000000" w:sz="8" w:space="0"/>
      </w:pBdr>
      <w:shd w:val="clear" w:color="000000" w:fill="e6b9b8"/>
      <w:spacing w:afterAutospacing="1" w:beforeAutospacing="1" w:line="360" w:lineRule="auto"/>
      <w:ind/>
      <w:jc w:val="right"/>
    </w:pPr>
    <w:rPr>
      <w:sz w:val="20"/>
      <w:szCs w:val="20"/>
      <w:lang w:val="en-US" w:bidi="en-US"/>
    </w:rPr>
  </w:style>
  <w:style w:type="paragraph" w:styleId="11514" w:customStyle="1">
    <w:name w:val="xl46763"/>
    <w:basedOn w:val="10533"/>
    <w:uiPriority w:val="99"/>
    <w:qFormat/>
    <w:pPr>
      <w:pBdr>
        <w:top w:val="single" w:color="000000" w:sz="4" w:space="0"/>
        <w:left w:val="single" w:color="000000" w:sz="4" w:space="0"/>
        <w:bottom w:val="single" w:color="000000" w:sz="4" w:space="0"/>
        <w:right w:val="single" w:color="000000" w:sz="8" w:space="0"/>
      </w:pBdr>
      <w:shd w:val="clear" w:color="000000" w:fill="eeece1"/>
      <w:spacing w:afterAutospacing="1" w:beforeAutospacing="1" w:line="360" w:lineRule="auto"/>
      <w:ind/>
      <w:jc w:val="right"/>
    </w:pPr>
    <w:rPr>
      <w:sz w:val="20"/>
      <w:szCs w:val="20"/>
      <w:lang w:val="en-US" w:bidi="en-US"/>
    </w:rPr>
  </w:style>
  <w:style w:type="paragraph" w:styleId="11515" w:customStyle="1">
    <w:name w:val="xl46764"/>
    <w:basedOn w:val="10533"/>
    <w:uiPriority w:val="99"/>
    <w:qFormat/>
    <w:pPr>
      <w:pBdr>
        <w:top w:val="single" w:color="000000" w:sz="4" w:space="0"/>
        <w:left w:val="single" w:color="000000" w:sz="8" w:space="0"/>
        <w:bottom w:val="single" w:color="000000" w:sz="4" w:space="0"/>
        <w:right w:val="single" w:color="000000" w:sz="4" w:space="0"/>
      </w:pBdr>
      <w:shd w:val="clear" w:color="000000" w:fill="93cddd"/>
      <w:spacing w:afterAutospacing="1" w:beforeAutospacing="1" w:line="360" w:lineRule="auto"/>
      <w:ind/>
    </w:pPr>
    <w:rPr>
      <w:sz w:val="20"/>
      <w:szCs w:val="20"/>
      <w:lang w:val="en-US" w:bidi="en-US"/>
    </w:rPr>
  </w:style>
  <w:style w:type="paragraph" w:styleId="11516" w:customStyle="1">
    <w:name w:val="xl46765"/>
    <w:basedOn w:val="10533"/>
    <w:uiPriority w:val="99"/>
    <w:qFormat/>
    <w:pPr>
      <w:pBdr>
        <w:top w:val="single" w:color="000000" w:sz="4" w:space="0"/>
        <w:left w:val="single" w:color="000000" w:sz="4" w:space="0"/>
        <w:bottom w:val="single" w:color="000000" w:sz="4" w:space="0"/>
        <w:right w:val="single" w:color="000000" w:sz="8" w:space="0"/>
      </w:pBdr>
      <w:shd w:val="clear" w:color="000000" w:fill="93cddd"/>
      <w:spacing w:afterAutospacing="1" w:beforeAutospacing="1" w:line="360" w:lineRule="auto"/>
      <w:ind/>
      <w:jc w:val="right"/>
    </w:pPr>
    <w:rPr>
      <w:sz w:val="20"/>
      <w:szCs w:val="20"/>
      <w:lang w:val="en-US" w:bidi="en-US"/>
    </w:rPr>
  </w:style>
  <w:style w:type="paragraph" w:styleId="11517" w:customStyle="1">
    <w:name w:val="xl46766"/>
    <w:basedOn w:val="10533"/>
    <w:uiPriority w:val="99"/>
    <w:qFormat/>
    <w:pPr>
      <w:pBdr>
        <w:top w:val="single" w:color="000000" w:sz="4" w:space="0"/>
        <w:left w:val="single" w:color="000000" w:sz="4" w:space="0"/>
        <w:bottom w:val="single" w:color="000000" w:sz="8" w:space="0"/>
        <w:right w:val="single" w:color="000000" w:sz="4" w:space="0"/>
      </w:pBdr>
      <w:shd w:val="clear" w:color="000000" w:fill="92d050"/>
      <w:spacing w:afterAutospacing="1" w:beforeAutospacing="1" w:line="360" w:lineRule="auto"/>
      <w:ind/>
      <w:jc w:val="right"/>
    </w:pPr>
    <w:rPr>
      <w:lang w:val="en-US" w:bidi="en-US"/>
    </w:rPr>
  </w:style>
  <w:style w:type="paragraph" w:styleId="11518" w:customStyle="1">
    <w:name w:val="xl46767"/>
    <w:basedOn w:val="10533"/>
    <w:uiPriority w:val="99"/>
    <w:qFormat/>
    <w:pPr>
      <w:pBdr>
        <w:top w:val="single" w:color="000000" w:sz="4" w:space="0"/>
        <w:left w:val="single" w:color="000000" w:sz="4" w:space="0"/>
        <w:bottom w:val="single" w:color="000000" w:sz="8" w:space="0"/>
        <w:right w:val="single" w:color="000000" w:sz="8" w:space="0"/>
      </w:pBdr>
      <w:shd w:val="clear" w:color="000000" w:fill="92d050"/>
      <w:spacing w:afterAutospacing="1" w:beforeAutospacing="1" w:line="360" w:lineRule="auto"/>
      <w:ind/>
      <w:jc w:val="right"/>
    </w:pPr>
    <w:rPr>
      <w:lang w:val="en-US" w:bidi="en-US"/>
    </w:rPr>
  </w:style>
  <w:style w:type="paragraph" w:styleId="11519" w:customStyle="1">
    <w:name w:val="xl46735"/>
    <w:basedOn w:val="10533"/>
    <w:uiPriority w:val="99"/>
    <w:qFormat/>
    <w:pPr>
      <w:pBdr/>
      <w:spacing w:afterAutospacing="1" w:beforeAutospacing="1" w:line="360" w:lineRule="auto"/>
      <w:ind/>
    </w:pPr>
    <w:rPr>
      <w:lang w:val="en-US" w:bidi="en-US"/>
    </w:rPr>
  </w:style>
  <w:style w:type="paragraph" w:styleId="11520" w:customStyle="1">
    <w:name w:val="xl46736"/>
    <w:basedOn w:val="10533"/>
    <w:uiPriority w:val="99"/>
    <w:qFormat/>
    <w:pPr>
      <w:pBdr/>
      <w:shd w:val="clear" w:color="000000" w:fill="ffff00"/>
      <w:spacing w:afterAutospacing="1" w:beforeAutospacing="1" w:line="360" w:lineRule="auto"/>
      <w:ind/>
    </w:pPr>
    <w:rPr>
      <w:lang w:val="en-US" w:bidi="en-US"/>
    </w:rPr>
  </w:style>
  <w:style w:type="paragraph" w:styleId="11521" w:customStyle="1">
    <w:name w:val="xl47857"/>
    <w:basedOn w:val="10533"/>
    <w:qFormat/>
    <w:pPr>
      <w:pBdr/>
      <w:spacing w:afterAutospacing="1" w:beforeAutospacing="1" w:line="360" w:lineRule="auto"/>
      <w:ind/>
    </w:pPr>
    <w:rPr>
      <w:lang w:val="en-US" w:bidi="en-US"/>
    </w:rPr>
  </w:style>
  <w:style w:type="paragraph" w:styleId="11522" w:customStyle="1">
    <w:name w:val="xl47858"/>
    <w:basedOn w:val="10533"/>
    <w:qFormat/>
    <w:pPr>
      <w:pBdr/>
      <w:shd w:val="clear" w:color="000000" w:fill="ffff00"/>
      <w:spacing w:afterAutospacing="1" w:beforeAutospacing="1" w:line="360" w:lineRule="auto"/>
      <w:ind/>
    </w:pPr>
    <w:rPr>
      <w:lang w:val="en-US" w:bidi="en-US"/>
    </w:rPr>
  </w:style>
  <w:style w:type="paragraph" w:styleId="11523" w:customStyle="1">
    <w:name w:val="xl47859"/>
    <w:basedOn w:val="10533"/>
    <w:qFormat/>
    <w:pPr>
      <w:pBdr>
        <w:left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524" w:customStyle="1">
    <w:name w:val="xl47860"/>
    <w:basedOn w:val="10533"/>
    <w:qFormat/>
    <w:pPr>
      <w:pBdr>
        <w:left w:val="single" w:color="000000" w:sz="4" w:space="0"/>
        <w:bottom w:val="single" w:color="000000" w:sz="4" w:space="0"/>
        <w:right w:val="single" w:color="000000" w:sz="4" w:space="0"/>
      </w:pBdr>
      <w:shd w:val="clear" w:color="000000" w:fill="d8d8d8"/>
      <w:spacing w:afterAutospacing="1" w:beforeAutospacing="1" w:line="360" w:lineRule="auto"/>
      <w:ind/>
      <w:jc w:val="center"/>
    </w:pPr>
    <w:rPr>
      <w:b/>
      <w:bCs/>
      <w:lang w:val="en-US" w:bidi="en-US"/>
    </w:rPr>
  </w:style>
  <w:style w:type="paragraph" w:styleId="11525" w:customStyle="1">
    <w:name w:val="xl47861"/>
    <w:basedOn w:val="10533"/>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jc w:val="center"/>
    </w:pPr>
    <w:rPr>
      <w:b/>
      <w:bCs/>
      <w:lang w:val="en-US" w:bidi="en-US"/>
    </w:rPr>
  </w:style>
  <w:style w:type="paragraph" w:styleId="11526" w:customStyle="1">
    <w:name w:val="xl47862"/>
    <w:basedOn w:val="10533"/>
    <w:qFormat/>
    <w:pPr>
      <w:pBdr>
        <w:top w:val="single" w:color="000000" w:sz="4" w:space="0"/>
        <w:left w:val="single" w:color="000000" w:sz="4" w:space="0"/>
        <w:bottom w:val="single" w:color="000000" w:sz="4" w:space="0"/>
        <w:right w:val="single" w:color="000000" w:sz="4" w:space="0"/>
      </w:pBdr>
      <w:shd w:val="clear" w:color="000000" w:fill="fac090"/>
      <w:spacing w:afterAutospacing="1" w:beforeAutospacing="1" w:line="360" w:lineRule="auto"/>
      <w:ind/>
      <w:jc w:val="center"/>
    </w:pPr>
    <w:rPr>
      <w:b/>
      <w:bCs/>
      <w:i/>
      <w:iCs/>
      <w:lang w:val="en-US" w:bidi="en-US"/>
    </w:rPr>
  </w:style>
  <w:style w:type="paragraph" w:styleId="11527" w:customStyle="1">
    <w:name w:val="xl47863"/>
    <w:basedOn w:val="10533"/>
    <w:qFormat/>
    <w:pPr>
      <w:pBdr>
        <w:top w:val="single" w:color="000000" w:sz="4" w:space="0"/>
        <w:left w:val="single" w:color="000000" w:sz="4" w:space="0"/>
        <w:bottom w:val="single" w:color="000000" w:sz="4" w:space="0"/>
        <w:right w:val="single" w:color="000000" w:sz="4" w:space="0"/>
      </w:pBdr>
      <w:shd w:val="clear" w:color="000000" w:fill="fac090"/>
      <w:spacing w:afterAutospacing="1" w:beforeAutospacing="1" w:line="360" w:lineRule="auto"/>
      <w:ind/>
      <w:jc w:val="center"/>
    </w:pPr>
    <w:rPr>
      <w:b/>
      <w:bCs/>
      <w:i/>
      <w:iCs/>
      <w:lang w:val="en-US" w:bidi="en-US"/>
    </w:rPr>
  </w:style>
  <w:style w:type="paragraph" w:styleId="11528" w:customStyle="1">
    <w:name w:val="xl47864"/>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529" w:customStyle="1">
    <w:name w:val="xl47865"/>
    <w:basedOn w:val="10533"/>
    <w:qFormat/>
    <w:pPr>
      <w:pBdr>
        <w:left w:val="single" w:color="000000" w:sz="4" w:space="0"/>
        <w:bottom w:val="single" w:color="000000" w:sz="4" w:space="0"/>
        <w:right w:val="single" w:color="000000" w:sz="4" w:space="0"/>
      </w:pBdr>
      <w:shd w:val="clear" w:color="000000" w:fill="d8d8d8"/>
      <w:spacing w:afterAutospacing="1" w:beforeAutospacing="1" w:line="360" w:lineRule="auto"/>
      <w:ind/>
      <w:jc w:val="center"/>
    </w:pPr>
    <w:rPr>
      <w:b/>
      <w:bCs/>
      <w:lang w:val="en-US" w:bidi="en-US"/>
    </w:rPr>
  </w:style>
  <w:style w:type="paragraph" w:styleId="11530" w:customStyle="1">
    <w:name w:val="xl47866"/>
    <w:basedOn w:val="10533"/>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jc w:val="center"/>
    </w:pPr>
    <w:rPr>
      <w:b/>
      <w:bCs/>
      <w:lang w:val="en-US" w:bidi="en-US"/>
    </w:rPr>
  </w:style>
  <w:style w:type="paragraph" w:styleId="11531" w:customStyle="1">
    <w:name w:val="xl47867"/>
    <w:basedOn w:val="10533"/>
    <w:qFormat/>
    <w:pPr>
      <w:pBdr>
        <w:top w:val="single" w:color="000000" w:sz="4" w:space="0"/>
        <w:left w:val="single" w:color="000000" w:sz="4" w:space="0"/>
        <w:bottom w:val="single" w:color="000000" w:sz="4" w:space="0"/>
        <w:right w:val="single" w:color="000000" w:sz="4" w:space="0"/>
      </w:pBdr>
      <w:shd w:val="clear" w:color="000000" w:fill="fcd5b4"/>
      <w:spacing w:afterAutospacing="1" w:beforeAutospacing="1" w:line="360" w:lineRule="auto"/>
      <w:ind/>
      <w:jc w:val="center"/>
    </w:pPr>
    <w:rPr>
      <w:b/>
      <w:bCs/>
      <w:sz w:val="28"/>
      <w:szCs w:val="28"/>
      <w:lang w:val="en-US" w:bidi="en-US"/>
    </w:rPr>
  </w:style>
  <w:style w:type="paragraph" w:styleId="11532" w:customStyle="1">
    <w:name w:val="xl47868"/>
    <w:basedOn w:val="10533"/>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pPr>
    <w:rPr>
      <w:b/>
      <w:bCs/>
      <w:lang w:val="en-US" w:bidi="en-US"/>
    </w:rPr>
  </w:style>
  <w:style w:type="paragraph" w:styleId="11533" w:customStyle="1">
    <w:name w:val="xl47869"/>
    <w:basedOn w:val="10533"/>
    <w:qFormat/>
    <w:pPr>
      <w:pBdr>
        <w:left w:val="single" w:color="000000" w:sz="4" w:space="0"/>
        <w:bottom w:val="single" w:color="000000" w:sz="4" w:space="0"/>
        <w:right w:val="single" w:color="000000" w:sz="4" w:space="0"/>
      </w:pBdr>
      <w:shd w:val="clear" w:color="000000" w:fill="eaf1dd"/>
      <w:spacing w:afterAutospacing="1" w:beforeAutospacing="1" w:line="360" w:lineRule="auto"/>
      <w:ind/>
    </w:pPr>
    <w:rPr>
      <w:lang w:val="en-US" w:bidi="en-US"/>
    </w:rPr>
  </w:style>
  <w:style w:type="paragraph" w:styleId="11534" w:customStyle="1">
    <w:name w:val="xl47870"/>
    <w:basedOn w:val="10533"/>
    <w:qFormat/>
    <w:pPr>
      <w:pBdr>
        <w:top w:val="single" w:color="000000" w:sz="4" w:space="0"/>
        <w:left w:val="single" w:color="000000" w:sz="4" w:space="0"/>
        <w:bottom w:val="single" w:color="000000" w:sz="4" w:space="0"/>
        <w:right w:val="single" w:color="000000" w:sz="4" w:space="0"/>
      </w:pBdr>
      <w:shd w:val="clear" w:color="000000" w:fill="fde9d9"/>
      <w:spacing w:afterAutospacing="1" w:beforeAutospacing="1" w:line="360" w:lineRule="auto"/>
      <w:ind/>
    </w:pPr>
    <w:rPr>
      <w:lang w:val="en-US" w:bidi="en-US"/>
    </w:rPr>
  </w:style>
  <w:style w:type="paragraph" w:styleId="11535" w:customStyle="1">
    <w:name w:val="xl47871"/>
    <w:basedOn w:val="10533"/>
    <w:qFormat/>
    <w:pPr>
      <w:pBdr>
        <w:top w:val="single" w:color="000000" w:sz="4" w:space="0"/>
        <w:left w:val="single" w:color="000000" w:sz="4" w:space="0"/>
        <w:bottom w:val="single" w:color="000000" w:sz="4" w:space="0"/>
        <w:right w:val="single" w:color="000000" w:sz="4" w:space="0"/>
      </w:pBdr>
      <w:shd w:val="clear" w:color="000000" w:fill="92d050"/>
      <w:spacing w:afterAutospacing="1" w:beforeAutospacing="1" w:line="360" w:lineRule="auto"/>
      <w:ind/>
      <w:jc w:val="center"/>
    </w:pPr>
    <w:rPr>
      <w:b/>
      <w:bCs/>
      <w:lang w:val="en-US" w:bidi="en-US"/>
    </w:rPr>
  </w:style>
  <w:style w:type="paragraph" w:styleId="11536" w:customStyle="1">
    <w:name w:val="xl47872"/>
    <w:basedOn w:val="10533"/>
    <w:qFormat/>
    <w:pPr>
      <w:pBdr>
        <w:left w:val="single" w:color="000000" w:sz="4" w:space="0"/>
        <w:bottom w:val="single" w:color="000000" w:sz="4" w:space="0"/>
        <w:right w:val="single" w:color="000000" w:sz="4" w:space="0"/>
      </w:pBdr>
      <w:shd w:val="clear" w:color="000000" w:fill="dbeef3"/>
      <w:spacing w:afterAutospacing="1" w:beforeAutospacing="1" w:line="360" w:lineRule="auto"/>
      <w:ind/>
    </w:pPr>
    <w:rPr>
      <w:lang w:val="en-US" w:bidi="en-US"/>
    </w:rPr>
  </w:style>
  <w:style w:type="paragraph" w:styleId="11537" w:customStyle="1">
    <w:name w:val="xl47873"/>
    <w:basedOn w:val="10533"/>
    <w:qFormat/>
    <w:pPr>
      <w:pBdr>
        <w:top w:val="single" w:color="000000" w:sz="4" w:space="0"/>
        <w:left w:val="single" w:color="000000" w:sz="4" w:space="0"/>
        <w:bottom w:val="single" w:color="000000" w:sz="4" w:space="0"/>
        <w:right w:val="single" w:color="000000" w:sz="4" w:space="0"/>
      </w:pBdr>
      <w:shd w:val="clear" w:color="000000" w:fill="e6b9b8"/>
      <w:spacing w:afterAutospacing="1" w:beforeAutospacing="1" w:line="360" w:lineRule="auto"/>
      <w:ind/>
    </w:pPr>
    <w:rPr>
      <w:lang w:val="en-US" w:bidi="en-US"/>
    </w:rPr>
  </w:style>
  <w:style w:type="paragraph" w:styleId="11538" w:customStyle="1">
    <w:name w:val="xl47874"/>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pPr>
    <w:rPr>
      <w:lang w:val="en-US" w:bidi="en-US"/>
    </w:rPr>
  </w:style>
  <w:style w:type="paragraph" w:styleId="11539" w:customStyle="1">
    <w:name w:val="xl47875"/>
    <w:basedOn w:val="10533"/>
    <w:qFormat/>
    <w:pPr>
      <w:pBdr>
        <w:top w:val="single" w:color="000000" w:sz="4" w:space="0"/>
        <w:left w:val="single" w:color="000000" w:sz="4" w:space="0"/>
        <w:bottom w:val="single" w:color="000000" w:sz="4" w:space="0"/>
        <w:right w:val="single" w:color="000000" w:sz="4" w:space="0"/>
      </w:pBdr>
      <w:shd w:val="clear" w:color="000000" w:fill="eeece1"/>
      <w:spacing w:afterAutospacing="1" w:beforeAutospacing="1" w:line="360" w:lineRule="auto"/>
      <w:ind/>
    </w:pPr>
    <w:rPr>
      <w:lang w:val="en-US" w:bidi="en-US"/>
    </w:rPr>
  </w:style>
  <w:style w:type="paragraph" w:styleId="11540" w:customStyle="1">
    <w:name w:val="xl47876"/>
    <w:basedOn w:val="10533"/>
    <w:qFormat/>
    <w:pPr>
      <w:pBdr>
        <w:top w:val="single" w:color="000000" w:sz="4" w:space="0"/>
        <w:left w:val="single" w:color="000000" w:sz="4" w:space="0"/>
        <w:bottom w:val="single" w:color="000000" w:sz="4" w:space="0"/>
        <w:right w:val="single" w:color="000000" w:sz="4" w:space="0"/>
      </w:pBdr>
      <w:shd w:val="clear" w:color="000000" w:fill="92d050"/>
      <w:spacing w:afterAutospacing="1" w:beforeAutospacing="1" w:line="360" w:lineRule="auto"/>
      <w:ind/>
    </w:pPr>
    <w:rPr>
      <w:b/>
      <w:bCs/>
      <w:lang w:val="en-US" w:bidi="en-US"/>
    </w:rPr>
  </w:style>
  <w:style w:type="paragraph" w:styleId="11541" w:customStyle="1">
    <w:name w:val="xl47877"/>
    <w:basedOn w:val="10533"/>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pPr>
    <w:rPr>
      <w:b/>
      <w:bCs/>
      <w:lang w:val="en-US" w:bidi="en-US"/>
    </w:rPr>
  </w:style>
  <w:style w:type="paragraph" w:styleId="11542" w:customStyle="1">
    <w:name w:val="xl47878"/>
    <w:basedOn w:val="10533"/>
    <w:qFormat/>
    <w:pPr>
      <w:pBdr>
        <w:top w:val="single" w:color="000000" w:sz="4" w:space="0"/>
        <w:left w:val="single" w:color="000000" w:sz="4" w:space="0"/>
        <w:bottom w:val="single" w:color="000000" w:sz="4" w:space="0"/>
        <w:right w:val="single" w:color="000000" w:sz="4" w:space="0"/>
      </w:pBdr>
      <w:shd w:val="clear" w:color="000000" w:fill="fde9d9"/>
      <w:spacing w:afterAutospacing="1" w:beforeAutospacing="1" w:line="360" w:lineRule="auto"/>
      <w:ind/>
    </w:pPr>
    <w:rPr>
      <w:lang w:val="en-US" w:bidi="en-US"/>
    </w:rPr>
  </w:style>
  <w:style w:type="paragraph" w:styleId="11543" w:customStyle="1">
    <w:name w:val="xl47879"/>
    <w:basedOn w:val="10533"/>
    <w:qFormat/>
    <w:pPr>
      <w:pBdr>
        <w:top w:val="single" w:color="000000" w:sz="4" w:space="0"/>
        <w:left w:val="single" w:color="000000" w:sz="4" w:space="0"/>
        <w:bottom w:val="single" w:color="000000" w:sz="4" w:space="0"/>
        <w:right w:val="single" w:color="000000" w:sz="4" w:space="0"/>
      </w:pBdr>
      <w:shd w:val="clear" w:color="000000" w:fill="bfbfbf"/>
      <w:spacing w:afterAutospacing="1" w:beforeAutospacing="1" w:line="360" w:lineRule="auto"/>
      <w:ind/>
      <w:jc w:val="center"/>
    </w:pPr>
    <w:rPr>
      <w:b/>
      <w:bCs/>
      <w:lang w:val="en-US" w:bidi="en-US"/>
    </w:rPr>
  </w:style>
  <w:style w:type="paragraph" w:styleId="11544" w:customStyle="1">
    <w:name w:val="xl47880"/>
    <w:basedOn w:val="10533"/>
    <w:qFormat/>
    <w:pPr>
      <w:pBdr>
        <w:bottom w:val="single" w:color="000000" w:sz="4" w:space="0"/>
        <w:right w:val="single" w:color="000000" w:sz="4" w:space="0"/>
      </w:pBdr>
      <w:shd w:val="clear" w:color="000000" w:fill="d8d8d8"/>
      <w:spacing w:afterAutospacing="1" w:beforeAutospacing="1" w:line="360" w:lineRule="auto"/>
      <w:ind/>
      <w:jc w:val="center"/>
    </w:pPr>
    <w:rPr>
      <w:b/>
      <w:bCs/>
      <w:lang w:val="en-US" w:bidi="en-US"/>
    </w:rPr>
  </w:style>
  <w:style w:type="paragraph" w:styleId="11545" w:customStyle="1">
    <w:name w:val="xl47881"/>
    <w:basedOn w:val="10533"/>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pPr>
    <w:rPr>
      <w:b/>
      <w:bCs/>
      <w:lang w:val="en-US" w:bidi="en-US"/>
    </w:rPr>
  </w:style>
  <w:style w:type="paragraph" w:styleId="11546" w:customStyle="1">
    <w:name w:val="xl47882"/>
    <w:basedOn w:val="10533"/>
    <w:qFormat/>
    <w:pPr>
      <w:pBdr>
        <w:top w:val="single" w:color="000000" w:sz="4" w:space="0"/>
        <w:left w:val="single" w:color="000000" w:sz="4" w:space="0"/>
        <w:bottom w:val="single" w:color="000000" w:sz="4" w:space="0"/>
        <w:right w:val="single" w:color="000000" w:sz="4" w:space="0"/>
      </w:pBdr>
      <w:shd w:val="clear" w:color="000000" w:fill="fde9d9"/>
      <w:spacing w:afterAutospacing="1" w:beforeAutospacing="1" w:line="360" w:lineRule="auto"/>
      <w:ind/>
    </w:pPr>
    <w:rPr>
      <w:lang w:val="en-US" w:bidi="en-US"/>
    </w:rPr>
  </w:style>
  <w:style w:type="paragraph" w:styleId="11548" w:customStyle="1">
    <w:name w:val="Рисунки"/>
    <w:basedOn w:val="13779"/>
    <w:link w:val="10640"/>
    <w:uiPriority w:val="99"/>
    <w:qFormat/>
    <w:pPr>
      <w:numPr>
        <w:ilvl w:val="0"/>
        <w:numId w:val="10"/>
      </w:numPr>
      <w:pBdr/>
      <w:shd w:val="clear" w:color="auto" w:fill="auto"/>
      <w:spacing w:after="0" w:before="0" w:line="240" w:lineRule="auto"/>
      <w:ind w:right="20"/>
    </w:pPr>
    <w:rPr>
      <w:i/>
    </w:rPr>
  </w:style>
  <w:style w:type="paragraph" w:styleId="11549" w:customStyle="1">
    <w:name w:val="xl47501"/>
    <w:basedOn w:val="10533"/>
    <w:uiPriority w:val="99"/>
    <w:qFormat/>
    <w:pPr>
      <w:pBdr>
        <w:top w:val="single" w:color="000000" w:sz="8" w:space="0"/>
        <w:left w:val="single" w:color="000000" w:sz="8" w:space="0"/>
        <w:right w:val="single" w:color="000000" w:sz="8" w:space="0"/>
      </w:pBdr>
      <w:spacing w:afterAutospacing="1" w:beforeAutospacing="1" w:line="360" w:lineRule="auto"/>
      <w:ind/>
      <w:jc w:val="center"/>
    </w:pPr>
    <w:rPr>
      <w:color w:val="000000"/>
      <w:lang w:val="en-US" w:bidi="en-US"/>
    </w:rPr>
  </w:style>
  <w:style w:type="paragraph" w:styleId="11550" w:customStyle="1">
    <w:name w:val="xl47502"/>
    <w:basedOn w:val="10533"/>
    <w:uiPriority w:val="99"/>
    <w:qFormat/>
    <w:pPr>
      <w:pBdr>
        <w:left w:val="single" w:color="000000" w:sz="8" w:space="0"/>
        <w:right w:val="single" w:color="000000" w:sz="8" w:space="0"/>
      </w:pBdr>
      <w:spacing w:afterAutospacing="1" w:beforeAutospacing="1" w:line="360" w:lineRule="auto"/>
      <w:ind/>
      <w:jc w:val="center"/>
    </w:pPr>
    <w:rPr>
      <w:color w:val="000000"/>
      <w:lang w:val="en-US" w:bidi="en-US"/>
    </w:rPr>
  </w:style>
  <w:style w:type="paragraph" w:styleId="11551" w:customStyle="1">
    <w:name w:val="xl47503"/>
    <w:basedOn w:val="10533"/>
    <w:uiPriority w:val="99"/>
    <w:qFormat/>
    <w:pPr>
      <w:pBdr>
        <w:top w:val="single" w:color="000000" w:sz="8" w:space="0"/>
        <w:left w:val="single" w:color="000000" w:sz="8" w:space="0"/>
        <w:right w:val="single" w:color="000000" w:sz="8" w:space="0"/>
      </w:pBdr>
      <w:spacing w:afterAutospacing="1" w:beforeAutospacing="1" w:line="360" w:lineRule="auto"/>
      <w:ind/>
      <w:jc w:val="center"/>
    </w:pPr>
    <w:rPr>
      <w:lang w:val="en-US" w:bidi="en-US"/>
    </w:rPr>
  </w:style>
  <w:style w:type="paragraph" w:styleId="11552" w:customStyle="1">
    <w:name w:val="xl47504"/>
    <w:basedOn w:val="10533"/>
    <w:uiPriority w:val="99"/>
    <w:qFormat/>
    <w:pPr>
      <w:pBdr>
        <w:left w:val="single" w:color="000000" w:sz="8" w:space="0"/>
        <w:right w:val="single" w:color="000000" w:sz="8" w:space="0"/>
      </w:pBdr>
      <w:spacing w:afterAutospacing="1" w:beforeAutospacing="1" w:line="360" w:lineRule="auto"/>
      <w:ind/>
      <w:jc w:val="center"/>
    </w:pPr>
    <w:rPr>
      <w:lang w:val="en-US" w:bidi="en-US"/>
    </w:rPr>
  </w:style>
  <w:style w:type="paragraph" w:styleId="11553" w:customStyle="1">
    <w:name w:val="xl47505"/>
    <w:basedOn w:val="10533"/>
    <w:uiPriority w:val="99"/>
    <w:qFormat/>
    <w:pPr>
      <w:pBdr>
        <w:left w:val="single" w:color="000000" w:sz="8" w:space="0"/>
        <w:bottom w:val="single" w:color="000000" w:sz="8" w:space="0"/>
        <w:right w:val="single" w:color="000000" w:sz="8" w:space="0"/>
      </w:pBdr>
      <w:spacing w:afterAutospacing="1" w:beforeAutospacing="1" w:line="360" w:lineRule="auto"/>
      <w:ind/>
      <w:jc w:val="center"/>
    </w:pPr>
    <w:rPr>
      <w:lang w:val="en-US" w:bidi="en-US"/>
    </w:rPr>
  </w:style>
  <w:style w:type="paragraph" w:styleId="11554" w:customStyle="1">
    <w:name w:val="xl729"/>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lang w:val="en-US" w:bidi="en-US"/>
    </w:rPr>
  </w:style>
  <w:style w:type="paragraph" w:styleId="11555" w:customStyle="1">
    <w:name w:val="xl730"/>
    <w:basedOn w:val="10533"/>
    <w:uiPriority w:val="99"/>
    <w:qFormat/>
    <w:pPr>
      <w:pBdr>
        <w:top w:val="single" w:color="000000" w:sz="4" w:space="0"/>
        <w:left w:val="single" w:color="000000" w:sz="8" w:space="0"/>
        <w:bottom w:val="single" w:color="000000" w:sz="4" w:space="0"/>
        <w:right w:val="single" w:color="000000" w:sz="4" w:space="0"/>
      </w:pBdr>
      <w:spacing w:afterAutospacing="1" w:beforeAutospacing="1" w:line="360" w:lineRule="auto"/>
      <w:ind/>
    </w:pPr>
    <w:rPr>
      <w:lang w:val="en-US" w:bidi="en-US"/>
    </w:rPr>
  </w:style>
  <w:style w:type="paragraph" w:styleId="11556" w:customStyle="1">
    <w:name w:val="xl731"/>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lang w:val="en-US" w:bidi="en-US"/>
    </w:rPr>
  </w:style>
  <w:style w:type="paragraph" w:styleId="11557" w:customStyle="1">
    <w:name w:val="xl732"/>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lang w:val="en-US" w:bidi="en-US"/>
    </w:rPr>
  </w:style>
  <w:style w:type="paragraph" w:styleId="11558" w:customStyle="1">
    <w:name w:val="Таблицы"/>
    <w:basedOn w:val="11103"/>
    <w:link w:val="10643"/>
    <w:uiPriority w:val="99"/>
    <w:qFormat/>
    <w:pPr>
      <w:numPr>
        <w:ilvl w:val="0"/>
        <w:numId w:val="11"/>
      </w:numPr>
      <w:pBdr/>
      <w:spacing/>
      <w:ind/>
      <w:jc w:val="right"/>
    </w:pPr>
    <w:rPr>
      <w:lang w:eastAsia="ru-RU"/>
    </w:rPr>
  </w:style>
  <w:style w:type="paragraph" w:styleId="11559" w:customStyle="1">
    <w:name w:val="xl733"/>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lang w:val="en-US" w:bidi="en-US"/>
    </w:rPr>
  </w:style>
  <w:style w:type="paragraph" w:styleId="11560" w:customStyle="1">
    <w:name w:val="xl734"/>
    <w:basedOn w:val="10533"/>
    <w:uiPriority w:val="99"/>
    <w:qFormat/>
    <w:pPr>
      <w:pBdr>
        <w:top w:val="single" w:color="000000" w:sz="4" w:space="0"/>
        <w:left w:val="single" w:color="000000" w:sz="4" w:space="0"/>
        <w:bottom w:val="single" w:color="000000" w:sz="8" w:space="0"/>
        <w:right w:val="single" w:color="000000" w:sz="4" w:space="0"/>
      </w:pBdr>
      <w:spacing w:afterAutospacing="1" w:beforeAutospacing="1" w:line="360" w:lineRule="auto"/>
      <w:ind/>
      <w:jc w:val="center"/>
    </w:pPr>
    <w:rPr>
      <w:rFonts w:ascii="Arial" w:hAnsi="Arial" w:cs="Arial"/>
      <w:lang w:val="en-US" w:bidi="en-US"/>
    </w:rPr>
  </w:style>
  <w:style w:type="paragraph" w:styleId="11561" w:customStyle="1">
    <w:name w:val="xl735"/>
    <w:basedOn w:val="10533"/>
    <w:uiPriority w:val="99"/>
    <w:qFormat/>
    <w:pPr>
      <w:pBdr>
        <w:top w:val="single" w:color="000000" w:sz="4" w:space="0"/>
        <w:left w:val="single" w:color="000000" w:sz="4" w:space="0"/>
        <w:bottom w:val="single" w:color="000000" w:sz="8"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62" w:customStyle="1">
    <w:name w:val="xl736"/>
    <w:basedOn w:val="10533"/>
    <w:uiPriority w:val="99"/>
    <w:qFormat/>
    <w:pPr>
      <w:pBdr>
        <w:top w:val="single" w:color="000000" w:sz="4" w:space="0"/>
        <w:left w:val="single" w:color="000000" w:sz="8" w:space="0"/>
        <w:bottom w:val="single" w:color="000000" w:sz="8"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63" w:customStyle="1">
    <w:name w:val="xl737"/>
    <w:basedOn w:val="10533"/>
    <w:uiPriority w:val="99"/>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64" w:customStyle="1">
    <w:name w:val="xl738"/>
    <w:basedOn w:val="10533"/>
    <w:uiPriority w:val="99"/>
    <w:qFormat/>
    <w:pPr>
      <w:pBdr>
        <w:top w:val="single" w:color="000000" w:sz="4" w:space="0"/>
        <w:left w:val="single" w:color="000000" w:sz="8" w:space="0"/>
        <w:bottom w:val="single" w:color="000000" w:sz="4"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65" w:customStyle="1">
    <w:name w:val="xl739"/>
    <w:basedOn w:val="10533"/>
    <w:uiPriority w:val="99"/>
    <w:qFormat/>
    <w:pPr>
      <w:pBdr/>
      <w:spacing w:afterAutospacing="1" w:beforeAutospacing="1" w:line="360" w:lineRule="auto"/>
      <w:ind/>
    </w:pPr>
    <w:rPr>
      <w:lang w:val="en-US" w:bidi="en-US"/>
    </w:rPr>
  </w:style>
  <w:style w:type="paragraph" w:styleId="11566" w:customStyle="1">
    <w:name w:val="xl740"/>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lang w:val="en-US" w:bidi="en-US"/>
    </w:rPr>
  </w:style>
  <w:style w:type="paragraph" w:styleId="11567" w:customStyle="1">
    <w:name w:val="xl741"/>
    <w:basedOn w:val="10533"/>
    <w:uiPriority w:val="99"/>
    <w:qFormat/>
    <w:pPr>
      <w:pBdr>
        <w:top w:val="single" w:color="000000" w:sz="8" w:space="0"/>
        <w:left w:val="single" w:color="000000" w:sz="8" w:space="0"/>
      </w:pBdr>
      <w:shd w:val="clear" w:color="000000" w:fill="b2a1c7"/>
      <w:spacing w:afterAutospacing="1" w:beforeAutospacing="1" w:line="360" w:lineRule="auto"/>
      <w:ind/>
    </w:pPr>
    <w:rPr>
      <w:lang w:val="en-US" w:bidi="en-US"/>
    </w:rPr>
  </w:style>
  <w:style w:type="paragraph" w:styleId="11568" w:customStyle="1">
    <w:name w:val="xl742"/>
    <w:basedOn w:val="10533"/>
    <w:uiPriority w:val="99"/>
    <w:qFormat/>
    <w:pPr>
      <w:pBdr>
        <w:top w:val="single" w:color="000000" w:sz="8" w:space="0"/>
      </w:pBdr>
      <w:shd w:val="clear" w:color="000000" w:fill="b2a1c7"/>
      <w:spacing w:afterAutospacing="1" w:beforeAutospacing="1" w:line="360" w:lineRule="auto"/>
      <w:ind/>
    </w:pPr>
    <w:rPr>
      <w:lang w:val="en-US" w:bidi="en-US"/>
    </w:rPr>
  </w:style>
  <w:style w:type="paragraph" w:styleId="11569" w:customStyle="1">
    <w:name w:val="xl743"/>
    <w:basedOn w:val="10533"/>
    <w:uiPriority w:val="99"/>
    <w:qFormat/>
    <w:pPr>
      <w:pBdr>
        <w:top w:val="single" w:color="000000" w:sz="8" w:space="0"/>
        <w:right w:val="single" w:color="000000" w:sz="8" w:space="0"/>
      </w:pBdr>
      <w:shd w:val="clear" w:color="000000" w:fill="b2a1c7"/>
      <w:spacing w:afterAutospacing="1" w:beforeAutospacing="1" w:line="360" w:lineRule="auto"/>
      <w:ind/>
    </w:pPr>
    <w:rPr>
      <w:lang w:val="en-US" w:bidi="en-US"/>
    </w:rPr>
  </w:style>
  <w:style w:type="paragraph" w:styleId="11570" w:customStyle="1">
    <w:name w:val="xl744"/>
    <w:basedOn w:val="10533"/>
    <w:uiPriority w:val="99"/>
    <w:qFormat/>
    <w:pPr>
      <w:pBdr>
        <w:top w:val="single" w:color="000000" w:sz="4" w:space="0"/>
        <w:left w:val="single" w:color="000000" w:sz="8" w:space="0"/>
        <w:bottom w:val="single" w:color="000000" w:sz="4" w:space="0"/>
        <w:right w:val="single" w:color="000000" w:sz="4" w:space="0"/>
      </w:pBdr>
      <w:shd w:val="clear" w:color="000000" w:fill="b2a1c7"/>
      <w:spacing w:afterAutospacing="1" w:beforeAutospacing="1" w:line="360" w:lineRule="auto"/>
      <w:ind/>
      <w:jc w:val="center"/>
    </w:pPr>
    <w:rPr>
      <w:rFonts w:ascii="Arial" w:hAnsi="Arial" w:cs="Arial"/>
      <w:b/>
      <w:bCs/>
      <w:lang w:val="en-US" w:bidi="en-US"/>
    </w:rPr>
  </w:style>
  <w:style w:type="paragraph" w:styleId="11571" w:customStyle="1">
    <w:name w:val="xl745"/>
    <w:basedOn w:val="10533"/>
    <w:uiPriority w:val="99"/>
    <w:qFormat/>
    <w:pPr>
      <w:pBdr>
        <w:top w:val="single" w:color="000000" w:sz="4" w:space="0"/>
        <w:left w:val="single" w:color="000000" w:sz="4" w:space="0"/>
        <w:bottom w:val="single" w:color="000000" w:sz="4" w:space="0"/>
        <w:right w:val="single" w:color="000000" w:sz="4" w:space="0"/>
      </w:pBdr>
      <w:shd w:val="clear" w:color="000000" w:fill="b2a1c7"/>
      <w:spacing w:afterAutospacing="1" w:beforeAutospacing="1" w:line="360" w:lineRule="auto"/>
      <w:ind/>
      <w:jc w:val="center"/>
    </w:pPr>
    <w:rPr>
      <w:rFonts w:ascii="Arial" w:hAnsi="Arial" w:cs="Arial"/>
      <w:b/>
      <w:bCs/>
      <w:lang w:val="en-US" w:bidi="en-US"/>
    </w:rPr>
  </w:style>
  <w:style w:type="paragraph" w:styleId="11572" w:customStyle="1">
    <w:name w:val="xl746"/>
    <w:basedOn w:val="10533"/>
    <w:uiPriority w:val="99"/>
    <w:qFormat/>
    <w:pPr>
      <w:pBdr>
        <w:top w:val="single" w:color="000000" w:sz="4" w:space="0"/>
        <w:left w:val="single" w:color="000000" w:sz="4" w:space="0"/>
        <w:bottom w:val="single" w:color="000000" w:sz="4" w:space="0"/>
        <w:right w:val="single" w:color="000000" w:sz="8" w:space="0"/>
      </w:pBdr>
      <w:shd w:val="clear" w:color="000000" w:fill="b2a1c7"/>
      <w:spacing w:afterAutospacing="1" w:beforeAutospacing="1" w:line="360" w:lineRule="auto"/>
      <w:ind/>
      <w:jc w:val="center"/>
    </w:pPr>
    <w:rPr>
      <w:rFonts w:ascii="Arial" w:hAnsi="Arial" w:cs="Arial"/>
      <w:b/>
      <w:bCs/>
      <w:lang w:val="en-US" w:bidi="en-US"/>
    </w:rPr>
  </w:style>
  <w:style w:type="paragraph" w:styleId="11573" w:customStyle="1">
    <w:name w:val="xl747"/>
    <w:basedOn w:val="10533"/>
    <w:uiPriority w:val="99"/>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center"/>
    </w:pPr>
    <w:rPr>
      <w:rFonts w:ascii="Arial" w:hAnsi="Arial" w:cs="Arial"/>
      <w:lang w:val="en-US" w:bidi="en-US"/>
    </w:rPr>
  </w:style>
  <w:style w:type="paragraph" w:styleId="11574" w:customStyle="1">
    <w:name w:val="xl748"/>
    <w:basedOn w:val="10533"/>
    <w:uiPriority w:val="99"/>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center"/>
    </w:pPr>
    <w:rPr>
      <w:rFonts w:ascii="Arial" w:hAnsi="Arial" w:cs="Arial"/>
      <w:lang w:val="en-US" w:bidi="en-US"/>
    </w:rPr>
  </w:style>
  <w:style w:type="paragraph" w:styleId="11575" w:customStyle="1">
    <w:name w:val="xl749"/>
    <w:basedOn w:val="10533"/>
    <w:uiPriority w:val="99"/>
    <w:qFormat/>
    <w:pPr>
      <w:pBdr>
        <w:top w:val="single" w:color="000000" w:sz="4" w:space="0"/>
        <w:left w:val="single" w:color="000000" w:sz="4" w:space="0"/>
        <w:bottom w:val="single" w:color="000000" w:sz="8" w:space="0"/>
        <w:right w:val="single" w:color="000000" w:sz="4" w:space="0"/>
      </w:pBdr>
      <w:spacing w:afterAutospacing="1" w:beforeAutospacing="1" w:line="360" w:lineRule="auto"/>
      <w:ind/>
      <w:jc w:val="center"/>
    </w:pPr>
    <w:rPr>
      <w:rFonts w:ascii="Arial" w:hAnsi="Arial" w:cs="Arial"/>
      <w:lang w:val="en-US" w:bidi="en-US"/>
    </w:rPr>
  </w:style>
  <w:style w:type="paragraph" w:styleId="11576" w:customStyle="1">
    <w:name w:val="xl750"/>
    <w:basedOn w:val="10533"/>
    <w:uiPriority w:val="99"/>
    <w:qFormat/>
    <w:pPr>
      <w:pBdr>
        <w:top w:val="single" w:color="000000" w:sz="4" w:space="0"/>
        <w:left w:val="single" w:color="000000" w:sz="4" w:space="0"/>
        <w:bottom w:val="single" w:color="000000" w:sz="8" w:space="0"/>
        <w:right w:val="single" w:color="000000" w:sz="8" w:space="0"/>
      </w:pBdr>
      <w:spacing w:afterAutospacing="1" w:beforeAutospacing="1" w:line="360" w:lineRule="auto"/>
      <w:ind/>
      <w:jc w:val="center"/>
    </w:pPr>
    <w:rPr>
      <w:rFonts w:ascii="Arial" w:hAnsi="Arial" w:cs="Arial"/>
      <w:lang w:val="en-US" w:bidi="en-US"/>
    </w:rPr>
  </w:style>
  <w:style w:type="paragraph" w:styleId="11577" w:customStyle="1">
    <w:name w:val="xl751"/>
    <w:basedOn w:val="10533"/>
    <w:uiPriority w:val="99"/>
    <w:qFormat/>
    <w:pPr>
      <w:pBdr>
        <w:top w:val="single" w:color="000000" w:sz="4" w:space="0"/>
        <w:left w:val="single" w:color="000000" w:sz="8" w:space="0"/>
        <w:bottom w:val="single" w:color="000000" w:sz="4"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78" w:customStyle="1">
    <w:name w:val="xl752"/>
    <w:basedOn w:val="10533"/>
    <w:uiPriority w:val="99"/>
    <w:qFormat/>
    <w:pPr>
      <w:pBdr>
        <w:top w:val="single" w:color="000000" w:sz="4" w:space="0"/>
        <w:left w:val="single" w:color="000000" w:sz="4" w:space="0"/>
        <w:bottom w:val="single" w:color="000000" w:sz="4"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79" w:customStyle="1">
    <w:name w:val="xl753"/>
    <w:basedOn w:val="10533"/>
    <w:uiPriority w:val="99"/>
    <w:qFormat/>
    <w:pPr>
      <w:pBdr>
        <w:top w:val="single" w:color="000000" w:sz="4" w:space="0"/>
        <w:left w:val="single" w:color="000000" w:sz="8" w:space="0"/>
        <w:bottom w:val="single" w:color="000000" w:sz="4" w:space="0"/>
        <w:right w:val="single" w:color="000000" w:sz="4" w:space="0"/>
      </w:pBdr>
      <w:shd w:val="clear" w:color="000000" w:fill="c5be97"/>
      <w:spacing w:afterAutospacing="1" w:beforeAutospacing="1" w:line="360" w:lineRule="auto"/>
      <w:ind/>
      <w:jc w:val="center"/>
    </w:pPr>
    <w:rPr>
      <w:rFonts w:ascii="Arial" w:hAnsi="Arial" w:cs="Arial"/>
      <w:b/>
      <w:bCs/>
      <w:lang w:val="en-US" w:bidi="en-US"/>
    </w:rPr>
  </w:style>
  <w:style w:type="paragraph" w:styleId="11580" w:customStyle="1">
    <w:name w:val="xl754"/>
    <w:basedOn w:val="10533"/>
    <w:uiPriority w:val="99"/>
    <w:qFormat/>
    <w:pPr>
      <w:pBdr>
        <w:top w:val="single" w:color="000000" w:sz="4" w:space="0"/>
        <w:left w:val="single" w:color="000000" w:sz="4" w:space="0"/>
        <w:bottom w:val="single" w:color="000000" w:sz="4" w:space="0"/>
        <w:right w:val="single" w:color="000000" w:sz="4" w:space="0"/>
      </w:pBdr>
      <w:shd w:val="clear" w:color="000000" w:fill="c5be97"/>
      <w:spacing w:afterAutospacing="1" w:beforeAutospacing="1" w:line="360" w:lineRule="auto"/>
      <w:ind/>
      <w:jc w:val="center"/>
    </w:pPr>
    <w:rPr>
      <w:rFonts w:ascii="Arial" w:hAnsi="Arial" w:cs="Arial"/>
      <w:b/>
      <w:bCs/>
      <w:lang w:val="en-US" w:bidi="en-US"/>
    </w:rPr>
  </w:style>
  <w:style w:type="paragraph" w:styleId="11581" w:customStyle="1">
    <w:name w:val="xl755"/>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Arial" w:hAnsi="Arial" w:cs="Arial"/>
      <w:lang w:val="en-US" w:bidi="en-US"/>
    </w:rPr>
  </w:style>
  <w:style w:type="paragraph" w:styleId="11582" w:customStyle="1">
    <w:name w:val="xl756"/>
    <w:basedOn w:val="10533"/>
    <w:uiPriority w:val="99"/>
    <w:qFormat/>
    <w:pPr>
      <w:pBdr/>
      <w:spacing w:afterAutospacing="1" w:beforeAutospacing="1" w:line="360" w:lineRule="auto"/>
      <w:ind/>
    </w:pPr>
    <w:rPr>
      <w:rFonts w:ascii="Calibri" w:hAnsi="Calibri" w:cs="Calibri"/>
      <w:lang w:val="en-US" w:bidi="en-US"/>
    </w:rPr>
  </w:style>
  <w:style w:type="paragraph" w:styleId="11583" w:customStyle="1">
    <w:name w:val="xl757"/>
    <w:basedOn w:val="10533"/>
    <w:uiPriority w:val="99"/>
    <w:qFormat/>
    <w:pPr>
      <w:pBdr>
        <w:top w:val="single" w:color="000000" w:sz="8" w:space="0"/>
      </w:pBdr>
      <w:shd w:val="clear" w:color="000000" w:fill="b8cce4"/>
      <w:spacing w:afterAutospacing="1" w:beforeAutospacing="1" w:line="360" w:lineRule="auto"/>
      <w:ind/>
    </w:pPr>
    <w:rPr>
      <w:lang w:val="en-US" w:bidi="en-US"/>
    </w:rPr>
  </w:style>
  <w:style w:type="paragraph" w:styleId="11584" w:customStyle="1">
    <w:name w:val="xl758"/>
    <w:basedOn w:val="10533"/>
    <w:uiPriority w:val="99"/>
    <w:qFormat/>
    <w:pPr>
      <w:pBdr>
        <w:top w:val="single" w:color="000000" w:sz="4" w:space="0"/>
        <w:left w:val="single" w:color="000000" w:sz="4" w:space="0"/>
        <w:bottom w:val="single" w:color="000000" w:sz="4" w:space="0"/>
        <w:right w:val="single" w:color="000000" w:sz="4" w:space="0"/>
      </w:pBdr>
      <w:shd w:val="clear" w:color="000000" w:fill="b8cce4"/>
      <w:spacing w:afterAutospacing="1" w:beforeAutospacing="1" w:line="360" w:lineRule="auto"/>
      <w:ind/>
      <w:jc w:val="center"/>
    </w:pPr>
    <w:rPr>
      <w:rFonts w:ascii="Arial" w:hAnsi="Arial" w:cs="Arial"/>
      <w:b/>
      <w:bCs/>
      <w:lang w:val="en-US" w:bidi="en-US"/>
    </w:rPr>
  </w:style>
  <w:style w:type="paragraph" w:styleId="11585" w:customStyle="1">
    <w:name w:val="xl759"/>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pPr>
    <w:rPr>
      <w:rFonts w:ascii="Calibri" w:hAnsi="Calibri" w:cs="Calibri"/>
      <w:lang w:val="en-US" w:bidi="en-US"/>
    </w:rPr>
  </w:style>
  <w:style w:type="paragraph" w:styleId="11586" w:customStyle="1">
    <w:name w:val="xl760"/>
    <w:basedOn w:val="10533"/>
    <w:uiPriority w:val="99"/>
    <w:qFormat/>
    <w:pPr>
      <w:pBdr>
        <w:top w:val="single" w:color="000000" w:sz="4" w:space="0"/>
        <w:left w:val="single" w:color="000000" w:sz="4" w:space="0"/>
        <w:bottom w:val="single" w:color="000000" w:sz="4" w:space="0"/>
        <w:right w:val="single" w:color="000000" w:sz="8" w:space="0"/>
      </w:pBdr>
      <w:spacing w:afterAutospacing="1" w:beforeAutospacing="1" w:line="360" w:lineRule="auto"/>
      <w:ind/>
    </w:pPr>
    <w:rPr>
      <w:rFonts w:ascii="Calibri" w:hAnsi="Calibri" w:cs="Calibri"/>
      <w:lang w:val="en-US" w:bidi="en-US"/>
    </w:rPr>
  </w:style>
  <w:style w:type="paragraph" w:styleId="11587" w:customStyle="1">
    <w:name w:val="xl761"/>
    <w:basedOn w:val="10533"/>
    <w:uiPriority w:val="99"/>
    <w:qFormat/>
    <w:pPr>
      <w:pBdr>
        <w:top w:val="single" w:color="000000" w:sz="4" w:space="0"/>
        <w:left w:val="single" w:color="000000" w:sz="4" w:space="0"/>
        <w:bottom w:val="single" w:color="000000" w:sz="4" w:space="0"/>
        <w:right w:val="single" w:color="000000" w:sz="8" w:space="0"/>
      </w:pBdr>
      <w:spacing w:afterAutospacing="1" w:beforeAutospacing="1" w:line="360" w:lineRule="auto"/>
      <w:ind/>
      <w:jc w:val="center"/>
    </w:pPr>
    <w:rPr>
      <w:rFonts w:ascii="Arial" w:hAnsi="Arial" w:cs="Arial"/>
      <w:lang w:val="en-US" w:bidi="en-US"/>
    </w:rPr>
  </w:style>
  <w:style w:type="paragraph" w:styleId="11588" w:customStyle="1">
    <w:name w:val="xl762"/>
    <w:basedOn w:val="10533"/>
    <w:uiPriority w:val="99"/>
    <w:qFormat/>
    <w:pPr>
      <w:pBdr>
        <w:top w:val="single" w:color="000000" w:sz="4" w:space="0"/>
        <w:left w:val="single" w:color="000000" w:sz="4" w:space="0"/>
        <w:bottom w:val="single" w:color="000000" w:sz="8"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589" w:customStyle="1">
    <w:name w:val="xl763"/>
    <w:basedOn w:val="10533"/>
    <w:uiPriority w:val="99"/>
    <w:qFormat/>
    <w:pPr>
      <w:pBdr>
        <w:top w:val="single" w:color="000000" w:sz="4" w:space="0"/>
        <w:left w:val="single" w:color="000000" w:sz="4" w:space="0"/>
        <w:bottom w:val="single" w:color="000000" w:sz="8" w:space="0"/>
        <w:right w:val="single" w:color="000000" w:sz="8" w:space="0"/>
      </w:pBdr>
      <w:spacing w:afterAutospacing="1" w:beforeAutospacing="1" w:line="360" w:lineRule="auto"/>
      <w:ind/>
      <w:jc w:val="center"/>
    </w:pPr>
    <w:rPr>
      <w:rFonts w:ascii="Arial" w:hAnsi="Arial" w:cs="Arial"/>
      <w:lang w:val="en-US" w:bidi="en-US"/>
    </w:rPr>
  </w:style>
  <w:style w:type="paragraph" w:styleId="11590" w:customStyle="1">
    <w:name w:val="xl764"/>
    <w:basedOn w:val="10533"/>
    <w:uiPriority w:val="99"/>
    <w:qFormat/>
    <w:pPr>
      <w:pBdr>
        <w:top w:val="single" w:color="000000" w:sz="8" w:space="0"/>
        <w:right w:val="single" w:color="000000" w:sz="8" w:space="0"/>
      </w:pBdr>
      <w:shd w:val="clear" w:color="000000" w:fill="b8cce4"/>
      <w:spacing w:afterAutospacing="1" w:beforeAutospacing="1" w:line="360" w:lineRule="auto"/>
      <w:ind/>
    </w:pPr>
    <w:rPr>
      <w:rFonts w:ascii="Calibri" w:hAnsi="Calibri" w:cs="Calibri"/>
      <w:lang w:val="en-US" w:bidi="en-US"/>
    </w:rPr>
  </w:style>
  <w:style w:type="paragraph" w:styleId="11591" w:customStyle="1">
    <w:name w:val="xl765"/>
    <w:basedOn w:val="10533"/>
    <w:uiPriority w:val="99"/>
    <w:qFormat/>
    <w:pPr>
      <w:pBdr>
        <w:top w:val="single" w:color="000000" w:sz="4" w:space="0"/>
        <w:left w:val="single" w:color="000000" w:sz="4" w:space="0"/>
        <w:bottom w:val="single" w:color="000000" w:sz="4" w:space="0"/>
        <w:right w:val="single" w:color="000000" w:sz="8" w:space="0"/>
      </w:pBdr>
      <w:shd w:val="clear" w:color="000000" w:fill="b8cce4"/>
      <w:spacing w:afterAutospacing="1" w:beforeAutospacing="1" w:line="360" w:lineRule="auto"/>
      <w:ind/>
      <w:jc w:val="center"/>
    </w:pPr>
    <w:rPr>
      <w:rFonts w:ascii="Arial" w:hAnsi="Arial" w:cs="Arial"/>
      <w:b/>
      <w:bCs/>
      <w:lang w:val="en-US" w:bidi="en-US"/>
    </w:rPr>
  </w:style>
  <w:style w:type="paragraph" w:styleId="11592" w:customStyle="1">
    <w:name w:val="xl766"/>
    <w:basedOn w:val="10533"/>
    <w:uiPriority w:val="99"/>
    <w:qFormat/>
    <w:pPr>
      <w:pBdr>
        <w:right w:val="single" w:color="000000" w:sz="8" w:space="0"/>
      </w:pBdr>
      <w:spacing w:afterAutospacing="1" w:beforeAutospacing="1" w:line="360" w:lineRule="auto"/>
      <w:ind/>
    </w:pPr>
    <w:rPr>
      <w:rFonts w:ascii="Calibri" w:hAnsi="Calibri" w:cs="Calibri"/>
      <w:lang w:val="en-US" w:bidi="en-US"/>
    </w:rPr>
  </w:style>
  <w:style w:type="paragraph" w:styleId="11593" w:customStyle="1">
    <w:name w:val="xl767"/>
    <w:basedOn w:val="10533"/>
    <w:uiPriority w:val="99"/>
    <w:qFormat/>
    <w:pPr>
      <w:pBdr>
        <w:top w:val="single" w:color="000000" w:sz="4" w:space="0"/>
        <w:bottom w:val="single" w:color="000000" w:sz="4" w:space="0"/>
        <w:right w:val="single" w:color="000000" w:sz="4" w:space="0"/>
      </w:pBdr>
      <w:shd w:val="clear" w:color="000000" w:fill="b8cce4"/>
      <w:spacing w:afterAutospacing="1" w:beforeAutospacing="1" w:line="360" w:lineRule="auto"/>
      <w:ind/>
      <w:jc w:val="center"/>
    </w:pPr>
    <w:rPr>
      <w:rFonts w:ascii="Arial" w:hAnsi="Arial" w:cs="Arial"/>
      <w:b/>
      <w:bCs/>
      <w:lang w:val="en-US" w:bidi="en-US"/>
    </w:rPr>
  </w:style>
  <w:style w:type="paragraph" w:styleId="11594" w:customStyle="1">
    <w:name w:val="xl768"/>
    <w:basedOn w:val="10533"/>
    <w:uiPriority w:val="99"/>
    <w:qFormat/>
    <w:pPr>
      <w:pBdr>
        <w:left w:val="single" w:color="000000" w:sz="8" w:space="0"/>
        <w:bottom w:val="single" w:color="000000" w:sz="4" w:space="0"/>
        <w:right w:val="single" w:color="000000" w:sz="4" w:space="0"/>
      </w:pBdr>
      <w:shd w:val="clear" w:color="000000" w:fill="b8cce4"/>
      <w:spacing w:afterAutospacing="1" w:beforeAutospacing="1" w:line="360" w:lineRule="auto"/>
      <w:ind/>
    </w:pPr>
    <w:rPr>
      <w:rFonts w:ascii="Calibri" w:hAnsi="Calibri" w:cs="Calibri"/>
      <w:lang w:val="en-US" w:bidi="en-US"/>
    </w:rPr>
  </w:style>
  <w:style w:type="paragraph" w:styleId="11595" w:customStyle="1">
    <w:name w:val="xl769"/>
    <w:basedOn w:val="10533"/>
    <w:uiPriority w:val="99"/>
    <w:qFormat/>
    <w:pPr>
      <w:pBdr>
        <w:top w:val="single" w:color="000000" w:sz="4" w:space="0"/>
        <w:bottom w:val="single" w:color="000000" w:sz="4" w:space="0"/>
        <w:right w:val="single" w:color="000000" w:sz="4" w:space="0"/>
      </w:pBdr>
      <w:shd w:val="clear" w:color="000000" w:fill="b2a1c7"/>
      <w:spacing w:afterAutospacing="1" w:beforeAutospacing="1" w:line="360" w:lineRule="auto"/>
      <w:ind/>
      <w:jc w:val="center"/>
    </w:pPr>
    <w:rPr>
      <w:rFonts w:ascii="Arial" w:hAnsi="Arial" w:cs="Arial"/>
      <w:b/>
      <w:bCs/>
      <w:lang w:val="en-US" w:bidi="en-US"/>
    </w:rPr>
  </w:style>
  <w:style w:type="paragraph" w:styleId="11596" w:customStyle="1">
    <w:name w:val="xl770"/>
    <w:basedOn w:val="10533"/>
    <w:uiPriority w:val="99"/>
    <w:qFormat/>
    <w:pPr>
      <w:pBdr>
        <w:top w:val="single" w:color="000000" w:sz="4" w:space="0"/>
        <w:bottom w:val="single" w:color="000000" w:sz="4" w:space="0"/>
        <w:right w:val="single" w:color="000000" w:sz="4" w:space="0"/>
      </w:pBdr>
      <w:spacing w:afterAutospacing="1" w:beforeAutospacing="1" w:line="360" w:lineRule="auto"/>
      <w:ind/>
      <w:jc w:val="center"/>
    </w:pPr>
    <w:rPr>
      <w:rFonts w:ascii="Arial" w:hAnsi="Arial" w:cs="Arial"/>
      <w:lang w:val="en-US" w:bidi="en-US"/>
    </w:rPr>
  </w:style>
  <w:style w:type="paragraph" w:styleId="11597" w:customStyle="1">
    <w:name w:val="xl771"/>
    <w:basedOn w:val="10533"/>
    <w:uiPriority w:val="99"/>
    <w:qFormat/>
    <w:pPr>
      <w:pBdr>
        <w:top w:val="single" w:color="000000" w:sz="4" w:space="0"/>
        <w:bottom w:val="single" w:color="000000" w:sz="4" w:space="0"/>
        <w:right w:val="single" w:color="000000" w:sz="4" w:space="0"/>
      </w:pBdr>
      <w:spacing w:afterAutospacing="1" w:beforeAutospacing="1" w:line="360" w:lineRule="auto"/>
      <w:ind/>
      <w:jc w:val="center"/>
    </w:pPr>
    <w:rPr>
      <w:rFonts w:ascii="Arial" w:hAnsi="Arial" w:cs="Arial"/>
      <w:lang w:val="en-US" w:bidi="en-US"/>
    </w:rPr>
  </w:style>
  <w:style w:type="paragraph" w:styleId="11598" w:customStyle="1">
    <w:name w:val="xl772"/>
    <w:basedOn w:val="10533"/>
    <w:uiPriority w:val="99"/>
    <w:qFormat/>
    <w:pPr>
      <w:pBdr>
        <w:top w:val="single" w:color="000000" w:sz="8" w:space="0"/>
        <w:left w:val="single" w:color="000000" w:sz="8" w:space="0"/>
        <w:bottom w:val="single" w:color="000000" w:sz="4" w:space="0"/>
        <w:right w:val="single" w:color="000000" w:sz="4" w:space="0"/>
      </w:pBdr>
      <w:shd w:val="clear" w:color="000000" w:fill="b2a1c7"/>
      <w:spacing w:afterAutospacing="1" w:beforeAutospacing="1" w:line="360" w:lineRule="auto"/>
      <w:ind/>
    </w:pPr>
    <w:rPr>
      <w:lang w:val="en-US" w:bidi="en-US"/>
    </w:rPr>
  </w:style>
  <w:style w:type="paragraph" w:styleId="11599" w:customStyle="1">
    <w:name w:val="xl773"/>
    <w:basedOn w:val="10533"/>
    <w:uiPriority w:val="99"/>
    <w:qFormat/>
    <w:pPr>
      <w:pBdr>
        <w:top w:val="single" w:color="000000" w:sz="8" w:space="0"/>
        <w:left w:val="single" w:color="000000" w:sz="4" w:space="0"/>
        <w:bottom w:val="single" w:color="000000" w:sz="4" w:space="0"/>
        <w:right w:val="single" w:color="000000" w:sz="4" w:space="0"/>
      </w:pBdr>
      <w:shd w:val="clear" w:color="000000" w:fill="b2a1c7"/>
      <w:spacing w:afterAutospacing="1" w:beforeAutospacing="1" w:line="360" w:lineRule="auto"/>
      <w:ind/>
    </w:pPr>
    <w:rPr>
      <w:lang w:val="en-US" w:bidi="en-US"/>
    </w:rPr>
  </w:style>
  <w:style w:type="paragraph" w:styleId="11600" w:customStyle="1">
    <w:name w:val="xl774"/>
    <w:basedOn w:val="10533"/>
    <w:uiPriority w:val="99"/>
    <w:qFormat/>
    <w:pPr>
      <w:pBdr>
        <w:top w:val="single" w:color="000000" w:sz="4" w:space="0"/>
        <w:bottom w:val="single" w:color="000000" w:sz="8" w:space="0"/>
        <w:right w:val="single" w:color="000000" w:sz="4" w:space="0"/>
      </w:pBdr>
      <w:spacing w:afterAutospacing="1" w:beforeAutospacing="1" w:line="360" w:lineRule="auto"/>
      <w:ind/>
      <w:jc w:val="center"/>
    </w:pPr>
    <w:rPr>
      <w:rFonts w:ascii="Arial" w:hAnsi="Arial" w:cs="Arial"/>
      <w:lang w:val="en-US" w:bidi="en-US"/>
    </w:rPr>
  </w:style>
  <w:style w:type="paragraph" w:styleId="11601" w:customStyle="1">
    <w:name w:val="xl775"/>
    <w:basedOn w:val="10533"/>
    <w:uiPriority w:val="99"/>
    <w:qFormat/>
    <w:pPr>
      <w:pBdr>
        <w:top w:val="single" w:color="000000" w:sz="8" w:space="0"/>
        <w:left w:val="single" w:color="000000" w:sz="8" w:space="0"/>
        <w:bottom w:val="single" w:color="000000" w:sz="4" w:space="0"/>
        <w:right w:val="single" w:color="000000" w:sz="4" w:space="0"/>
      </w:pBdr>
      <w:shd w:val="clear" w:color="000000" w:fill="c5be97"/>
      <w:spacing w:afterAutospacing="1" w:beforeAutospacing="1" w:line="360" w:lineRule="auto"/>
      <w:ind/>
    </w:pPr>
    <w:rPr>
      <w:lang w:val="en-US" w:bidi="en-US"/>
    </w:rPr>
  </w:style>
  <w:style w:type="paragraph" w:styleId="11602" w:customStyle="1">
    <w:name w:val="xl776"/>
    <w:basedOn w:val="10533"/>
    <w:uiPriority w:val="99"/>
    <w:qFormat/>
    <w:pPr>
      <w:pBdr>
        <w:top w:val="single" w:color="000000" w:sz="8" w:space="0"/>
        <w:left w:val="single" w:color="000000" w:sz="4" w:space="0"/>
        <w:bottom w:val="single" w:color="000000" w:sz="4" w:space="0"/>
        <w:right w:val="single" w:color="000000" w:sz="4" w:space="0"/>
      </w:pBdr>
      <w:shd w:val="clear" w:color="000000" w:fill="c5be97"/>
      <w:spacing w:afterAutospacing="1" w:beforeAutospacing="1" w:line="360" w:lineRule="auto"/>
      <w:ind/>
    </w:pPr>
    <w:rPr>
      <w:lang w:val="en-US" w:bidi="en-US"/>
    </w:rPr>
  </w:style>
  <w:style w:type="paragraph" w:styleId="11603" w:customStyle="1">
    <w:name w:val="xl777"/>
    <w:basedOn w:val="10533"/>
    <w:uiPriority w:val="99"/>
    <w:qFormat/>
    <w:pPr>
      <w:pBdr>
        <w:top w:val="single" w:color="000000" w:sz="8" w:space="0"/>
        <w:left w:val="single" w:color="000000" w:sz="4" w:space="0"/>
        <w:bottom w:val="single" w:color="000000" w:sz="4" w:space="0"/>
        <w:right w:val="single" w:color="000000" w:sz="4" w:space="0"/>
      </w:pBdr>
      <w:shd w:val="clear" w:color="000000" w:fill="c5be97"/>
      <w:spacing w:afterAutospacing="1" w:beforeAutospacing="1" w:line="360" w:lineRule="auto"/>
      <w:ind/>
    </w:pPr>
    <w:rPr>
      <w:rFonts w:ascii="Calibri" w:hAnsi="Calibri" w:cs="Calibri"/>
      <w:lang w:val="en-US" w:bidi="en-US"/>
    </w:rPr>
  </w:style>
  <w:style w:type="paragraph" w:styleId="11604" w:customStyle="1">
    <w:name w:val="xl778"/>
    <w:basedOn w:val="10533"/>
    <w:uiPriority w:val="99"/>
    <w:qFormat/>
    <w:pPr>
      <w:pBdr>
        <w:top w:val="single" w:color="000000" w:sz="8" w:space="0"/>
        <w:left w:val="single" w:color="000000" w:sz="4" w:space="0"/>
        <w:bottom w:val="single" w:color="000000" w:sz="4" w:space="0"/>
        <w:right w:val="single" w:color="000000" w:sz="8" w:space="0"/>
      </w:pBdr>
      <w:shd w:val="clear" w:color="000000" w:fill="c5be97"/>
      <w:spacing w:afterAutospacing="1" w:beforeAutospacing="1" w:line="360" w:lineRule="auto"/>
      <w:ind/>
    </w:pPr>
    <w:rPr>
      <w:rFonts w:ascii="Calibri" w:hAnsi="Calibri" w:cs="Calibri"/>
      <w:lang w:val="en-US" w:bidi="en-US"/>
    </w:rPr>
  </w:style>
  <w:style w:type="paragraph" w:styleId="11605" w:customStyle="1">
    <w:name w:val="xl779"/>
    <w:basedOn w:val="10533"/>
    <w:uiPriority w:val="99"/>
    <w:qFormat/>
    <w:pPr>
      <w:pBdr>
        <w:top w:val="single" w:color="000000" w:sz="4" w:space="0"/>
        <w:left w:val="single" w:color="000000" w:sz="4" w:space="0"/>
        <w:bottom w:val="single" w:color="000000" w:sz="4" w:space="0"/>
        <w:right w:val="single" w:color="000000" w:sz="8" w:space="0"/>
      </w:pBdr>
      <w:shd w:val="clear" w:color="000000" w:fill="c5be97"/>
      <w:spacing w:afterAutospacing="1" w:beforeAutospacing="1" w:line="360" w:lineRule="auto"/>
      <w:ind/>
      <w:jc w:val="center"/>
    </w:pPr>
    <w:rPr>
      <w:rFonts w:ascii="Arial" w:hAnsi="Arial" w:cs="Arial"/>
      <w:b/>
      <w:bCs/>
      <w:lang w:val="en-US" w:bidi="en-US"/>
    </w:rPr>
  </w:style>
  <w:style w:type="paragraph" w:styleId="11606" w:customStyle="1">
    <w:name w:val="xl780"/>
    <w:basedOn w:val="10533"/>
    <w:uiPriority w:val="99"/>
    <w:qFormat/>
    <w:pPr>
      <w:pBdr>
        <w:top w:val="single" w:color="000000" w:sz="4" w:space="0"/>
        <w:left w:val="single" w:color="000000" w:sz="8" w:space="0"/>
        <w:bottom w:val="single" w:color="000000" w:sz="8" w:space="0"/>
        <w:right w:val="single" w:color="000000" w:sz="4" w:space="0"/>
      </w:pBdr>
      <w:shd w:val="clear" w:color="000000" w:fill="d8d8d8"/>
      <w:spacing w:afterAutospacing="1" w:beforeAutospacing="1" w:line="360" w:lineRule="auto"/>
      <w:ind/>
    </w:pPr>
    <w:rPr>
      <w:rFonts w:ascii="Arial" w:hAnsi="Arial" w:cs="Arial"/>
      <w:lang w:val="en-US" w:bidi="en-US"/>
    </w:rPr>
  </w:style>
  <w:style w:type="paragraph" w:styleId="11607" w:customStyle="1">
    <w:name w:val="xl781"/>
    <w:basedOn w:val="10533"/>
    <w:uiPriority w:val="99"/>
    <w:qFormat/>
    <w:pPr>
      <w:pBdr>
        <w:top w:val="single" w:color="000000" w:sz="8" w:space="0"/>
        <w:left w:val="single" w:color="000000" w:sz="8" w:space="0"/>
      </w:pBdr>
      <w:shd w:val="clear" w:color="000000" w:fill="b8cce4"/>
      <w:spacing w:afterAutospacing="1" w:beforeAutospacing="1" w:line="360" w:lineRule="auto"/>
      <w:ind/>
    </w:pPr>
    <w:rPr>
      <w:sz w:val="28"/>
      <w:szCs w:val="28"/>
      <w:lang w:val="en-US" w:bidi="en-US"/>
    </w:rPr>
  </w:style>
  <w:style w:type="paragraph" w:styleId="11608" w:customStyle="1">
    <w:name w:val="xl782"/>
    <w:basedOn w:val="10533"/>
    <w:uiPriority w:val="99"/>
    <w:qFormat/>
    <w:pPr>
      <w:pBdr>
        <w:top w:val="single" w:color="000000" w:sz="8" w:space="0"/>
        <w:left w:val="single" w:color="000000" w:sz="8" w:space="0"/>
      </w:pBdr>
      <w:shd w:val="clear" w:color="000000" w:fill="b2a1c7"/>
      <w:spacing w:afterAutospacing="1" w:beforeAutospacing="1" w:line="360" w:lineRule="auto"/>
      <w:ind/>
    </w:pPr>
    <w:rPr>
      <w:lang w:val="en-US" w:bidi="en-US"/>
    </w:rPr>
  </w:style>
  <w:style w:type="paragraph" w:styleId="11609" w:customStyle="1">
    <w:name w:val="xl783"/>
    <w:basedOn w:val="10533"/>
    <w:uiPriority w:val="99"/>
    <w:qFormat/>
    <w:pPr>
      <w:pBdr>
        <w:top w:val="single" w:color="000000" w:sz="8" w:space="0"/>
        <w:left w:val="single" w:color="000000" w:sz="4" w:space="0"/>
        <w:bottom w:val="single" w:color="000000" w:sz="4" w:space="0"/>
        <w:right w:val="single" w:color="000000" w:sz="4" w:space="0"/>
      </w:pBdr>
      <w:shd w:val="clear" w:color="000000" w:fill="effa62"/>
      <w:spacing w:afterAutospacing="1" w:beforeAutospacing="1" w:line="360" w:lineRule="auto"/>
      <w:ind/>
    </w:pPr>
    <w:rPr>
      <w:lang w:val="en-US" w:bidi="en-US"/>
    </w:rPr>
  </w:style>
  <w:style w:type="paragraph" w:styleId="11610" w:customStyle="1">
    <w:name w:val="xl784"/>
    <w:basedOn w:val="10533"/>
    <w:uiPriority w:val="99"/>
    <w:qFormat/>
    <w:pPr>
      <w:pBdr>
        <w:top w:val="single" w:color="000000" w:sz="8" w:space="0"/>
        <w:left w:val="single" w:color="000000" w:sz="4" w:space="0"/>
        <w:bottom w:val="single" w:color="000000" w:sz="4" w:space="0"/>
        <w:right w:val="single" w:color="000000" w:sz="4" w:space="0"/>
      </w:pBdr>
      <w:shd w:val="clear" w:color="000000" w:fill="effa62"/>
      <w:spacing w:afterAutospacing="1" w:beforeAutospacing="1" w:line="360" w:lineRule="auto"/>
      <w:ind/>
    </w:pPr>
    <w:rPr>
      <w:rFonts w:ascii="Calibri" w:hAnsi="Calibri" w:cs="Calibri"/>
      <w:lang w:val="en-US" w:bidi="en-US"/>
    </w:rPr>
  </w:style>
  <w:style w:type="paragraph" w:styleId="11611" w:customStyle="1">
    <w:name w:val="xl785"/>
    <w:basedOn w:val="10533"/>
    <w:uiPriority w:val="99"/>
    <w:qFormat/>
    <w:pPr>
      <w:pBdr>
        <w:top w:val="single" w:color="000000" w:sz="8" w:space="0"/>
        <w:left w:val="single" w:color="000000" w:sz="4" w:space="0"/>
        <w:bottom w:val="single" w:color="000000" w:sz="4" w:space="0"/>
        <w:right w:val="single" w:color="000000" w:sz="8" w:space="0"/>
      </w:pBdr>
      <w:shd w:val="clear" w:color="000000" w:fill="effa62"/>
      <w:spacing w:afterAutospacing="1" w:beforeAutospacing="1" w:line="360" w:lineRule="auto"/>
      <w:ind/>
    </w:pPr>
    <w:rPr>
      <w:rFonts w:ascii="Calibri" w:hAnsi="Calibri" w:cs="Calibri"/>
      <w:lang w:val="en-US" w:bidi="en-US"/>
    </w:rPr>
  </w:style>
  <w:style w:type="paragraph" w:styleId="11612" w:customStyle="1">
    <w:name w:val="xl786"/>
    <w:basedOn w:val="10533"/>
    <w:uiPriority w:val="99"/>
    <w:qFormat/>
    <w:pPr>
      <w:pBdr>
        <w:top w:val="single" w:color="000000" w:sz="4" w:space="0"/>
        <w:left w:val="single" w:color="000000" w:sz="8" w:space="0"/>
        <w:bottom w:val="single" w:color="000000" w:sz="4" w:space="0"/>
        <w:right w:val="single" w:color="000000" w:sz="4" w:space="0"/>
      </w:pBdr>
      <w:shd w:val="clear" w:color="000000" w:fill="effa62"/>
      <w:spacing w:afterAutospacing="1" w:beforeAutospacing="1" w:line="360" w:lineRule="auto"/>
      <w:ind/>
      <w:jc w:val="center"/>
    </w:pPr>
    <w:rPr>
      <w:rFonts w:ascii="Arial" w:hAnsi="Arial" w:cs="Arial"/>
      <w:b/>
      <w:bCs/>
      <w:lang w:val="en-US" w:bidi="en-US"/>
    </w:rPr>
  </w:style>
  <w:style w:type="paragraph" w:styleId="11613" w:customStyle="1">
    <w:name w:val="xl787"/>
    <w:basedOn w:val="10533"/>
    <w:uiPriority w:val="99"/>
    <w:qFormat/>
    <w:pPr>
      <w:pBdr>
        <w:top w:val="single" w:color="000000" w:sz="4" w:space="0"/>
        <w:left w:val="single" w:color="000000" w:sz="4" w:space="0"/>
        <w:bottom w:val="single" w:color="000000" w:sz="4" w:space="0"/>
        <w:right w:val="single" w:color="000000" w:sz="4" w:space="0"/>
      </w:pBdr>
      <w:shd w:val="clear" w:color="000000" w:fill="effa62"/>
      <w:spacing w:afterAutospacing="1" w:beforeAutospacing="1" w:line="360" w:lineRule="auto"/>
      <w:ind/>
      <w:jc w:val="center"/>
    </w:pPr>
    <w:rPr>
      <w:rFonts w:ascii="Arial" w:hAnsi="Arial" w:cs="Arial"/>
      <w:b/>
      <w:bCs/>
      <w:lang w:val="en-US" w:bidi="en-US"/>
    </w:rPr>
  </w:style>
  <w:style w:type="paragraph" w:styleId="11614" w:customStyle="1">
    <w:name w:val="xl788"/>
    <w:basedOn w:val="10533"/>
    <w:uiPriority w:val="99"/>
    <w:qFormat/>
    <w:pPr>
      <w:pBdr>
        <w:top w:val="single" w:color="000000" w:sz="4" w:space="0"/>
        <w:left w:val="single" w:color="000000" w:sz="4" w:space="0"/>
        <w:bottom w:val="single" w:color="000000" w:sz="4" w:space="0"/>
        <w:right w:val="single" w:color="000000" w:sz="8" w:space="0"/>
      </w:pBdr>
      <w:shd w:val="clear" w:color="000000" w:fill="effa62"/>
      <w:spacing w:afterAutospacing="1" w:beforeAutospacing="1" w:line="360" w:lineRule="auto"/>
      <w:ind/>
      <w:jc w:val="center"/>
    </w:pPr>
    <w:rPr>
      <w:rFonts w:ascii="Arial" w:hAnsi="Arial" w:cs="Arial"/>
      <w:b/>
      <w:bCs/>
      <w:lang w:val="en-US" w:bidi="en-US"/>
    </w:rPr>
  </w:style>
  <w:style w:type="paragraph" w:styleId="11615" w:customStyle="1">
    <w:name w:val="xl789"/>
    <w:basedOn w:val="10533"/>
    <w:uiPriority w:val="99"/>
    <w:qFormat/>
    <w:pPr>
      <w:pBdr>
        <w:top w:val="single" w:color="000000" w:sz="8" w:space="0"/>
        <w:left w:val="single" w:color="000000" w:sz="4" w:space="0"/>
        <w:bottom w:val="single" w:color="000000" w:sz="4" w:space="0"/>
        <w:right w:val="single" w:color="000000" w:sz="4" w:space="0"/>
      </w:pBdr>
      <w:shd w:val="clear" w:color="000000" w:fill="effa62"/>
      <w:spacing w:afterAutospacing="1" w:beforeAutospacing="1" w:line="360" w:lineRule="auto"/>
      <w:ind/>
      <w:jc w:val="center"/>
    </w:pPr>
    <w:rPr>
      <w:rFonts w:ascii="Arial" w:hAnsi="Arial" w:cs="Arial"/>
      <w:lang w:val="en-US" w:bidi="en-US"/>
    </w:rPr>
  </w:style>
  <w:style w:type="paragraph" w:styleId="11616" w:customStyle="1">
    <w:name w:val="xl790"/>
    <w:basedOn w:val="10533"/>
    <w:uiPriority w:val="99"/>
    <w:qFormat/>
    <w:pPr>
      <w:pBdr>
        <w:top w:val="single" w:color="000000" w:sz="8" w:space="0"/>
        <w:left w:val="single" w:color="000000" w:sz="8" w:space="0"/>
        <w:bottom w:val="single" w:color="000000" w:sz="4" w:space="0"/>
        <w:right w:val="single" w:color="000000" w:sz="4" w:space="0"/>
      </w:pBdr>
      <w:shd w:val="clear" w:color="000000" w:fill="c5be97"/>
      <w:spacing w:afterAutospacing="1" w:beforeAutospacing="1" w:line="360" w:lineRule="auto"/>
      <w:ind/>
    </w:pPr>
    <w:rPr>
      <w:lang w:val="en-US" w:bidi="en-US"/>
    </w:rPr>
  </w:style>
  <w:style w:type="paragraph" w:styleId="11617" w:customStyle="1">
    <w:name w:val="xl791"/>
    <w:basedOn w:val="10533"/>
    <w:uiPriority w:val="99"/>
    <w:qFormat/>
    <w:pPr>
      <w:pBdr>
        <w:top w:val="single" w:color="000000" w:sz="4" w:space="0"/>
        <w:left w:val="single" w:color="000000" w:sz="4" w:space="0"/>
        <w:bottom w:val="single" w:color="000000" w:sz="4" w:space="0"/>
        <w:right w:val="single" w:color="000000" w:sz="4" w:space="0"/>
      </w:pBdr>
      <w:shd w:val="clear" w:color="000000" w:fill="fac090"/>
      <w:spacing w:afterAutospacing="1" w:beforeAutospacing="1" w:line="360" w:lineRule="auto"/>
      <w:ind/>
      <w:jc w:val="center"/>
    </w:pPr>
    <w:rPr>
      <w:lang w:val="en-US" w:bidi="en-US"/>
    </w:rPr>
  </w:style>
  <w:style w:type="paragraph" w:styleId="11618" w:customStyle="1">
    <w:name w:val="xl792"/>
    <w:basedOn w:val="10533"/>
    <w:uiPriority w:val="99"/>
    <w:qFormat/>
    <w:pPr>
      <w:pBdr>
        <w:top w:val="single" w:color="000000" w:sz="8" w:space="0"/>
        <w:left w:val="single" w:color="000000" w:sz="8" w:space="0"/>
        <w:bottom w:val="single" w:color="000000" w:sz="4" w:space="0"/>
        <w:right w:val="single" w:color="000000" w:sz="4" w:space="0"/>
      </w:pBdr>
      <w:shd w:val="clear" w:color="000000" w:fill="fac090"/>
      <w:spacing w:afterAutospacing="1" w:beforeAutospacing="1" w:line="360" w:lineRule="auto"/>
      <w:ind/>
      <w:jc w:val="center"/>
    </w:pPr>
    <w:rPr>
      <w:lang w:val="en-US" w:bidi="en-US"/>
    </w:rPr>
  </w:style>
  <w:style w:type="paragraph" w:styleId="11619" w:customStyle="1">
    <w:name w:val="xl793"/>
    <w:basedOn w:val="10533"/>
    <w:uiPriority w:val="99"/>
    <w:qFormat/>
    <w:pPr>
      <w:pBdr>
        <w:top w:val="single" w:color="000000" w:sz="8" w:space="0"/>
        <w:left w:val="single" w:color="000000" w:sz="4" w:space="0"/>
        <w:bottom w:val="single" w:color="000000" w:sz="4" w:space="0"/>
        <w:right w:val="single" w:color="000000" w:sz="4" w:space="0"/>
      </w:pBdr>
      <w:shd w:val="clear" w:color="000000" w:fill="fac090"/>
      <w:spacing w:afterAutospacing="1" w:beforeAutospacing="1" w:line="360" w:lineRule="auto"/>
      <w:ind/>
      <w:jc w:val="center"/>
    </w:pPr>
    <w:rPr>
      <w:lang w:val="en-US" w:bidi="en-US"/>
    </w:rPr>
  </w:style>
  <w:style w:type="paragraph" w:styleId="11620" w:customStyle="1">
    <w:name w:val="xl794"/>
    <w:basedOn w:val="10533"/>
    <w:uiPriority w:val="99"/>
    <w:qFormat/>
    <w:pPr>
      <w:pBdr>
        <w:top w:val="single" w:color="000000" w:sz="4" w:space="0"/>
        <w:left w:val="single" w:color="000000" w:sz="8" w:space="0"/>
        <w:bottom w:val="single" w:color="000000" w:sz="4" w:space="0"/>
        <w:right w:val="single" w:color="000000" w:sz="4" w:space="0"/>
      </w:pBdr>
      <w:shd w:val="clear" w:color="000000" w:fill="fac090"/>
      <w:spacing w:afterAutospacing="1" w:beforeAutospacing="1" w:line="360" w:lineRule="auto"/>
      <w:ind/>
      <w:jc w:val="center"/>
    </w:pPr>
    <w:rPr>
      <w:lang w:val="en-US" w:bidi="en-US"/>
    </w:rPr>
  </w:style>
  <w:style w:type="paragraph" w:styleId="11621" w:customStyle="1">
    <w:name w:val="xl795"/>
    <w:basedOn w:val="10533"/>
    <w:uiPriority w:val="99"/>
    <w:qFormat/>
    <w:pPr>
      <w:pBdr>
        <w:top w:val="single" w:color="000000" w:sz="4" w:space="0"/>
        <w:left w:val="single" w:color="000000" w:sz="8" w:space="0"/>
        <w:bottom w:val="single" w:color="000000" w:sz="8" w:space="0"/>
        <w:right w:val="single" w:color="000000" w:sz="4" w:space="0"/>
      </w:pBdr>
      <w:shd w:val="clear" w:color="000000" w:fill="fac090"/>
      <w:spacing w:afterAutospacing="1" w:beforeAutospacing="1" w:line="360" w:lineRule="auto"/>
      <w:ind/>
      <w:jc w:val="center"/>
    </w:pPr>
    <w:rPr>
      <w:lang w:val="en-US" w:bidi="en-US"/>
    </w:rPr>
  </w:style>
  <w:style w:type="paragraph" w:styleId="11622" w:customStyle="1">
    <w:name w:val="xl796"/>
    <w:basedOn w:val="10533"/>
    <w:uiPriority w:val="99"/>
    <w:qFormat/>
    <w:pPr>
      <w:pBdr>
        <w:top w:val="single" w:color="000000" w:sz="4" w:space="0"/>
        <w:left w:val="single" w:color="000000" w:sz="4" w:space="0"/>
        <w:bottom w:val="single" w:color="000000" w:sz="8" w:space="0"/>
        <w:right w:val="single" w:color="000000" w:sz="4" w:space="0"/>
      </w:pBdr>
      <w:shd w:val="clear" w:color="000000" w:fill="fac090"/>
      <w:spacing w:afterAutospacing="1" w:beforeAutospacing="1" w:line="360" w:lineRule="auto"/>
      <w:ind/>
      <w:jc w:val="center"/>
    </w:pPr>
    <w:rPr>
      <w:lang w:val="en-US" w:bidi="en-US"/>
    </w:rPr>
  </w:style>
  <w:style w:type="paragraph" w:styleId="11623" w:customStyle="1">
    <w:name w:val="xl797"/>
    <w:basedOn w:val="10533"/>
    <w:uiPriority w:val="99"/>
    <w:qFormat/>
    <w:pPr>
      <w:pBdr>
        <w:top w:val="single" w:color="000000" w:sz="8" w:space="0"/>
        <w:left w:val="single" w:color="000000" w:sz="4" w:space="0"/>
        <w:right w:val="single" w:color="000000" w:sz="4" w:space="0"/>
      </w:pBdr>
      <w:shd w:val="clear" w:color="000000" w:fill="fac090"/>
      <w:spacing w:afterAutospacing="1" w:beforeAutospacing="1" w:line="360" w:lineRule="auto"/>
      <w:ind/>
      <w:jc w:val="center"/>
    </w:pPr>
    <w:rPr>
      <w:lang w:val="en-US" w:bidi="en-US"/>
    </w:rPr>
  </w:style>
  <w:style w:type="paragraph" w:styleId="11624" w:customStyle="1">
    <w:name w:val="xl798"/>
    <w:basedOn w:val="10533"/>
    <w:uiPriority w:val="99"/>
    <w:qFormat/>
    <w:pPr>
      <w:pBdr>
        <w:left w:val="single" w:color="000000" w:sz="4" w:space="0"/>
        <w:right w:val="single" w:color="000000" w:sz="4" w:space="0"/>
      </w:pBdr>
      <w:shd w:val="clear" w:color="000000" w:fill="fac090"/>
      <w:spacing w:afterAutospacing="1" w:beforeAutospacing="1" w:line="360" w:lineRule="auto"/>
      <w:ind/>
      <w:jc w:val="center"/>
    </w:pPr>
    <w:rPr>
      <w:lang w:val="en-US" w:bidi="en-US"/>
    </w:rPr>
  </w:style>
  <w:style w:type="paragraph" w:styleId="11625" w:customStyle="1">
    <w:name w:val="xl799"/>
    <w:basedOn w:val="10533"/>
    <w:uiPriority w:val="99"/>
    <w:qFormat/>
    <w:pPr>
      <w:pBdr>
        <w:left w:val="single" w:color="000000" w:sz="4" w:space="0"/>
        <w:bottom w:val="single" w:color="000000" w:sz="8" w:space="0"/>
        <w:right w:val="single" w:color="000000" w:sz="4" w:space="0"/>
      </w:pBdr>
      <w:shd w:val="clear" w:color="000000" w:fill="fac090"/>
      <w:spacing w:afterAutospacing="1" w:beforeAutospacing="1" w:line="360" w:lineRule="auto"/>
      <w:ind/>
      <w:jc w:val="center"/>
    </w:pPr>
    <w:rPr>
      <w:lang w:val="en-US" w:bidi="en-US"/>
    </w:rPr>
  </w:style>
  <w:style w:type="paragraph" w:styleId="11626" w:customStyle="1">
    <w:name w:val="xl1860"/>
    <w:basedOn w:val="10533"/>
    <w:uiPriority w:val="99"/>
    <w:qFormat/>
    <w:pPr>
      <w:pBdr/>
      <w:spacing w:afterAutospacing="1" w:beforeAutospacing="1" w:line="360" w:lineRule="auto"/>
      <w:ind/>
    </w:pPr>
    <w:rPr>
      <w:rFonts w:ascii="Tahoma" w:hAnsi="Tahoma" w:cs="Tahoma"/>
      <w:color w:val="000000"/>
      <w:sz w:val="18"/>
      <w:szCs w:val="18"/>
      <w:lang w:val="en-US" w:bidi="en-US"/>
    </w:rPr>
  </w:style>
  <w:style w:type="paragraph" w:styleId="11627" w:customStyle="1">
    <w:name w:val="xl1861"/>
    <w:basedOn w:val="10533"/>
    <w:uiPriority w:val="99"/>
    <w:qFormat/>
    <w:pPr>
      <w:pBdr>
        <w:top w:val="single" w:color="000000" w:sz="4" w:space="0"/>
        <w:bottom w:val="single" w:color="000000" w:sz="4" w:space="0"/>
      </w:pBdr>
      <w:shd w:val="thinReverseDiagStripe" w:color="c0c0c0" w:fill="ffffff"/>
      <w:spacing w:afterAutospacing="1" w:beforeAutospacing="1" w:line="360" w:lineRule="auto"/>
      <w:ind w:firstLine="100"/>
    </w:pPr>
    <w:rPr>
      <w:rFonts w:ascii="Tahoma" w:hAnsi="Tahoma" w:cs="Tahoma"/>
      <w:b/>
      <w:bCs/>
      <w:color w:val="0000ff"/>
      <w:sz w:val="18"/>
      <w:szCs w:val="18"/>
      <w:u w:val="single"/>
      <w:lang w:val="en-US" w:bidi="en-US"/>
    </w:rPr>
  </w:style>
  <w:style w:type="paragraph" w:styleId="11628" w:customStyle="1">
    <w:name w:val="xl1862"/>
    <w:basedOn w:val="10533"/>
    <w:uiPriority w:val="99"/>
    <w:qFormat/>
    <w:pPr>
      <w:pBdr>
        <w:bottom w:val="single" w:color="000000" w:sz="4" w:space="0"/>
      </w:pBdr>
      <w:shd w:val="thinReverseDiagStripe" w:color="c0c0c0" w:fill="ffffff"/>
      <w:spacing w:afterAutospacing="1" w:beforeAutospacing="1" w:line="360" w:lineRule="auto"/>
      <w:ind w:firstLine="100"/>
    </w:pPr>
    <w:rPr>
      <w:rFonts w:ascii="Tahoma" w:hAnsi="Tahoma" w:cs="Tahoma"/>
      <w:b/>
      <w:bCs/>
      <w:color w:val="0000ff"/>
      <w:sz w:val="18"/>
      <w:szCs w:val="18"/>
      <w:u w:val="single"/>
      <w:lang w:val="en-US" w:bidi="en-US"/>
    </w:rPr>
  </w:style>
  <w:style w:type="paragraph" w:styleId="11629" w:customStyle="1">
    <w:name w:val="xl1863"/>
    <w:basedOn w:val="10533"/>
    <w:uiPriority w:val="99"/>
    <w:qFormat/>
    <w:pPr>
      <w:pBdr>
        <w:top w:val="single" w:color="000000" w:sz="4" w:space="0"/>
        <w:bottom w:val="single" w:color="000000" w:sz="4" w:space="0"/>
      </w:pBdr>
      <w:spacing w:afterAutospacing="1" w:beforeAutospacing="1" w:line="360" w:lineRule="auto"/>
      <w:ind/>
    </w:pPr>
    <w:rPr>
      <w:rFonts w:ascii="Tahoma" w:hAnsi="Tahoma" w:cs="Tahoma"/>
      <w:color w:val="000000"/>
      <w:sz w:val="18"/>
      <w:szCs w:val="18"/>
      <w:lang w:val="en-US" w:bidi="en-US"/>
    </w:rPr>
  </w:style>
  <w:style w:type="paragraph" w:styleId="11630" w:customStyle="1">
    <w:name w:val="xl1864"/>
    <w:basedOn w:val="10533"/>
    <w:uiPriority w:val="99"/>
    <w:qFormat/>
    <w:pPr>
      <w:pBdr>
        <w:top w:val="single" w:color="000000" w:sz="4" w:space="0"/>
        <w:left w:val="single" w:color="000000" w:sz="4" w:space="0"/>
        <w:bottom w:val="single" w:color="000000" w:sz="4" w:space="0"/>
      </w:pBdr>
      <w:spacing w:afterAutospacing="1" w:beforeAutospacing="1" w:line="360" w:lineRule="auto"/>
      <w:ind/>
    </w:pPr>
    <w:rPr>
      <w:rFonts w:ascii="Tahoma" w:hAnsi="Tahoma" w:cs="Tahoma"/>
      <w:color w:val="ffffff"/>
      <w:sz w:val="18"/>
      <w:szCs w:val="18"/>
      <w:lang w:val="en-US" w:bidi="en-US"/>
    </w:rPr>
  </w:style>
  <w:style w:type="paragraph" w:styleId="11631" w:customStyle="1">
    <w:name w:val="xl1865"/>
    <w:basedOn w:val="10533"/>
    <w:uiPriority w:val="99"/>
    <w:qFormat/>
    <w:pPr>
      <w:pBdr>
        <w:top w:val="single" w:color="000000" w:sz="4" w:space="0"/>
        <w:bottom w:val="single" w:color="000000" w:sz="4" w:space="0"/>
      </w:pBdr>
      <w:spacing w:afterAutospacing="1" w:beforeAutospacing="1" w:line="360" w:lineRule="auto"/>
      <w:ind/>
    </w:pPr>
    <w:rPr>
      <w:rFonts w:ascii="Tahoma" w:hAnsi="Tahoma" w:cs="Tahoma"/>
      <w:sz w:val="18"/>
      <w:szCs w:val="18"/>
      <w:lang w:val="en-US" w:bidi="en-US"/>
    </w:rPr>
  </w:style>
  <w:style w:type="paragraph" w:styleId="11632" w:customStyle="1">
    <w:name w:val="xl1866"/>
    <w:basedOn w:val="10533"/>
    <w:uiPriority w:val="99"/>
    <w:qFormat/>
    <w:pPr>
      <w:pBdr>
        <w:top w:val="single" w:color="000000" w:sz="4" w:space="0"/>
        <w:bottom w:val="single" w:color="000000" w:sz="4" w:space="0"/>
      </w:pBdr>
      <w:spacing w:afterAutospacing="1" w:beforeAutospacing="1" w:line="360" w:lineRule="auto"/>
      <w:ind/>
      <w:jc w:val="right"/>
    </w:pPr>
    <w:rPr>
      <w:rFonts w:ascii="Tahoma" w:hAnsi="Tahoma" w:cs="Tahoma"/>
      <w:color w:val="000000"/>
      <w:sz w:val="18"/>
      <w:szCs w:val="18"/>
      <w:lang w:val="en-US" w:bidi="en-US"/>
    </w:rPr>
  </w:style>
  <w:style w:type="paragraph" w:styleId="11633" w:customStyle="1">
    <w:name w:val="xl1867"/>
    <w:basedOn w:val="10533"/>
    <w:uiPriority w:val="99"/>
    <w:qFormat/>
    <w:pPr>
      <w:pBdr>
        <w:top w:val="single" w:color="000000" w:sz="4" w:space="0"/>
        <w:left w:val="single" w:color="000000" w:sz="4" w:space="0"/>
        <w:bottom w:val="single" w:color="000000" w:sz="4" w:space="0"/>
      </w:pBdr>
      <w:shd w:val="thinReverseDiagStripe" w:color="c0c0c0" w:fill="auto"/>
      <w:spacing w:afterAutospacing="1" w:beforeAutospacing="1" w:line="360" w:lineRule="auto"/>
      <w:ind/>
    </w:pPr>
    <w:rPr>
      <w:rFonts w:ascii="Tahoma" w:hAnsi="Tahoma" w:cs="Tahoma"/>
      <w:color w:val="000000"/>
      <w:sz w:val="18"/>
      <w:szCs w:val="18"/>
      <w:lang w:val="en-US" w:bidi="en-US"/>
    </w:rPr>
  </w:style>
  <w:style w:type="paragraph" w:styleId="11634" w:customStyle="1">
    <w:name w:val="xl1868"/>
    <w:basedOn w:val="10533"/>
    <w:uiPriority w:val="99"/>
    <w:qFormat/>
    <w:pPr>
      <w:pBdr>
        <w:top w:val="single" w:color="000000" w:sz="4" w:space="0"/>
        <w:bottom w:val="single" w:color="000000" w:sz="4" w:space="0"/>
      </w:pBdr>
      <w:shd w:val="thinReverseDiagStripe" w:color="c0c0c0" w:fill="auto"/>
      <w:spacing w:afterAutospacing="1" w:beforeAutospacing="1" w:line="360" w:lineRule="auto"/>
      <w:ind/>
      <w:jc w:val="right"/>
    </w:pPr>
    <w:rPr>
      <w:rFonts w:ascii="Tahoma" w:hAnsi="Tahoma" w:cs="Tahoma"/>
      <w:color w:val="000000"/>
      <w:sz w:val="18"/>
      <w:szCs w:val="18"/>
      <w:lang w:val="en-US" w:bidi="en-US"/>
    </w:rPr>
  </w:style>
  <w:style w:type="paragraph" w:styleId="11635" w:customStyle="1">
    <w:name w:val="xl1869"/>
    <w:basedOn w:val="10533"/>
    <w:uiPriority w:val="99"/>
    <w:qFormat/>
    <w:pPr>
      <w:pBdr>
        <w:top w:val="single" w:color="000000" w:sz="4" w:space="0"/>
        <w:left w:val="single" w:color="000000" w:sz="4" w:space="7"/>
        <w:bottom w:val="single" w:color="000000" w:sz="4" w:space="0"/>
      </w:pBdr>
      <w:shd w:val="thinReverseDiagStripe" w:color="c0c0c0" w:fill="ffffff"/>
      <w:spacing w:afterAutospacing="1" w:beforeAutospacing="1" w:line="360" w:lineRule="auto"/>
      <w:ind w:firstLine="100"/>
    </w:pPr>
    <w:rPr>
      <w:color w:val="0000ff"/>
      <w:u w:val="single"/>
      <w:lang w:val="en-US" w:bidi="en-US"/>
    </w:rPr>
  </w:style>
  <w:style w:type="paragraph" w:styleId="11636" w:customStyle="1">
    <w:name w:val="xl1870"/>
    <w:basedOn w:val="10533"/>
    <w:uiPriority w:val="99"/>
    <w:qFormat/>
    <w:pPr>
      <w:pBdr>
        <w:top w:val="single" w:color="000000" w:sz="4" w:space="0"/>
        <w:bottom w:val="single" w:color="000000" w:sz="4" w:space="0"/>
      </w:pBdr>
      <w:shd w:val="thinReverseDiagStripe" w:color="c0c0c0" w:fill="ffffff"/>
      <w:spacing w:afterAutospacing="1" w:beforeAutospacing="1" w:line="360" w:lineRule="auto"/>
      <w:ind w:firstLine="100"/>
    </w:pPr>
    <w:rPr>
      <w:color w:val="0000ff"/>
      <w:u w:val="single"/>
      <w:lang w:val="en-US" w:bidi="en-US"/>
    </w:rPr>
  </w:style>
  <w:style w:type="paragraph" w:styleId="11637" w:customStyle="1">
    <w:name w:val="xl1871"/>
    <w:basedOn w:val="10533"/>
    <w:uiPriority w:val="99"/>
    <w:qFormat/>
    <w:pPr>
      <w:pBdr>
        <w:top w:val="single" w:color="000000" w:sz="4" w:space="0"/>
        <w:left w:val="single" w:color="000000" w:sz="4" w:space="0"/>
        <w:bottom w:val="single" w:color="000000" w:sz="4" w:space="0"/>
      </w:pBdr>
      <w:spacing w:afterAutospacing="1" w:beforeAutospacing="1" w:line="360" w:lineRule="auto"/>
      <w:ind/>
    </w:pPr>
    <w:rPr>
      <w:rFonts w:ascii="Tahoma" w:hAnsi="Tahoma" w:cs="Tahoma"/>
      <w:color w:val="ffffff"/>
      <w:sz w:val="18"/>
      <w:szCs w:val="18"/>
      <w:lang w:val="en-US" w:bidi="en-US"/>
    </w:rPr>
  </w:style>
  <w:style w:type="paragraph" w:styleId="11638" w:customStyle="1">
    <w:name w:val="xl1872"/>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line="360" w:lineRule="auto"/>
      <w:ind/>
      <w:jc w:val="center"/>
    </w:pPr>
    <w:rPr>
      <w:rFonts w:ascii="Tahoma" w:hAnsi="Tahoma" w:cs="Tahoma"/>
      <w:color w:val="000000"/>
      <w:sz w:val="18"/>
      <w:szCs w:val="18"/>
      <w:lang w:val="en-US" w:bidi="en-US"/>
    </w:rPr>
  </w:style>
  <w:style w:type="paragraph" w:styleId="11639" w:customStyle="1">
    <w:name w:val="xl1873"/>
    <w:basedOn w:val="10533"/>
    <w:uiPriority w:val="99"/>
    <w:qFormat/>
    <w:pPr>
      <w:pBdr>
        <w:top w:val="single" w:color="000000" w:sz="4" w:space="0"/>
        <w:left w:val="single" w:color="000000" w:sz="4" w:space="0"/>
        <w:bottom w:val="single" w:color="000000" w:sz="4" w:space="0"/>
        <w:right w:val="single" w:color="000000" w:sz="4" w:space="0"/>
      </w:pBdr>
      <w:shd w:val="clear" w:color="000000" w:fill="ccffff"/>
      <w:spacing w:afterAutospacing="1" w:beforeAutospacing="1" w:line="360" w:lineRule="auto"/>
      <w:ind/>
      <w:jc w:val="center"/>
    </w:pPr>
    <w:rPr>
      <w:rFonts w:ascii="Tahoma" w:hAnsi="Tahoma" w:cs="Tahoma"/>
      <w:sz w:val="18"/>
      <w:szCs w:val="18"/>
      <w:lang w:val="en-US" w:bidi="en-US"/>
    </w:rPr>
  </w:style>
  <w:style w:type="paragraph" w:styleId="11640" w:customStyle="1">
    <w:name w:val="xl1874"/>
    <w:basedOn w:val="10533"/>
    <w:uiPriority w:val="99"/>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line="360" w:lineRule="auto"/>
      <w:ind/>
      <w:jc w:val="center"/>
    </w:pPr>
    <w:rPr>
      <w:rFonts w:ascii="Tahoma" w:hAnsi="Tahoma" w:cs="Tahoma"/>
      <w:color w:val="000000"/>
      <w:sz w:val="18"/>
      <w:szCs w:val="18"/>
      <w:lang w:val="en-US" w:bidi="en-US"/>
    </w:rPr>
  </w:style>
  <w:style w:type="paragraph" w:styleId="11641" w:customStyle="1">
    <w:name w:val="xl1875"/>
    <w:basedOn w:val="10533"/>
    <w:uiPriority w:val="99"/>
    <w:qFormat/>
    <w:pPr>
      <w:pBdr>
        <w:top w:val="single" w:color="000000" w:sz="4" w:space="0"/>
        <w:bottom w:val="single" w:color="000000" w:sz="4" w:space="0"/>
        <w:right w:val="single" w:color="333333" w:sz="4" w:space="0"/>
      </w:pBdr>
      <w:spacing w:afterAutospacing="1" w:beforeAutospacing="1" w:line="360" w:lineRule="auto"/>
      <w:ind/>
      <w:jc w:val="right"/>
    </w:pPr>
    <w:rPr>
      <w:rFonts w:ascii="Tahoma" w:hAnsi="Tahoma" w:cs="Tahoma"/>
      <w:color w:val="000000"/>
      <w:sz w:val="18"/>
      <w:szCs w:val="18"/>
      <w:lang w:val="en-US" w:bidi="en-US"/>
    </w:rPr>
  </w:style>
  <w:style w:type="paragraph" w:styleId="11642" w:customStyle="1">
    <w:name w:val="xl1876"/>
    <w:basedOn w:val="10533"/>
    <w:uiPriority w:val="99"/>
    <w:qFormat/>
    <w:pPr>
      <w:pBdr>
        <w:top w:val="single" w:color="000000" w:sz="4" w:space="0"/>
        <w:left w:val="single" w:color="000000" w:sz="4" w:space="0"/>
        <w:bottom w:val="single" w:color="000000" w:sz="4" w:space="0"/>
        <w:right w:val="single" w:color="333333" w:sz="4" w:space="0"/>
      </w:pBdr>
      <w:shd w:val="clear" w:color="000000" w:fill="ffff99"/>
      <w:spacing w:afterAutospacing="1" w:beforeAutospacing="1" w:line="360" w:lineRule="auto"/>
      <w:ind/>
      <w:jc w:val="center"/>
    </w:pPr>
    <w:rPr>
      <w:rFonts w:ascii="Tahoma" w:hAnsi="Tahoma" w:cs="Tahoma"/>
      <w:color w:val="000000"/>
      <w:sz w:val="18"/>
      <w:szCs w:val="18"/>
      <w:lang w:val="en-US" w:bidi="en-US"/>
    </w:rPr>
  </w:style>
  <w:style w:type="paragraph" w:styleId="11643" w:customStyle="1">
    <w:name w:val="xl1877"/>
    <w:basedOn w:val="10533"/>
    <w:uiPriority w:val="99"/>
    <w:qFormat/>
    <w:pPr>
      <w:pBdr>
        <w:top w:val="single" w:color="000000" w:sz="4" w:space="0"/>
        <w:bottom w:val="single" w:color="000000" w:sz="4" w:space="0"/>
        <w:right w:val="single" w:color="333333" w:sz="4" w:space="0"/>
      </w:pBdr>
      <w:shd w:val="thinReverseDiagStripe" w:color="c0c0c0" w:fill="auto"/>
      <w:spacing w:afterAutospacing="1" w:beforeAutospacing="1" w:line="360" w:lineRule="auto"/>
      <w:ind/>
      <w:jc w:val="right"/>
    </w:pPr>
    <w:rPr>
      <w:rFonts w:ascii="Tahoma" w:hAnsi="Tahoma" w:cs="Tahoma"/>
      <w:color w:val="000000"/>
      <w:sz w:val="18"/>
      <w:szCs w:val="18"/>
      <w:lang w:val="en-US" w:bidi="en-US"/>
    </w:rPr>
  </w:style>
  <w:style w:type="paragraph" w:styleId="11644" w:customStyle="1">
    <w:name w:val="xl1878"/>
    <w:basedOn w:val="10533"/>
    <w:uiPriority w:val="99"/>
    <w:qFormat/>
    <w:pPr>
      <w:pBdr>
        <w:top w:val="single" w:color="000000" w:sz="4" w:space="0"/>
        <w:bottom w:val="single" w:color="000000" w:sz="4" w:space="0"/>
        <w:right w:val="single" w:color="333333" w:sz="4" w:space="0"/>
      </w:pBdr>
      <w:shd w:val="thinReverseDiagStripe" w:color="c0c0c0" w:fill="ffffff"/>
      <w:spacing w:afterAutospacing="1" w:beforeAutospacing="1" w:line="360" w:lineRule="auto"/>
      <w:ind w:firstLine="100"/>
    </w:pPr>
    <w:rPr>
      <w:color w:val="0000ff"/>
      <w:u w:val="single"/>
      <w:lang w:val="en-US" w:bidi="en-US"/>
    </w:rPr>
  </w:style>
  <w:style w:type="paragraph" w:styleId="11645" w:customStyle="1">
    <w:name w:val="xl1879"/>
    <w:basedOn w:val="10533"/>
    <w:uiPriority w:val="99"/>
    <w:qFormat/>
    <w:pPr>
      <w:pBdr>
        <w:top w:val="single" w:color="000000" w:sz="4" w:space="0"/>
        <w:left w:val="single" w:color="000000" w:sz="4" w:space="0"/>
        <w:right w:val="single" w:color="000000" w:sz="4" w:space="0"/>
      </w:pBdr>
      <w:shd w:val="clear" w:color="000000" w:fill="ffff99"/>
      <w:spacing w:afterAutospacing="1" w:beforeAutospacing="1" w:line="360" w:lineRule="auto"/>
      <w:ind/>
      <w:jc w:val="center"/>
    </w:pPr>
    <w:rPr>
      <w:rFonts w:ascii="Tahoma" w:hAnsi="Tahoma" w:cs="Tahoma"/>
      <w:color w:val="000000"/>
      <w:sz w:val="18"/>
      <w:szCs w:val="18"/>
      <w:lang w:val="en-US" w:bidi="en-US"/>
    </w:rPr>
  </w:style>
  <w:style w:type="paragraph" w:styleId="11646" w:customStyle="1">
    <w:name w:val="xl1880"/>
    <w:basedOn w:val="10533"/>
    <w:uiPriority w:val="99"/>
    <w:qFormat/>
    <w:pPr>
      <w:pBdr>
        <w:left w:val="single" w:color="000000" w:sz="4" w:space="0"/>
        <w:right w:val="single" w:color="000000" w:sz="4" w:space="0"/>
      </w:pBdr>
      <w:shd w:val="clear" w:color="000000" w:fill="ffff99"/>
      <w:spacing w:afterAutospacing="1" w:beforeAutospacing="1" w:line="360" w:lineRule="auto"/>
      <w:ind/>
      <w:jc w:val="center"/>
    </w:pPr>
    <w:rPr>
      <w:rFonts w:ascii="Tahoma" w:hAnsi="Tahoma" w:cs="Tahoma"/>
      <w:color w:val="000000"/>
      <w:sz w:val="18"/>
      <w:szCs w:val="18"/>
      <w:lang w:val="en-US" w:bidi="en-US"/>
    </w:rPr>
  </w:style>
  <w:style w:type="paragraph" w:styleId="11647" w:customStyle="1">
    <w:name w:val="xl1881"/>
    <w:basedOn w:val="10533"/>
    <w:uiPriority w:val="99"/>
    <w:qFormat/>
    <w:pPr>
      <w:pBdr>
        <w:left w:val="single" w:color="000000" w:sz="4" w:space="0"/>
        <w:bottom w:val="single" w:color="000000" w:sz="4" w:space="0"/>
        <w:right w:val="single" w:color="000000" w:sz="4" w:space="0"/>
      </w:pBdr>
      <w:shd w:val="clear" w:color="000000" w:fill="ffff99"/>
      <w:spacing w:afterAutospacing="1" w:beforeAutospacing="1" w:line="360" w:lineRule="auto"/>
      <w:ind/>
      <w:jc w:val="center"/>
    </w:pPr>
    <w:rPr>
      <w:rFonts w:ascii="Tahoma" w:hAnsi="Tahoma" w:cs="Tahoma"/>
      <w:color w:val="000000"/>
      <w:sz w:val="18"/>
      <w:szCs w:val="18"/>
      <w:lang w:val="en-US" w:bidi="en-US"/>
    </w:rPr>
  </w:style>
  <w:style w:type="paragraph" w:styleId="11648" w:customStyle="1">
    <w:name w:val="xl1882"/>
    <w:basedOn w:val="10533"/>
    <w:uiPriority w:val="99"/>
    <w:qFormat/>
    <w:pPr>
      <w:pBdr>
        <w:top w:val="single" w:color="000000" w:sz="4" w:space="0"/>
        <w:bottom w:val="single" w:color="000000" w:sz="4" w:space="0"/>
      </w:pBdr>
      <w:shd w:val="thinReverseDiagStripe" w:color="c0c0c0" w:fill="ffffff"/>
      <w:spacing w:afterAutospacing="1" w:beforeAutospacing="1" w:line="360" w:lineRule="auto"/>
      <w:ind/>
    </w:pPr>
    <w:rPr>
      <w:rFonts w:ascii="Tahoma" w:hAnsi="Tahoma" w:cs="Tahoma"/>
      <w:b/>
      <w:bCs/>
      <w:color w:val="0000ff"/>
      <w:sz w:val="18"/>
      <w:szCs w:val="18"/>
      <w:u w:val="single"/>
      <w:lang w:val="en-US" w:bidi="en-US"/>
    </w:rPr>
  </w:style>
  <w:style w:type="paragraph" w:styleId="11649" w:customStyle="1">
    <w:name w:val="xl1883"/>
    <w:basedOn w:val="10533"/>
    <w:uiPriority w:val="99"/>
    <w:qFormat/>
    <w:pPr>
      <w:pBdr>
        <w:top w:val="single" w:color="000000" w:sz="4" w:space="0"/>
        <w:left w:val="single" w:color="000000" w:sz="4" w:space="0"/>
        <w:right w:val="single" w:color="000000" w:sz="4" w:space="0"/>
      </w:pBdr>
      <w:shd w:val="clear" w:color="000000" w:fill="ccffff"/>
      <w:spacing w:afterAutospacing="1" w:beforeAutospacing="1" w:line="360" w:lineRule="auto"/>
      <w:ind/>
      <w:jc w:val="center"/>
    </w:pPr>
    <w:rPr>
      <w:rFonts w:ascii="Tahoma" w:hAnsi="Tahoma" w:cs="Tahoma"/>
      <w:color w:val="000000"/>
      <w:sz w:val="18"/>
      <w:szCs w:val="18"/>
      <w:lang w:val="en-US" w:bidi="en-US"/>
    </w:rPr>
  </w:style>
  <w:style w:type="paragraph" w:styleId="11650" w:customStyle="1">
    <w:name w:val="xl1884"/>
    <w:basedOn w:val="10533"/>
    <w:uiPriority w:val="99"/>
    <w:qFormat/>
    <w:pPr>
      <w:pBdr>
        <w:left w:val="single" w:color="000000" w:sz="4" w:space="0"/>
        <w:right w:val="single" w:color="000000" w:sz="4" w:space="0"/>
      </w:pBdr>
      <w:shd w:val="clear" w:color="000000" w:fill="ccffff"/>
      <w:spacing w:afterAutospacing="1" w:beforeAutospacing="1" w:line="360" w:lineRule="auto"/>
      <w:ind/>
      <w:jc w:val="center"/>
    </w:pPr>
    <w:rPr>
      <w:rFonts w:ascii="Tahoma" w:hAnsi="Tahoma" w:cs="Tahoma"/>
      <w:color w:val="000000"/>
      <w:sz w:val="18"/>
      <w:szCs w:val="18"/>
      <w:lang w:val="en-US" w:bidi="en-US"/>
    </w:rPr>
  </w:style>
  <w:style w:type="paragraph" w:styleId="11651" w:customStyle="1">
    <w:name w:val="xl1885"/>
    <w:basedOn w:val="10533"/>
    <w:uiPriority w:val="99"/>
    <w:qFormat/>
    <w:pPr>
      <w:pBdr>
        <w:left w:val="single" w:color="000000" w:sz="4" w:space="0"/>
        <w:bottom w:val="single" w:color="000000" w:sz="4" w:space="0"/>
        <w:right w:val="single" w:color="000000" w:sz="4" w:space="0"/>
      </w:pBdr>
      <w:shd w:val="clear" w:color="000000" w:fill="ccffff"/>
      <w:spacing w:afterAutospacing="1" w:beforeAutospacing="1" w:line="360" w:lineRule="auto"/>
      <w:ind/>
      <w:jc w:val="center"/>
    </w:pPr>
    <w:rPr>
      <w:rFonts w:ascii="Tahoma" w:hAnsi="Tahoma" w:cs="Tahoma"/>
      <w:color w:val="000000"/>
      <w:sz w:val="18"/>
      <w:szCs w:val="18"/>
      <w:lang w:val="en-US" w:bidi="en-US"/>
    </w:rPr>
  </w:style>
  <w:style w:type="paragraph" w:styleId="11652" w:customStyle="1">
    <w:name w:val="xl1886"/>
    <w:basedOn w:val="10533"/>
    <w:uiPriority w:val="99"/>
    <w:qFormat/>
    <w:pPr>
      <w:pBdr>
        <w:top w:val="single" w:color="000000" w:sz="4" w:space="0"/>
        <w:left w:val="single" w:color="000000" w:sz="4" w:space="0"/>
        <w:right w:val="single" w:color="000000" w:sz="4" w:space="0"/>
      </w:pBdr>
      <w:shd w:val="clear" w:color="000000" w:fill="ccffcc"/>
      <w:spacing w:afterAutospacing="1" w:beforeAutospacing="1" w:line="360" w:lineRule="auto"/>
      <w:ind/>
      <w:jc w:val="center"/>
    </w:pPr>
    <w:rPr>
      <w:rFonts w:ascii="Tahoma" w:hAnsi="Tahoma" w:cs="Tahoma"/>
      <w:color w:val="000000"/>
      <w:sz w:val="18"/>
      <w:szCs w:val="18"/>
      <w:lang w:val="en-US" w:bidi="en-US"/>
    </w:rPr>
  </w:style>
  <w:style w:type="paragraph" w:styleId="11653" w:customStyle="1">
    <w:name w:val="xl1887"/>
    <w:basedOn w:val="10533"/>
    <w:uiPriority w:val="99"/>
    <w:qFormat/>
    <w:pPr>
      <w:pBdr>
        <w:left w:val="single" w:color="000000" w:sz="4" w:space="0"/>
        <w:right w:val="single" w:color="000000" w:sz="4" w:space="0"/>
      </w:pBdr>
      <w:shd w:val="clear" w:color="000000" w:fill="ccffcc"/>
      <w:spacing w:afterAutospacing="1" w:beforeAutospacing="1" w:line="360" w:lineRule="auto"/>
      <w:ind/>
      <w:jc w:val="center"/>
    </w:pPr>
    <w:rPr>
      <w:rFonts w:ascii="Tahoma" w:hAnsi="Tahoma" w:cs="Tahoma"/>
      <w:color w:val="000000"/>
      <w:sz w:val="18"/>
      <w:szCs w:val="18"/>
      <w:lang w:val="en-US" w:bidi="en-US"/>
    </w:rPr>
  </w:style>
  <w:style w:type="paragraph" w:styleId="11654" w:customStyle="1">
    <w:name w:val="xl1888"/>
    <w:basedOn w:val="10533"/>
    <w:uiPriority w:val="99"/>
    <w:qFormat/>
    <w:pPr>
      <w:pBdr>
        <w:left w:val="single" w:color="000000" w:sz="4" w:space="0"/>
        <w:bottom w:val="single" w:color="000000" w:sz="4" w:space="0"/>
        <w:right w:val="single" w:color="000000" w:sz="4" w:space="0"/>
      </w:pBdr>
      <w:shd w:val="clear" w:color="000000" w:fill="ccffcc"/>
      <w:spacing w:afterAutospacing="1" w:beforeAutospacing="1" w:line="360" w:lineRule="auto"/>
      <w:ind/>
      <w:jc w:val="center"/>
    </w:pPr>
    <w:rPr>
      <w:rFonts w:ascii="Tahoma" w:hAnsi="Tahoma" w:cs="Tahoma"/>
      <w:color w:val="000000"/>
      <w:sz w:val="18"/>
      <w:szCs w:val="18"/>
      <w:lang w:val="en-US" w:bidi="en-US"/>
    </w:rPr>
  </w:style>
  <w:style w:type="paragraph" w:styleId="11655" w:customStyle="1">
    <w:name w:val="xl1889"/>
    <w:basedOn w:val="10533"/>
    <w:uiPriority w:val="99"/>
    <w:qFormat/>
    <w:pPr>
      <w:pBdr>
        <w:top w:val="single" w:color="000000" w:sz="4" w:space="0"/>
        <w:left w:val="single" w:color="000000" w:sz="4" w:space="0"/>
        <w:bottom w:val="single" w:color="000000" w:sz="4" w:space="0"/>
        <w:right w:val="single" w:color="000000" w:sz="4" w:space="0"/>
      </w:pBdr>
      <w:shd w:val="clear" w:color="000000" w:fill="ccffcc"/>
      <w:spacing w:afterAutospacing="1" w:beforeAutospacing="1" w:line="360" w:lineRule="auto"/>
      <w:ind/>
      <w:jc w:val="center"/>
    </w:pPr>
    <w:rPr>
      <w:rFonts w:ascii="Tahoma" w:hAnsi="Tahoma" w:cs="Tahoma"/>
      <w:color w:val="000000"/>
      <w:sz w:val="18"/>
      <w:szCs w:val="18"/>
      <w:lang w:val="en-US" w:bidi="en-US"/>
    </w:rPr>
  </w:style>
  <w:style w:type="paragraph" w:styleId="11656" w:customStyle="1">
    <w:name w:val="xl1890"/>
    <w:basedOn w:val="10533"/>
    <w:uiPriority w:val="99"/>
    <w:qFormat/>
    <w:pPr>
      <w:pBdr>
        <w:top w:val="single" w:color="000000" w:sz="4" w:space="0"/>
        <w:left w:val="single" w:color="000000" w:sz="4" w:space="0"/>
        <w:right w:val="single" w:color="000000" w:sz="4" w:space="0"/>
      </w:pBdr>
      <w:spacing w:afterAutospacing="1" w:beforeAutospacing="1" w:line="360" w:lineRule="auto"/>
      <w:ind/>
      <w:jc w:val="center"/>
    </w:pPr>
    <w:rPr>
      <w:rFonts w:ascii="Tahoma" w:hAnsi="Tahoma" w:cs="Tahoma"/>
      <w:color w:val="000000"/>
      <w:sz w:val="18"/>
      <w:szCs w:val="18"/>
      <w:lang w:val="en-US" w:bidi="en-US"/>
    </w:rPr>
  </w:style>
  <w:style w:type="paragraph" w:styleId="11657" w:customStyle="1">
    <w:name w:val="xl1891"/>
    <w:basedOn w:val="10533"/>
    <w:uiPriority w:val="99"/>
    <w:qFormat/>
    <w:pPr>
      <w:pBdr>
        <w:left w:val="single" w:color="000000" w:sz="4" w:space="0"/>
        <w:right w:val="single" w:color="000000" w:sz="4" w:space="0"/>
      </w:pBdr>
      <w:spacing w:afterAutospacing="1" w:beforeAutospacing="1" w:line="360" w:lineRule="auto"/>
      <w:ind/>
      <w:jc w:val="center"/>
    </w:pPr>
    <w:rPr>
      <w:rFonts w:ascii="Tahoma" w:hAnsi="Tahoma" w:cs="Tahoma"/>
      <w:color w:val="000000"/>
      <w:sz w:val="18"/>
      <w:szCs w:val="18"/>
      <w:lang w:val="en-US" w:bidi="en-US"/>
    </w:rPr>
  </w:style>
  <w:style w:type="paragraph" w:styleId="11658" w:customStyle="1">
    <w:name w:val="xl1892"/>
    <w:basedOn w:val="10533"/>
    <w:uiPriority w:val="99"/>
    <w:qFormat/>
    <w:pPr>
      <w:pBdr>
        <w:left w:val="single" w:color="000000" w:sz="4" w:space="0"/>
        <w:bottom w:val="single" w:color="000000" w:sz="4" w:space="0"/>
        <w:right w:val="single" w:color="000000" w:sz="4" w:space="0"/>
      </w:pBdr>
      <w:spacing w:afterAutospacing="1" w:beforeAutospacing="1" w:line="360" w:lineRule="auto"/>
      <w:ind/>
      <w:jc w:val="center"/>
    </w:pPr>
    <w:rPr>
      <w:rFonts w:ascii="Tahoma" w:hAnsi="Tahoma" w:cs="Tahoma"/>
      <w:color w:val="000000"/>
      <w:sz w:val="18"/>
      <w:szCs w:val="18"/>
      <w:lang w:val="en-US" w:bidi="en-US"/>
    </w:rPr>
  </w:style>
  <w:style w:type="paragraph" w:styleId="11659" w:customStyle="1">
    <w:name w:val="xl1893"/>
    <w:basedOn w:val="10533"/>
    <w:uiPriority w:val="99"/>
    <w:qFormat/>
    <w:pPr>
      <w:pBdr>
        <w:top w:val="single" w:color="000000" w:sz="4" w:space="0"/>
        <w:left w:val="single" w:color="000000" w:sz="4" w:space="0"/>
        <w:bottom w:val="single" w:color="000000" w:sz="4" w:space="0"/>
        <w:right w:val="single" w:color="000000" w:sz="4" w:space="0"/>
      </w:pBdr>
      <w:shd w:val="clear" w:color="000000" w:fill="ccffcc"/>
      <w:spacing w:afterAutospacing="1" w:beforeAutospacing="1" w:line="360" w:lineRule="auto"/>
      <w:ind/>
      <w:jc w:val="center"/>
    </w:pPr>
    <w:rPr>
      <w:rFonts w:ascii="Tahoma" w:hAnsi="Tahoma" w:cs="Tahoma"/>
      <w:color w:val="000000"/>
      <w:sz w:val="18"/>
      <w:szCs w:val="18"/>
      <w:lang w:val="en-US" w:bidi="en-US"/>
    </w:rPr>
  </w:style>
  <w:style w:type="paragraph" w:styleId="11660" w:customStyle="1">
    <w:name w:val="xl50729"/>
    <w:basedOn w:val="10533"/>
    <w:uiPriority w:val="99"/>
    <w:qFormat/>
    <w:pPr>
      <w:pBdr/>
      <w:spacing w:afterAutospacing="1" w:beforeAutospacing="1" w:line="360" w:lineRule="auto"/>
      <w:ind/>
    </w:pPr>
    <w:rPr>
      <w:b/>
      <w:bCs/>
      <w:lang w:val="en-US" w:bidi="en-US"/>
    </w:rPr>
  </w:style>
  <w:style w:type="paragraph" w:styleId="11661" w:customStyle="1">
    <w:name w:val="xl50730"/>
    <w:basedOn w:val="10533"/>
    <w:uiPriority w:val="99"/>
    <w:qFormat/>
    <w:pPr>
      <w:pBdr>
        <w:top w:val="single" w:color="000000" w:sz="8" w:space="0"/>
        <w:left w:val="single" w:color="000000" w:sz="8" w:space="0"/>
        <w:right w:val="single" w:color="000000" w:sz="4" w:space="0"/>
      </w:pBdr>
      <w:spacing w:afterAutospacing="1" w:beforeAutospacing="1" w:line="360" w:lineRule="auto"/>
      <w:ind/>
    </w:pPr>
    <w:rPr>
      <w:i/>
      <w:iCs/>
      <w:lang w:val="en-US" w:bidi="en-US"/>
    </w:rPr>
  </w:style>
  <w:style w:type="paragraph" w:styleId="11662" w:customStyle="1">
    <w:name w:val="xl50731"/>
    <w:basedOn w:val="10533"/>
    <w:uiPriority w:val="99"/>
    <w:qFormat/>
    <w:pPr>
      <w:pBdr>
        <w:top w:val="single" w:color="000000" w:sz="8" w:space="0"/>
        <w:left w:val="single" w:color="000000" w:sz="4" w:space="0"/>
        <w:right w:val="single" w:color="000000" w:sz="4" w:space="0"/>
      </w:pBdr>
      <w:spacing w:afterAutospacing="1" w:beforeAutospacing="1" w:line="360" w:lineRule="auto"/>
      <w:ind/>
    </w:pPr>
    <w:rPr>
      <w:b/>
      <w:bCs/>
      <w:lang w:val="en-US" w:bidi="en-US"/>
    </w:rPr>
  </w:style>
  <w:style w:type="paragraph" w:styleId="11663" w:customStyle="1">
    <w:name w:val="xl50732"/>
    <w:basedOn w:val="10533"/>
    <w:uiPriority w:val="99"/>
    <w:qFormat/>
    <w:pPr>
      <w:pBdr>
        <w:top w:val="single" w:color="000000" w:sz="8" w:space="0"/>
        <w:left w:val="single" w:color="000000" w:sz="4" w:space="0"/>
        <w:right w:val="single" w:color="000000" w:sz="8" w:space="0"/>
      </w:pBdr>
      <w:spacing w:afterAutospacing="1" w:beforeAutospacing="1" w:line="360" w:lineRule="auto"/>
      <w:ind/>
    </w:pPr>
    <w:rPr>
      <w:b/>
      <w:bCs/>
      <w:lang w:val="en-US" w:bidi="en-US"/>
    </w:rPr>
  </w:style>
  <w:style w:type="paragraph" w:styleId="11664" w:customStyle="1">
    <w:name w:val="xl50733"/>
    <w:basedOn w:val="10533"/>
    <w:uiPriority w:val="99"/>
    <w:qFormat/>
    <w:pPr>
      <w:pBdr>
        <w:top w:val="single" w:color="000000" w:sz="4" w:space="0"/>
        <w:left w:val="single" w:color="000000" w:sz="4" w:space="0"/>
        <w:bottom w:val="single" w:color="000000" w:sz="4" w:space="0"/>
        <w:right w:val="single" w:color="000000" w:sz="4" w:space="0"/>
      </w:pBdr>
      <w:shd w:val="clear" w:color="000000" w:fill="ffc000"/>
      <w:spacing w:afterAutospacing="1" w:beforeAutospacing="1" w:line="360" w:lineRule="auto"/>
      <w:ind/>
    </w:pPr>
    <w:rPr>
      <w:lang w:val="en-US" w:bidi="en-US"/>
    </w:rPr>
  </w:style>
  <w:style w:type="paragraph" w:styleId="11665" w:customStyle="1">
    <w:name w:val="xl50734"/>
    <w:basedOn w:val="10533"/>
    <w:uiPriority w:val="99"/>
    <w:qFormat/>
    <w:pPr>
      <w:pBdr>
        <w:top w:val="single" w:color="000000" w:sz="4" w:space="0"/>
        <w:left w:val="single" w:color="000000" w:sz="4" w:space="0"/>
        <w:bottom w:val="single" w:color="000000" w:sz="4" w:space="0"/>
        <w:right w:val="single" w:color="000000" w:sz="4" w:space="0"/>
      </w:pBdr>
      <w:shd w:val="clear" w:color="000000" w:fill="c5d9f1"/>
      <w:spacing w:afterAutospacing="1" w:beforeAutospacing="1" w:line="360" w:lineRule="auto"/>
      <w:ind/>
    </w:pPr>
    <w:rPr>
      <w:lang w:val="en-US" w:bidi="en-US"/>
    </w:rPr>
  </w:style>
  <w:style w:type="paragraph" w:styleId="11666" w:customStyle="1">
    <w:name w:val="xl50735"/>
    <w:basedOn w:val="10533"/>
    <w:uiPriority w:val="99"/>
    <w:qFormat/>
    <w:pPr>
      <w:pBdr>
        <w:top w:val="single" w:color="000000" w:sz="8" w:space="0"/>
        <w:left w:val="single" w:color="000000" w:sz="8" w:space="0"/>
        <w:bottom w:val="single" w:color="000000" w:sz="4" w:space="0"/>
        <w:right w:val="single" w:color="000000" w:sz="4" w:space="0"/>
      </w:pBdr>
      <w:shd w:val="clear" w:color="000000" w:fill="ffc000"/>
      <w:spacing w:afterAutospacing="1" w:beforeAutospacing="1" w:line="360" w:lineRule="auto"/>
      <w:ind/>
    </w:pPr>
    <w:rPr>
      <w:b/>
      <w:bCs/>
      <w:i/>
      <w:iCs/>
      <w:lang w:val="en-US" w:bidi="en-US"/>
    </w:rPr>
  </w:style>
  <w:style w:type="paragraph" w:styleId="11667" w:customStyle="1">
    <w:name w:val="xl50736"/>
    <w:basedOn w:val="10533"/>
    <w:uiPriority w:val="99"/>
    <w:qFormat/>
    <w:pPr>
      <w:pBdr>
        <w:top w:val="single" w:color="000000" w:sz="8" w:space="0"/>
        <w:left w:val="single" w:color="000000" w:sz="4" w:space="0"/>
        <w:bottom w:val="single" w:color="000000" w:sz="4" w:space="0"/>
        <w:right w:val="single" w:color="000000" w:sz="4" w:space="0"/>
      </w:pBdr>
      <w:shd w:val="clear" w:color="000000" w:fill="ffc000"/>
      <w:spacing w:afterAutospacing="1" w:beforeAutospacing="1" w:line="360" w:lineRule="auto"/>
      <w:ind/>
    </w:pPr>
    <w:rPr>
      <w:i/>
      <w:iCs/>
      <w:lang w:val="en-US" w:bidi="en-US"/>
    </w:rPr>
  </w:style>
  <w:style w:type="paragraph" w:styleId="11668" w:customStyle="1">
    <w:name w:val="xl50737"/>
    <w:basedOn w:val="10533"/>
    <w:uiPriority w:val="99"/>
    <w:qFormat/>
    <w:pPr>
      <w:pBdr>
        <w:top w:val="single" w:color="000000" w:sz="8" w:space="0"/>
        <w:left w:val="single" w:color="000000" w:sz="4" w:space="0"/>
        <w:bottom w:val="single" w:color="000000" w:sz="4" w:space="0"/>
        <w:right w:val="single" w:color="000000" w:sz="8" w:space="0"/>
      </w:pBdr>
      <w:shd w:val="clear" w:color="000000" w:fill="ffc000"/>
      <w:spacing w:afterAutospacing="1" w:beforeAutospacing="1" w:line="360" w:lineRule="auto"/>
      <w:ind/>
    </w:pPr>
    <w:rPr>
      <w:i/>
      <w:iCs/>
      <w:lang w:val="en-US" w:bidi="en-US"/>
    </w:rPr>
  </w:style>
  <w:style w:type="paragraph" w:styleId="11669" w:customStyle="1">
    <w:name w:val="xl50738"/>
    <w:basedOn w:val="10533"/>
    <w:uiPriority w:val="99"/>
    <w:qFormat/>
    <w:pPr>
      <w:pBdr>
        <w:top w:val="single" w:color="000000" w:sz="4" w:space="0"/>
        <w:left w:val="single" w:color="000000" w:sz="8" w:space="0"/>
        <w:bottom w:val="single" w:color="000000" w:sz="4" w:space="0"/>
        <w:right w:val="single" w:color="000000" w:sz="4" w:space="0"/>
      </w:pBdr>
      <w:shd w:val="clear" w:color="000000" w:fill="ffc000"/>
      <w:spacing w:afterAutospacing="1" w:beforeAutospacing="1" w:line="360" w:lineRule="auto"/>
      <w:ind/>
    </w:pPr>
    <w:rPr>
      <w:lang w:val="en-US" w:bidi="en-US"/>
    </w:rPr>
  </w:style>
  <w:style w:type="paragraph" w:styleId="11670" w:customStyle="1">
    <w:name w:val="xl50739"/>
    <w:basedOn w:val="10533"/>
    <w:uiPriority w:val="99"/>
    <w:qFormat/>
    <w:pPr>
      <w:pBdr>
        <w:top w:val="single" w:color="000000" w:sz="4" w:space="0"/>
        <w:left w:val="single" w:color="000000" w:sz="4" w:space="0"/>
        <w:bottom w:val="single" w:color="000000" w:sz="4" w:space="0"/>
        <w:right w:val="single" w:color="000000" w:sz="8" w:space="0"/>
      </w:pBdr>
      <w:shd w:val="clear" w:color="000000" w:fill="ffc000"/>
      <w:spacing w:afterAutospacing="1" w:beforeAutospacing="1" w:line="360" w:lineRule="auto"/>
      <w:ind/>
    </w:pPr>
    <w:rPr>
      <w:lang w:val="en-US" w:bidi="en-US"/>
    </w:rPr>
  </w:style>
  <w:style w:type="paragraph" w:styleId="11671" w:customStyle="1">
    <w:name w:val="xl50740"/>
    <w:basedOn w:val="10533"/>
    <w:uiPriority w:val="99"/>
    <w:qFormat/>
    <w:pPr>
      <w:pBdr>
        <w:top w:val="single" w:color="000000" w:sz="4" w:space="0"/>
        <w:left w:val="single" w:color="000000" w:sz="8" w:space="0"/>
        <w:bottom w:val="single" w:color="000000" w:sz="4" w:space="0"/>
        <w:right w:val="single" w:color="000000" w:sz="4" w:space="0"/>
      </w:pBdr>
      <w:shd w:val="clear" w:color="000000" w:fill="ffc000"/>
      <w:spacing w:afterAutospacing="1" w:beforeAutospacing="1" w:line="360" w:lineRule="auto"/>
      <w:ind/>
    </w:pPr>
    <w:rPr>
      <w:lang w:val="en-US" w:bidi="en-US"/>
    </w:rPr>
  </w:style>
  <w:style w:type="paragraph" w:styleId="11672" w:customStyle="1">
    <w:name w:val="xl50741"/>
    <w:basedOn w:val="10533"/>
    <w:uiPriority w:val="99"/>
    <w:qFormat/>
    <w:pPr>
      <w:pBdr>
        <w:top w:val="single" w:color="000000" w:sz="4" w:space="0"/>
        <w:left w:val="single" w:color="000000" w:sz="8" w:space="0"/>
        <w:bottom w:val="single" w:color="000000" w:sz="4" w:space="0"/>
        <w:right w:val="single" w:color="000000" w:sz="4" w:space="0"/>
      </w:pBdr>
      <w:shd w:val="clear" w:color="000000" w:fill="c5d9f1"/>
      <w:spacing w:afterAutospacing="1" w:beforeAutospacing="1" w:line="360" w:lineRule="auto"/>
      <w:ind/>
    </w:pPr>
    <w:rPr>
      <w:lang w:val="en-US" w:bidi="en-US"/>
    </w:rPr>
  </w:style>
  <w:style w:type="paragraph" w:styleId="11673" w:customStyle="1">
    <w:name w:val="xl50742"/>
    <w:basedOn w:val="10533"/>
    <w:uiPriority w:val="99"/>
    <w:qFormat/>
    <w:pPr>
      <w:pBdr>
        <w:top w:val="single" w:color="000000" w:sz="4" w:space="0"/>
        <w:left w:val="single" w:color="000000" w:sz="4" w:space="0"/>
        <w:bottom w:val="single" w:color="000000" w:sz="4" w:space="0"/>
        <w:right w:val="single" w:color="000000" w:sz="8" w:space="0"/>
      </w:pBdr>
      <w:shd w:val="clear" w:color="000000" w:fill="c5d9f1"/>
      <w:spacing w:afterAutospacing="1" w:beforeAutospacing="1" w:line="360" w:lineRule="auto"/>
      <w:ind/>
    </w:pPr>
    <w:rPr>
      <w:lang w:val="en-US" w:bidi="en-US"/>
    </w:rPr>
  </w:style>
  <w:style w:type="paragraph" w:styleId="11674" w:customStyle="1">
    <w:name w:val="xl50743"/>
    <w:basedOn w:val="10533"/>
    <w:uiPriority w:val="99"/>
    <w:qFormat/>
    <w:pPr>
      <w:pBdr>
        <w:top w:val="single" w:color="000000" w:sz="4" w:space="0"/>
        <w:left w:val="single" w:color="000000" w:sz="8" w:space="0"/>
        <w:bottom w:val="single" w:color="000000" w:sz="4" w:space="0"/>
        <w:right w:val="single" w:color="000000" w:sz="4" w:space="0"/>
      </w:pBdr>
      <w:shd w:val="clear" w:color="000000" w:fill="c5d9f1"/>
      <w:spacing w:afterAutospacing="1" w:beforeAutospacing="1" w:line="360" w:lineRule="auto"/>
      <w:ind/>
    </w:pPr>
    <w:rPr>
      <w:lang w:val="en-US" w:bidi="en-US"/>
    </w:rPr>
  </w:style>
  <w:style w:type="paragraph" w:styleId="11675" w:customStyle="1">
    <w:name w:val="xl50744"/>
    <w:basedOn w:val="10533"/>
    <w:uiPriority w:val="99"/>
    <w:qFormat/>
    <w:pPr>
      <w:pBdr>
        <w:top w:val="single" w:color="000000" w:sz="4" w:space="0"/>
        <w:left w:val="single" w:color="000000" w:sz="8" w:space="0"/>
        <w:bottom w:val="single" w:color="000000" w:sz="8" w:space="0"/>
        <w:right w:val="single" w:color="000000" w:sz="4" w:space="0"/>
      </w:pBdr>
      <w:shd w:val="clear" w:color="000000" w:fill="e6b8b7"/>
      <w:spacing w:afterAutospacing="1" w:beforeAutospacing="1" w:line="360" w:lineRule="auto"/>
      <w:ind/>
    </w:pPr>
    <w:rPr>
      <w:lang w:val="en-US" w:bidi="en-US"/>
    </w:rPr>
  </w:style>
  <w:style w:type="paragraph" w:styleId="11676" w:customStyle="1">
    <w:name w:val="xl50745"/>
    <w:basedOn w:val="10533"/>
    <w:uiPriority w:val="99"/>
    <w:qFormat/>
    <w:pPr>
      <w:pBdr>
        <w:top w:val="single" w:color="000000" w:sz="4" w:space="0"/>
        <w:left w:val="single" w:color="000000" w:sz="4" w:space="0"/>
        <w:bottom w:val="single" w:color="000000" w:sz="8" w:space="0"/>
        <w:right w:val="single" w:color="000000" w:sz="4" w:space="0"/>
      </w:pBdr>
      <w:shd w:val="clear" w:color="000000" w:fill="e6b8b7"/>
      <w:spacing w:afterAutospacing="1" w:beforeAutospacing="1" w:line="360" w:lineRule="auto"/>
      <w:ind/>
    </w:pPr>
    <w:rPr>
      <w:lang w:val="en-US" w:bidi="en-US"/>
    </w:rPr>
  </w:style>
  <w:style w:type="paragraph" w:styleId="11677" w:customStyle="1">
    <w:name w:val="xl50746"/>
    <w:basedOn w:val="10533"/>
    <w:uiPriority w:val="99"/>
    <w:qFormat/>
    <w:pPr>
      <w:pBdr>
        <w:top w:val="single" w:color="000000" w:sz="4" w:space="0"/>
        <w:left w:val="single" w:color="000000" w:sz="4" w:space="0"/>
        <w:bottom w:val="single" w:color="000000" w:sz="8" w:space="0"/>
        <w:right w:val="single" w:color="000000" w:sz="8" w:space="0"/>
      </w:pBdr>
      <w:shd w:val="clear" w:color="000000" w:fill="e6b8b7"/>
      <w:spacing w:afterAutospacing="1" w:beforeAutospacing="1" w:line="360" w:lineRule="auto"/>
      <w:ind/>
    </w:pPr>
    <w:rPr>
      <w:lang w:val="en-US" w:bidi="en-US"/>
    </w:rPr>
  </w:style>
  <w:style w:type="paragraph" w:styleId="11678" w:customStyle="1">
    <w:name w:val="xl50747"/>
    <w:basedOn w:val="10533"/>
    <w:uiPriority w:val="99"/>
    <w:qFormat/>
    <w:pPr>
      <w:pBdr>
        <w:top w:val="single" w:color="000000" w:sz="4" w:space="0"/>
        <w:left w:val="single" w:color="000000" w:sz="8" w:space="0"/>
        <w:right w:val="single" w:color="000000" w:sz="4" w:space="0"/>
      </w:pBdr>
      <w:shd w:val="clear" w:color="000000" w:fill="e6b8b7"/>
      <w:spacing w:afterAutospacing="1" w:beforeAutospacing="1" w:line="360" w:lineRule="auto"/>
      <w:ind/>
    </w:pPr>
    <w:rPr>
      <w:lang w:val="en-US" w:bidi="en-US"/>
    </w:rPr>
  </w:style>
  <w:style w:type="paragraph" w:styleId="11679" w:customStyle="1">
    <w:name w:val="xl50748"/>
    <w:basedOn w:val="10533"/>
    <w:uiPriority w:val="99"/>
    <w:qFormat/>
    <w:pPr>
      <w:pBdr>
        <w:top w:val="single" w:color="000000" w:sz="4" w:space="0"/>
        <w:left w:val="single" w:color="000000" w:sz="4" w:space="0"/>
        <w:right w:val="single" w:color="000000" w:sz="4" w:space="0"/>
      </w:pBdr>
      <w:shd w:val="clear" w:color="000000" w:fill="e6b8b7"/>
      <w:spacing w:afterAutospacing="1" w:beforeAutospacing="1" w:line="360" w:lineRule="auto"/>
      <w:ind/>
    </w:pPr>
    <w:rPr>
      <w:lang w:val="en-US" w:bidi="en-US"/>
    </w:rPr>
  </w:style>
  <w:style w:type="paragraph" w:styleId="11680" w:customStyle="1">
    <w:name w:val="xl50749"/>
    <w:basedOn w:val="10533"/>
    <w:uiPriority w:val="99"/>
    <w:qFormat/>
    <w:pPr>
      <w:pBdr>
        <w:top w:val="single" w:color="000000" w:sz="4" w:space="0"/>
        <w:left w:val="single" w:color="000000" w:sz="4" w:space="0"/>
        <w:right w:val="single" w:color="000000" w:sz="8" w:space="0"/>
      </w:pBdr>
      <w:shd w:val="clear" w:color="000000" w:fill="e6b8b7"/>
      <w:spacing w:afterAutospacing="1" w:beforeAutospacing="1" w:line="360" w:lineRule="auto"/>
      <w:ind/>
    </w:pPr>
    <w:rPr>
      <w:lang w:val="en-US" w:bidi="en-US"/>
    </w:rPr>
  </w:style>
  <w:style w:type="paragraph" w:styleId="11681" w:customStyle="1">
    <w:name w:val="Мой Текст"/>
    <w:basedOn w:val="10533"/>
    <w:link w:val="10644"/>
    <w:qFormat/>
    <w:pPr>
      <w:pBdr/>
      <w:spacing w:line="360" w:lineRule="auto"/>
      <w:ind w:firstLine="851"/>
      <w:jc w:val="both"/>
    </w:pPr>
    <w:rPr>
      <w:rFonts w:ascii="Calibri" w:hAnsi="Calibri" w:eastAsia="Calibri" w:cs="Calibri"/>
      <w:szCs w:val="28"/>
    </w:rPr>
  </w:style>
  <w:style w:type="paragraph" w:styleId="11682" w:customStyle="1">
    <w:name w:val="Перечисление без номера"/>
    <w:basedOn w:val="10533"/>
    <w:link w:val="10645"/>
    <w:qFormat/>
    <w:pPr>
      <w:numPr>
        <w:ilvl w:val="0"/>
        <w:numId w:val="12"/>
      </w:numPr>
      <w:pBdr/>
      <w:spacing w:line="360" w:lineRule="auto"/>
      <w:ind w:hanging="357" w:left="1570"/>
      <w:jc w:val="both"/>
    </w:pPr>
    <w:rPr>
      <w:rFonts w:eastAsia="Calibri"/>
      <w:szCs w:val="28"/>
      <w:lang w:val="en-US" w:eastAsia="en-US" w:bidi="en-US"/>
    </w:rPr>
  </w:style>
  <w:style w:type="paragraph" w:styleId="11683" w:customStyle="1">
    <w:name w:val="xl51718"/>
    <w:basedOn w:val="10533"/>
    <w:uiPriority w:val="99"/>
    <w:qFormat/>
    <w:pPr>
      <w:pBdr>
        <w:bottom w:val="single" w:color="000000" w:sz="8" w:space="0"/>
        <w:right w:val="single" w:color="000000" w:sz="8" w:space="0"/>
      </w:pBdr>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84" w:customStyle="1">
    <w:name w:val="xl51719"/>
    <w:basedOn w:val="10533"/>
    <w:uiPriority w:val="99"/>
    <w:qFormat/>
    <w:pPr>
      <w:pBdr/>
      <w:shd w:val="clear" w:color="000000" w:fill="ffff00"/>
      <w:spacing w:afterAutospacing="1" w:beforeAutospacing="1" w:line="360" w:lineRule="auto"/>
      <w:ind/>
    </w:pPr>
    <w:rPr>
      <w:lang w:val="en-US" w:bidi="en-US"/>
    </w:rPr>
  </w:style>
  <w:style w:type="paragraph" w:styleId="11685" w:customStyle="1">
    <w:name w:val="xl51720"/>
    <w:basedOn w:val="10533"/>
    <w:uiPriority w:val="99"/>
    <w:qFormat/>
    <w:pPr>
      <w:pBdr>
        <w:left w:val="single" w:color="000000" w:sz="8" w:space="0"/>
        <w:bottom w:val="single" w:color="000000" w:sz="8" w:space="0"/>
        <w:right w:val="single" w:color="000000" w:sz="8" w:space="0"/>
      </w:pBdr>
      <w:shd w:val="clear" w:color="000000" w:fill="ffff00"/>
      <w:spacing w:afterAutospacing="1" w:beforeAutospacing="1" w:line="360" w:lineRule="auto"/>
      <w:ind/>
    </w:pPr>
    <w:rPr>
      <w:rFonts w:ascii="Arial Unicode MS" w:hAnsi="Arial Unicode MS" w:eastAsia="Arial Unicode MS" w:cs="Arial Unicode MS"/>
      <w:sz w:val="20"/>
      <w:szCs w:val="20"/>
      <w:lang w:val="en-US" w:bidi="en-US"/>
    </w:rPr>
  </w:style>
  <w:style w:type="paragraph" w:styleId="11686" w:customStyle="1">
    <w:name w:val="xl51721"/>
    <w:basedOn w:val="10533"/>
    <w:uiPriority w:val="99"/>
    <w:qFormat/>
    <w:pPr>
      <w:pBdr>
        <w:top w:val="single" w:color="000000" w:sz="8" w:space="0"/>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87" w:customStyle="1">
    <w:name w:val="xl51722"/>
    <w:basedOn w:val="10533"/>
    <w:uiPriority w:val="99"/>
    <w:qFormat/>
    <w:pPr>
      <w:pBdr>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88" w:customStyle="1">
    <w:name w:val="xl51723"/>
    <w:basedOn w:val="10533"/>
    <w:uiPriority w:val="99"/>
    <w:qFormat/>
    <w:pPr>
      <w:pBdr>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89" w:customStyle="1">
    <w:name w:val="xl51724"/>
    <w:basedOn w:val="10533"/>
    <w:uiPriority w:val="99"/>
    <w:qFormat/>
    <w:pPr>
      <w:pBdr/>
      <w:shd w:val="clear" w:color="000000" w:fill="ffffff"/>
      <w:spacing w:afterAutospacing="1" w:beforeAutospacing="1" w:line="360" w:lineRule="auto"/>
      <w:ind/>
    </w:pPr>
    <w:rPr>
      <w:lang w:val="en-US" w:bidi="en-US"/>
    </w:rPr>
  </w:style>
  <w:style w:type="paragraph" w:styleId="11690" w:customStyle="1">
    <w:name w:val="xl51725"/>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691" w:customStyle="1">
    <w:name w:val="xl51726"/>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692" w:customStyle="1">
    <w:name w:val="xl51727"/>
    <w:basedOn w:val="10533"/>
    <w:uiPriority w:val="99"/>
    <w:qFormat/>
    <w:pPr>
      <w:pBdr>
        <w:top w:val="single" w:color="000000" w:sz="8" w:space="0"/>
        <w:bottom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693" w:customStyle="1">
    <w:name w:val="xl51728"/>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pPr>
    <w:rPr>
      <w:rFonts w:ascii="Arial Unicode MS" w:hAnsi="Arial Unicode MS" w:eastAsia="Arial Unicode MS" w:cs="Arial Unicode MS"/>
      <w:sz w:val="20"/>
      <w:szCs w:val="20"/>
      <w:lang w:val="en-US" w:bidi="en-US"/>
    </w:rPr>
  </w:style>
  <w:style w:type="paragraph" w:styleId="11694" w:customStyle="1">
    <w:name w:val="xl51729"/>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95" w:customStyle="1">
    <w:name w:val="xl51730"/>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96" w:customStyle="1">
    <w:name w:val="xl51731"/>
    <w:basedOn w:val="10533"/>
    <w:uiPriority w:val="99"/>
    <w:qFormat/>
    <w:pPr>
      <w:pBdr>
        <w:left w:val="single" w:color="000000" w:sz="8" w:space="0"/>
        <w:bottom w:val="single" w:color="000000" w:sz="8" w:space="0"/>
        <w:right w:val="single" w:color="000000" w:sz="8" w:space="0"/>
      </w:pBdr>
      <w:shd w:val="clear" w:color="000000" w:fill="ffffff"/>
      <w:spacing w:afterAutospacing="1" w:beforeAutospacing="1" w:line="360" w:lineRule="auto"/>
      <w:ind/>
    </w:pPr>
    <w:rPr>
      <w:rFonts w:ascii="Arial Unicode MS" w:hAnsi="Arial Unicode MS" w:eastAsia="Arial Unicode MS" w:cs="Arial Unicode MS"/>
      <w:sz w:val="20"/>
      <w:szCs w:val="20"/>
      <w:lang w:val="en-US" w:bidi="en-US"/>
    </w:rPr>
  </w:style>
  <w:style w:type="paragraph" w:styleId="11697" w:customStyle="1">
    <w:name w:val="xl51732"/>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698" w:customStyle="1">
    <w:name w:val="xl51733"/>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color w:val="ff0000"/>
      <w:sz w:val="20"/>
      <w:szCs w:val="20"/>
      <w:lang w:val="en-US" w:bidi="en-US"/>
    </w:rPr>
  </w:style>
  <w:style w:type="paragraph" w:styleId="11699" w:customStyle="1">
    <w:name w:val="xl51734"/>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00" w:customStyle="1">
    <w:name w:val="xl51735"/>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01" w:customStyle="1">
    <w:name w:val="xl51736"/>
    <w:basedOn w:val="10533"/>
    <w:uiPriority w:val="99"/>
    <w:qFormat/>
    <w:pPr>
      <w:pBdr>
        <w:bottom w:val="single" w:color="000000" w:sz="8" w:space="0"/>
        <w:right w:val="single" w:color="000000" w:sz="8" w:space="0"/>
      </w:pBdr>
      <w:shd w:val="clear" w:color="000000" w:fill="ffffff"/>
      <w:spacing w:afterAutospacing="1" w:beforeAutospacing="1" w:line="360" w:lineRule="auto"/>
      <w:ind/>
    </w:pPr>
    <w:rPr>
      <w:rFonts w:ascii="Arial Unicode MS" w:hAnsi="Arial Unicode MS" w:eastAsia="Arial Unicode MS" w:cs="Arial Unicode MS"/>
      <w:sz w:val="20"/>
      <w:szCs w:val="20"/>
      <w:lang w:val="en-US" w:bidi="en-US"/>
    </w:rPr>
  </w:style>
  <w:style w:type="paragraph" w:styleId="11702" w:customStyle="1">
    <w:name w:val="xl51737"/>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03" w:customStyle="1">
    <w:name w:val="xl51738"/>
    <w:basedOn w:val="10533"/>
    <w:uiPriority w:val="99"/>
    <w:qFormat/>
    <w:pPr>
      <w:pBdr>
        <w:left w:val="single" w:color="000000" w:sz="8" w:space="0"/>
        <w:bottom w:val="single" w:color="000000" w:sz="8" w:space="0"/>
        <w:right w:val="single" w:color="000000" w:sz="8" w:space="0"/>
      </w:pBdr>
      <w:shd w:val="clear" w:color="000000" w:fill="ffffff"/>
      <w:spacing w:afterAutospacing="1" w:beforeAutospacing="1" w:line="360" w:lineRule="auto"/>
      <w:ind/>
    </w:pPr>
    <w:rPr>
      <w:rFonts w:ascii="Arial Unicode MS" w:hAnsi="Arial Unicode MS" w:eastAsia="Arial Unicode MS" w:cs="Arial Unicode MS"/>
      <w:color w:val="ff0000"/>
      <w:sz w:val="20"/>
      <w:szCs w:val="20"/>
      <w:lang w:val="en-US" w:bidi="en-US"/>
    </w:rPr>
  </w:style>
  <w:style w:type="paragraph" w:styleId="11704" w:customStyle="1">
    <w:name w:val="xl51739"/>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05" w:customStyle="1">
    <w:name w:val="xl51740"/>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pPr>
    <w:rPr>
      <w:color w:val="000000"/>
      <w:lang w:val="en-US" w:bidi="en-US"/>
    </w:rPr>
  </w:style>
  <w:style w:type="paragraph" w:styleId="11706" w:customStyle="1">
    <w:name w:val="xl51741"/>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color w:val="000000"/>
      <w:lang w:val="en-US" w:bidi="en-US"/>
    </w:rPr>
  </w:style>
  <w:style w:type="paragraph" w:styleId="11707" w:customStyle="1">
    <w:name w:val="xl51742"/>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color w:val="000000"/>
      <w:lang w:val="en-US" w:bidi="en-US"/>
    </w:rPr>
  </w:style>
  <w:style w:type="paragraph" w:styleId="11708" w:customStyle="1">
    <w:name w:val="xl51743"/>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color w:val="000000"/>
      <w:lang w:val="en-US" w:bidi="en-US"/>
    </w:rPr>
  </w:style>
  <w:style w:type="paragraph" w:styleId="11709" w:customStyle="1">
    <w:name w:val="xl51744"/>
    <w:basedOn w:val="10533"/>
    <w:uiPriority w:val="99"/>
    <w:qFormat/>
    <w:pPr>
      <w:pBdr>
        <w:top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710" w:customStyle="1">
    <w:name w:val="xl51745"/>
    <w:basedOn w:val="10533"/>
    <w:uiPriority w:val="99"/>
    <w:qFormat/>
    <w:pPr>
      <w:pBdr>
        <w:top w:val="single" w:color="000000" w:sz="8" w:space="0"/>
      </w:pBdr>
      <w:shd w:val="clear" w:color="000000" w:fill="ffffff"/>
      <w:spacing w:afterAutospacing="1" w:beforeAutospacing="1" w:line="360" w:lineRule="auto"/>
      <w:ind/>
    </w:pPr>
    <w:rPr>
      <w:rFonts w:ascii="Arial Unicode MS" w:hAnsi="Arial Unicode MS" w:eastAsia="Arial Unicode MS" w:cs="Arial Unicode MS"/>
      <w:b/>
      <w:bCs/>
      <w:sz w:val="20"/>
      <w:szCs w:val="20"/>
      <w:lang w:val="en-US" w:bidi="en-US"/>
    </w:rPr>
  </w:style>
  <w:style w:type="paragraph" w:styleId="11711" w:customStyle="1">
    <w:name w:val="xl51746"/>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12" w:customStyle="1">
    <w:name w:val="xl51747"/>
    <w:basedOn w:val="10533"/>
    <w:uiPriority w:val="99"/>
    <w:qFormat/>
    <w:pPr>
      <w:pBdr>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13" w:customStyle="1">
    <w:name w:val="xl51748"/>
    <w:basedOn w:val="10533"/>
    <w:uiPriority w:val="99"/>
    <w:qFormat/>
    <w:pPr>
      <w:pBdr>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color w:val="ff0000"/>
      <w:sz w:val="20"/>
      <w:szCs w:val="20"/>
      <w:lang w:val="en-US" w:bidi="en-US"/>
    </w:rPr>
  </w:style>
  <w:style w:type="paragraph" w:styleId="11714" w:customStyle="1">
    <w:name w:val="xl51749"/>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pPr>
    <w:rPr>
      <w:color w:val="000000"/>
      <w:lang w:val="en-US" w:bidi="en-US"/>
    </w:rPr>
  </w:style>
  <w:style w:type="paragraph" w:styleId="11715" w:customStyle="1">
    <w:name w:val="xl51750"/>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16" w:customStyle="1">
    <w:name w:val="xl51751"/>
    <w:basedOn w:val="10533"/>
    <w:uiPriority w:val="99"/>
    <w:qFormat/>
    <w:pPr>
      <w:pBdr>
        <w:top w:val="single" w:color="000000" w:sz="8" w:space="0"/>
        <w:left w:val="single" w:color="000000" w:sz="8" w:space="0"/>
        <w:bottom w:val="single" w:color="000000" w:sz="8" w:space="0"/>
      </w:pBdr>
      <w:shd w:val="clear" w:color="000000" w:fill="ffffff"/>
      <w:spacing w:afterAutospacing="1" w:beforeAutospacing="1" w:line="360" w:lineRule="auto"/>
      <w:ind/>
    </w:pPr>
    <w:rPr>
      <w:color w:val="000000"/>
      <w:lang w:val="en-US" w:bidi="en-US"/>
    </w:rPr>
  </w:style>
  <w:style w:type="paragraph" w:styleId="11717" w:customStyle="1">
    <w:name w:val="xl51752"/>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18" w:customStyle="1">
    <w:name w:val="xl51753"/>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line="360" w:lineRule="auto"/>
      <w:ind/>
      <w:jc w:val="center"/>
    </w:pPr>
    <w:rPr>
      <w:color w:val="000000"/>
      <w:lang w:val="en-US" w:bidi="en-US"/>
    </w:rPr>
  </w:style>
  <w:style w:type="paragraph" w:styleId="11719" w:customStyle="1">
    <w:name w:val="xl51754"/>
    <w:basedOn w:val="10533"/>
    <w:uiPriority w:val="99"/>
    <w:qFormat/>
    <w:pPr>
      <w:pBdr>
        <w:top w:val="single" w:color="000000" w:sz="8" w:space="0"/>
        <w:bottom w:val="single" w:color="000000" w:sz="8" w:space="0"/>
      </w:pBdr>
      <w:shd w:val="clear" w:color="000000" w:fill="ffffff"/>
      <w:spacing w:afterAutospacing="1" w:beforeAutospacing="1" w:line="360" w:lineRule="auto"/>
      <w:ind/>
      <w:jc w:val="center"/>
    </w:pPr>
    <w:rPr>
      <w:color w:val="000000"/>
      <w:lang w:val="en-US" w:bidi="en-US"/>
    </w:rPr>
  </w:style>
  <w:style w:type="paragraph" w:styleId="11720" w:customStyle="1">
    <w:name w:val="xl51755"/>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line="360" w:lineRule="auto"/>
      <w:ind/>
      <w:jc w:val="center"/>
    </w:pPr>
    <w:rPr>
      <w:color w:val="000000"/>
      <w:lang w:val="en-US" w:bidi="en-US"/>
    </w:rPr>
  </w:style>
  <w:style w:type="paragraph" w:styleId="11721" w:customStyle="1">
    <w:name w:val="xl51756"/>
    <w:basedOn w:val="10533"/>
    <w:uiPriority w:val="99"/>
    <w:qFormat/>
    <w:pPr>
      <w:pBdr>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22" w:customStyle="1">
    <w:name w:val="xl51757"/>
    <w:basedOn w:val="10533"/>
    <w:uiPriority w:val="99"/>
    <w:qFormat/>
    <w:pPr>
      <w:pBdr>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23" w:customStyle="1">
    <w:name w:val="xl51758"/>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color w:val="ff0000"/>
      <w:sz w:val="20"/>
      <w:szCs w:val="20"/>
      <w:lang w:val="en-US" w:bidi="en-US"/>
    </w:rPr>
  </w:style>
  <w:style w:type="paragraph" w:styleId="11724" w:customStyle="1">
    <w:name w:val="xl51759"/>
    <w:basedOn w:val="10533"/>
    <w:uiPriority w:val="99"/>
    <w:qFormat/>
    <w:pPr>
      <w:pBdr>
        <w:top w:val="single" w:color="000000" w:sz="8" w:space="0"/>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25" w:customStyle="1">
    <w:name w:val="xl51760"/>
    <w:basedOn w:val="10533"/>
    <w:uiPriority w:val="99"/>
    <w:qFormat/>
    <w:pPr>
      <w:pBdr>
        <w:top w:val="single" w:color="000000" w:sz="8" w:space="0"/>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726" w:customStyle="1">
    <w:name w:val="xl51761"/>
    <w:basedOn w:val="10533"/>
    <w:uiPriority w:val="99"/>
    <w:qFormat/>
    <w:pPr>
      <w:pBdr>
        <w:top w:val="single" w:color="000000" w:sz="8" w:space="0"/>
        <w:bottom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727" w:customStyle="1">
    <w:name w:val="xl51762"/>
    <w:basedOn w:val="10533"/>
    <w:uiPriority w:val="99"/>
    <w:qFormat/>
    <w:pPr>
      <w:pBdr>
        <w:top w:val="single" w:color="000000" w:sz="8" w:space="0"/>
        <w:left w:val="single" w:color="000000" w:sz="8" w:space="0"/>
        <w:bottom w:val="single" w:color="000000" w:sz="8" w:space="0"/>
        <w:right w:val="single" w:color="000000" w:sz="8" w:space="0"/>
      </w:pBdr>
      <w:shd w:val="clear" w:color="000000" w:fill="ffff00"/>
      <w:spacing w:afterAutospacing="1" w:beforeAutospacing="1" w:line="360" w:lineRule="auto"/>
      <w:ind/>
      <w:jc w:val="center"/>
    </w:pPr>
    <w:rPr>
      <w:color w:val="000000"/>
      <w:lang w:val="en-US" w:bidi="en-US"/>
    </w:rPr>
  </w:style>
  <w:style w:type="paragraph" w:styleId="11728" w:customStyle="1">
    <w:name w:val="xl51763"/>
    <w:basedOn w:val="10533"/>
    <w:uiPriority w:val="99"/>
    <w:qFormat/>
    <w:pPr>
      <w:pBdr>
        <w:top w:val="single" w:color="000000" w:sz="8" w:space="0"/>
        <w:left w:val="single" w:color="000000" w:sz="8" w:space="0"/>
        <w:bottom w:val="single" w:color="000000" w:sz="8" w:space="0"/>
        <w:right w:val="single" w:color="000000" w:sz="8" w:space="0"/>
      </w:pBdr>
      <w:shd w:val="clear" w:color="000000" w:fill="ffff00"/>
      <w:spacing w:afterAutospacing="1" w:beforeAutospacing="1" w:line="360" w:lineRule="auto"/>
      <w:ind/>
      <w:jc w:val="center"/>
    </w:pPr>
    <w:rPr>
      <w:color w:val="000000"/>
      <w:lang w:val="en-US" w:bidi="en-US"/>
    </w:rPr>
  </w:style>
  <w:style w:type="paragraph" w:styleId="11729" w:customStyle="1">
    <w:name w:val="xl51764"/>
    <w:basedOn w:val="10533"/>
    <w:uiPriority w:val="99"/>
    <w:qFormat/>
    <w:pPr>
      <w:pBdr>
        <w:top w:val="single" w:color="000000" w:sz="8" w:space="0"/>
        <w:left w:val="single" w:color="000000" w:sz="8" w:space="0"/>
        <w:bottom w:val="single" w:color="000000" w:sz="8" w:space="0"/>
        <w:right w:val="single" w:color="000000" w:sz="8" w:space="0"/>
      </w:pBdr>
      <w:shd w:val="clear" w:color="000000" w:fill="ffff00"/>
      <w:spacing w:afterAutospacing="1" w:beforeAutospacing="1" w:line="360" w:lineRule="auto"/>
      <w:ind/>
      <w:jc w:val="center"/>
    </w:pPr>
    <w:rPr>
      <w:color w:val="000000"/>
      <w:lang w:val="en-US" w:bidi="en-US"/>
    </w:rPr>
  </w:style>
  <w:style w:type="paragraph" w:styleId="11730" w:customStyle="1">
    <w:name w:val="xl51765"/>
    <w:basedOn w:val="10533"/>
    <w:uiPriority w:val="99"/>
    <w:qFormat/>
    <w:pPr>
      <w:pBdr>
        <w:top w:val="single" w:color="000000" w:sz="8" w:space="0"/>
        <w:left w:val="single" w:color="000000" w:sz="8" w:space="0"/>
        <w:bottom w:val="single" w:color="000000" w:sz="8" w:space="0"/>
      </w:pBdr>
      <w:shd w:val="clear" w:color="000000" w:fill="ffffff"/>
      <w:spacing w:afterAutospacing="1" w:beforeAutospacing="1" w:line="360" w:lineRule="auto"/>
      <w:ind/>
      <w:jc w:val="center"/>
    </w:pPr>
    <w:rPr>
      <w:b/>
      <w:bCs/>
      <w:color w:val="000000"/>
      <w:lang w:val="en-US" w:bidi="en-US"/>
    </w:rPr>
  </w:style>
  <w:style w:type="paragraph" w:styleId="11731" w:customStyle="1">
    <w:name w:val="xl51766"/>
    <w:basedOn w:val="10533"/>
    <w:uiPriority w:val="99"/>
    <w:qFormat/>
    <w:pPr>
      <w:pBdr>
        <w:top w:val="single" w:color="000000" w:sz="8" w:space="0"/>
        <w:bottom w:val="single" w:color="000000" w:sz="8" w:space="0"/>
      </w:pBdr>
      <w:shd w:val="clear" w:color="000000" w:fill="ffffff"/>
      <w:spacing w:afterAutospacing="1" w:beforeAutospacing="1" w:line="360" w:lineRule="auto"/>
      <w:ind/>
      <w:jc w:val="center"/>
    </w:pPr>
    <w:rPr>
      <w:b/>
      <w:bCs/>
      <w:color w:val="000000"/>
      <w:lang w:val="en-US" w:bidi="en-US"/>
    </w:rPr>
  </w:style>
  <w:style w:type="paragraph" w:styleId="11732" w:customStyle="1">
    <w:name w:val="xl51767"/>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line="360" w:lineRule="auto"/>
      <w:ind/>
      <w:jc w:val="center"/>
    </w:pPr>
    <w:rPr>
      <w:b/>
      <w:bCs/>
      <w:color w:val="000000"/>
      <w:lang w:val="en-US" w:bidi="en-US"/>
    </w:rPr>
  </w:style>
  <w:style w:type="paragraph" w:styleId="11733" w:customStyle="1">
    <w:name w:val="xl51768"/>
    <w:basedOn w:val="10533"/>
    <w:uiPriority w:val="99"/>
    <w:qFormat/>
    <w:pPr>
      <w:pBdr/>
      <w:shd w:val="clear" w:color="000000" w:fill="ffffff"/>
      <w:spacing w:afterAutospacing="1" w:beforeAutospacing="1" w:line="360" w:lineRule="auto"/>
      <w:ind/>
      <w:jc w:val="center"/>
    </w:pPr>
    <w:rPr>
      <w:rFonts w:ascii="Arial Unicode MS" w:hAnsi="Arial Unicode MS" w:eastAsia="Arial Unicode MS" w:cs="Arial Unicode MS"/>
      <w:b/>
      <w:bCs/>
      <w:sz w:val="20"/>
      <w:szCs w:val="20"/>
      <w:lang w:val="en-US" w:bidi="en-US"/>
    </w:rPr>
  </w:style>
  <w:style w:type="paragraph" w:styleId="11734" w:customStyle="1">
    <w:name w:val="xl51769"/>
    <w:basedOn w:val="10533"/>
    <w:uiPriority w:val="99"/>
    <w:qFormat/>
    <w:pPr>
      <w:pBdr>
        <w:bottom w:val="single" w:color="000000" w:sz="8" w:space="0"/>
        <w:right w:val="single" w:color="000000" w:sz="8" w:space="0"/>
      </w:pBdr>
      <w:spacing w:afterAutospacing="1" w:beforeAutospacing="1" w:line="360" w:lineRule="auto"/>
      <w:ind w:firstLine="200"/>
    </w:pPr>
    <w:rPr>
      <w:rFonts w:ascii="Arial Unicode MS" w:hAnsi="Arial Unicode MS" w:eastAsia="Arial Unicode MS" w:cs="Arial Unicode MS"/>
      <w:sz w:val="20"/>
      <w:szCs w:val="20"/>
      <w:lang w:val="en-US" w:bidi="en-US"/>
    </w:rPr>
  </w:style>
  <w:style w:type="paragraph" w:styleId="11735" w:customStyle="1">
    <w:name w:val="xl51770"/>
    <w:basedOn w:val="10533"/>
    <w:uiPriority w:val="99"/>
    <w:qFormat/>
    <w:pPr>
      <w:pBdr>
        <w:bottom w:val="single" w:color="000000" w:sz="8" w:space="0"/>
        <w:right w:val="single" w:color="000000" w:sz="8" w:space="0"/>
      </w:pBdr>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36" w:customStyle="1">
    <w:name w:val="xl51771"/>
    <w:basedOn w:val="10533"/>
    <w:uiPriority w:val="99"/>
    <w:qFormat/>
    <w:pPr>
      <w:pBdr/>
      <w:shd w:val="clear" w:color="000000" w:fill="ffff00"/>
      <w:spacing w:afterAutospacing="1" w:beforeAutospacing="1" w:line="360" w:lineRule="auto"/>
      <w:ind/>
      <w:jc w:val="center"/>
    </w:pPr>
    <w:rPr>
      <w:lang w:val="en-US" w:bidi="en-US"/>
    </w:rPr>
  </w:style>
  <w:style w:type="paragraph" w:styleId="11737" w:customStyle="1">
    <w:name w:val="xl51772"/>
    <w:basedOn w:val="10533"/>
    <w:uiPriority w:val="99"/>
    <w:qFormat/>
    <w:pPr>
      <w:pBdr>
        <w:bottom w:val="single" w:color="000000" w:sz="8" w:space="0"/>
        <w:right w:val="single" w:color="000000" w:sz="8" w:space="0"/>
      </w:pBdr>
      <w:shd w:val="clear" w:color="000000" w:fill="ffffff"/>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38" w:customStyle="1">
    <w:name w:val="xl51773"/>
    <w:basedOn w:val="10533"/>
    <w:uiPriority w:val="99"/>
    <w:qFormat/>
    <w:pPr>
      <w:pBdr>
        <w:bottom w:val="single" w:color="000000" w:sz="8" w:space="0"/>
        <w:right w:val="single" w:color="000000" w:sz="8" w:space="0"/>
      </w:pBdr>
      <w:shd w:val="clear" w:color="000000" w:fill="ffff00"/>
      <w:spacing w:afterAutospacing="1" w:beforeAutospacing="1" w:line="360" w:lineRule="auto"/>
      <w:ind/>
      <w:jc w:val="center"/>
    </w:pPr>
    <w:rPr>
      <w:rFonts w:ascii="Arial Unicode MS" w:hAnsi="Arial Unicode MS" w:eastAsia="Arial Unicode MS" w:cs="Arial Unicode MS"/>
      <w:sz w:val="20"/>
      <w:szCs w:val="20"/>
      <w:lang w:val="en-US" w:bidi="en-US"/>
    </w:rPr>
  </w:style>
  <w:style w:type="paragraph" w:styleId="11739" w:customStyle="1">
    <w:name w:val="xl35"/>
    <w:basedOn w:val="10533"/>
    <w:qFormat/>
    <w:pPr>
      <w:pBdr/>
      <w:spacing w:afterAutospacing="1" w:beforeAutospacing="1" w:line="360" w:lineRule="auto"/>
      <w:ind/>
    </w:pPr>
    <w:rPr>
      <w:lang w:val="en-US" w:bidi="en-US"/>
    </w:rPr>
  </w:style>
  <w:style w:type="paragraph" w:styleId="11740" w:customStyle="1">
    <w:name w:val="xl36"/>
    <w:basedOn w:val="10533"/>
    <w:qFormat/>
    <w:pPr>
      <w:pBdr>
        <w:top w:val="single" w:color="bcbcbc" w:sz="4" w:space="0"/>
        <w:left w:val="single" w:color="bcbcbc" w:sz="4" w:space="0"/>
        <w:bottom w:val="single" w:color="bcbcbc" w:sz="4" w:space="0"/>
        <w:right w:val="single" w:color="bcbcbc" w:sz="4" w:space="0"/>
      </w:pBdr>
      <w:spacing w:afterAutospacing="1" w:beforeAutospacing="1" w:line="360" w:lineRule="auto"/>
      <w:ind/>
      <w:jc w:val="center"/>
    </w:pPr>
    <w:rPr>
      <w:lang w:val="en-US" w:bidi="en-US"/>
    </w:rPr>
  </w:style>
  <w:style w:type="paragraph" w:styleId="11741" w:customStyle="1">
    <w:name w:val="xl37"/>
    <w:basedOn w:val="10533"/>
    <w:qFormat/>
    <w:pPr>
      <w:pBdr>
        <w:top w:val="single" w:color="bcbcbc" w:sz="4" w:space="0"/>
        <w:left w:val="single" w:color="bcbcbc" w:sz="4" w:space="0"/>
      </w:pBdr>
      <w:shd w:val="clear" w:color="auto" w:fill="bcbcbc"/>
      <w:spacing w:afterAutospacing="1" w:beforeAutospacing="1" w:line="360" w:lineRule="auto"/>
      <w:ind/>
      <w:jc w:val="center"/>
    </w:pPr>
    <w:rPr>
      <w:i/>
      <w:iCs/>
      <w:lang w:val="en-US" w:bidi="en-US"/>
    </w:rPr>
  </w:style>
  <w:style w:type="paragraph" w:styleId="11742" w:customStyle="1">
    <w:name w:val="xl38"/>
    <w:basedOn w:val="10533"/>
    <w:qFormat/>
    <w:pPr>
      <w:pBdr>
        <w:top w:val="single" w:color="bcbcbc" w:sz="4" w:space="0"/>
        <w:left w:val="single" w:color="bcbcbc" w:sz="4" w:space="0"/>
      </w:pBdr>
      <w:shd w:val="clear" w:color="auto" w:fill="bcbcbc"/>
      <w:spacing w:afterAutospacing="1" w:beforeAutospacing="1" w:line="360" w:lineRule="auto"/>
      <w:ind/>
      <w:jc w:val="center"/>
    </w:pPr>
    <w:rPr>
      <w:lang w:val="en-US" w:bidi="en-US"/>
    </w:rPr>
  </w:style>
  <w:style w:type="paragraph" w:styleId="11743" w:customStyle="1">
    <w:name w:val="xl39"/>
    <w:basedOn w:val="10533"/>
    <w:qFormat/>
    <w:pPr>
      <w:pBdr>
        <w:top w:val="single" w:color="bcbcbc" w:sz="4" w:space="0"/>
        <w:left w:val="single" w:color="bcbcbc" w:sz="4" w:space="0"/>
      </w:pBdr>
      <w:shd w:val="clear" w:color="auto" w:fill="bcbcbc"/>
      <w:spacing w:afterAutospacing="1" w:beforeAutospacing="1" w:line="360" w:lineRule="auto"/>
      <w:ind/>
    </w:pPr>
    <w:rPr>
      <w:lang w:val="en-US" w:bidi="en-US"/>
    </w:rPr>
  </w:style>
  <w:style w:type="paragraph" w:styleId="11744" w:customStyle="1">
    <w:name w:val="xl40"/>
    <w:basedOn w:val="10533"/>
    <w:qFormat/>
    <w:pPr>
      <w:pBdr>
        <w:top w:val="single" w:color="bcbcbc" w:sz="4" w:space="0"/>
      </w:pBdr>
      <w:shd w:val="clear" w:color="auto" w:fill="ffffff"/>
      <w:spacing w:afterAutospacing="1" w:beforeAutospacing="1" w:line="360" w:lineRule="auto"/>
      <w:ind/>
    </w:pPr>
    <w:rPr>
      <w:lang w:val="en-US" w:bidi="en-US"/>
    </w:rPr>
  </w:style>
  <w:style w:type="paragraph" w:styleId="11745" w:customStyle="1">
    <w:name w:val="xl41"/>
    <w:basedOn w:val="10533"/>
    <w:qFormat/>
    <w:pPr>
      <w:pBdr>
        <w:top w:val="single" w:color="bcbcbc" w:sz="4" w:space="0"/>
      </w:pBdr>
      <w:shd w:val="clear" w:color="auto" w:fill="bcbcbc"/>
      <w:spacing w:afterAutospacing="1" w:beforeAutospacing="1" w:line="360" w:lineRule="auto"/>
      <w:ind/>
    </w:pPr>
    <w:rPr>
      <w:lang w:val="en-US" w:bidi="en-US"/>
    </w:rPr>
  </w:style>
  <w:style w:type="paragraph" w:styleId="11746" w:customStyle="1">
    <w:name w:val="xl42"/>
    <w:basedOn w:val="10533"/>
    <w:qFormat/>
    <w:pPr>
      <w:pBdr>
        <w:top w:val="single" w:color="bcbcbc" w:sz="4" w:space="0"/>
        <w:left w:val="single" w:color="bcbcbc" w:sz="4" w:space="0"/>
        <w:bottom w:val="single" w:color="bcbcbc" w:sz="4" w:space="0"/>
        <w:right w:val="single" w:color="bcbcbc" w:sz="4" w:space="0"/>
      </w:pBdr>
      <w:shd w:val="clear" w:color="auto" w:fill="ffffff"/>
      <w:spacing w:afterAutospacing="1" w:beforeAutospacing="1" w:line="360" w:lineRule="auto"/>
      <w:ind/>
    </w:pPr>
    <w:rPr>
      <w:lang w:val="en-US" w:bidi="en-US"/>
    </w:rPr>
  </w:style>
  <w:style w:type="paragraph" w:styleId="11747" w:customStyle="1">
    <w:name w:val="xl43"/>
    <w:basedOn w:val="10533"/>
    <w:qFormat/>
    <w:pPr>
      <w:pBdr>
        <w:top w:val="single" w:color="bcbcbc" w:sz="4" w:space="0"/>
        <w:left w:val="single" w:color="bcbcbc" w:sz="4" w:space="0"/>
        <w:right w:val="single" w:color="bcbcbc" w:sz="4" w:space="0"/>
      </w:pBdr>
      <w:shd w:val="clear" w:color="auto" w:fill="ffffff"/>
      <w:spacing w:afterAutospacing="1" w:beforeAutospacing="1" w:line="360" w:lineRule="auto"/>
      <w:ind/>
      <w:jc w:val="center"/>
    </w:pPr>
    <w:rPr>
      <w:sz w:val="16"/>
      <w:szCs w:val="16"/>
      <w:lang w:val="en-US" w:bidi="en-US"/>
    </w:rPr>
  </w:style>
  <w:style w:type="paragraph" w:styleId="11748" w:customStyle="1">
    <w:name w:val="xl44"/>
    <w:basedOn w:val="10533"/>
    <w:qFormat/>
    <w:pPr>
      <w:pBdr>
        <w:top w:val="single" w:color="bcbcbc" w:sz="4" w:space="0"/>
        <w:left w:val="single" w:color="bcbcbc" w:sz="4" w:space="0"/>
      </w:pBdr>
      <w:shd w:val="clear" w:color="auto" w:fill="ffffff"/>
      <w:spacing w:afterAutospacing="1" w:beforeAutospacing="1" w:line="360" w:lineRule="auto"/>
      <w:ind/>
      <w:jc w:val="center"/>
    </w:pPr>
    <w:rPr>
      <w:sz w:val="16"/>
      <w:szCs w:val="16"/>
      <w:lang w:val="en-US" w:bidi="en-US"/>
    </w:rPr>
  </w:style>
  <w:style w:type="paragraph" w:styleId="11749" w:customStyle="1">
    <w:name w:val="xl45"/>
    <w:basedOn w:val="10533"/>
    <w:qFormat/>
    <w:pPr>
      <w:pBdr>
        <w:top w:val="single" w:color="bcbcbc" w:sz="4" w:space="0"/>
        <w:left w:val="single" w:color="bcbcbc" w:sz="4" w:space="0"/>
        <w:bottom w:val="single" w:color="bcbcbc" w:sz="4" w:space="0"/>
        <w:right w:val="single" w:color="bcbcbc" w:sz="4" w:space="0"/>
      </w:pBdr>
      <w:shd w:val="thinReverseDiagStripe" w:color="eaebee" w:fill="ffffff"/>
      <w:spacing w:afterAutospacing="1" w:beforeAutospacing="1" w:line="360" w:lineRule="auto"/>
      <w:ind/>
      <w:jc w:val="center"/>
    </w:pPr>
    <w:rPr>
      <w:color w:val="000080"/>
      <w:lang w:val="en-US" w:bidi="en-US"/>
    </w:rPr>
  </w:style>
  <w:style w:type="paragraph" w:styleId="11750" w:customStyle="1">
    <w:name w:val="xl46"/>
    <w:basedOn w:val="10533"/>
    <w:qFormat/>
    <w:pPr>
      <w:pBdr/>
      <w:shd w:val="clear" w:color="auto" w:fill="ffffff"/>
      <w:spacing w:afterAutospacing="1" w:beforeAutospacing="1" w:line="360" w:lineRule="auto"/>
      <w:ind/>
      <w:jc w:val="center"/>
    </w:pPr>
    <w:rPr>
      <w:sz w:val="16"/>
      <w:szCs w:val="16"/>
      <w:lang w:val="en-US" w:bidi="en-US"/>
    </w:rPr>
  </w:style>
  <w:style w:type="paragraph" w:styleId="11751" w:customStyle="1">
    <w:name w:val="xl47"/>
    <w:basedOn w:val="10533"/>
    <w:qFormat/>
    <w:pPr>
      <w:pBdr>
        <w:top w:val="single" w:color="bcbcbc" w:sz="4" w:space="0"/>
        <w:left w:val="single" w:color="bcbcbc" w:sz="4" w:space="0"/>
        <w:bottom w:val="single" w:color="bcbcbc" w:sz="4" w:space="0"/>
        <w:right w:val="single" w:color="bcbcbc" w:sz="4" w:space="0"/>
      </w:pBdr>
      <w:spacing w:afterAutospacing="1" w:beforeAutospacing="1" w:line="360" w:lineRule="auto"/>
      <w:ind/>
      <w:jc w:val="center"/>
    </w:pPr>
    <w:rPr>
      <w:sz w:val="16"/>
      <w:szCs w:val="16"/>
      <w:lang w:val="en-US" w:bidi="en-US"/>
    </w:rPr>
  </w:style>
  <w:style w:type="paragraph" w:styleId="11752" w:customStyle="1">
    <w:name w:val="xl48"/>
    <w:basedOn w:val="10533"/>
    <w:qFormat/>
    <w:pPr>
      <w:pBdr>
        <w:left w:val="single" w:color="bcbcbc" w:sz="4" w:space="0"/>
      </w:pBdr>
      <w:shd w:val="clear" w:color="auto" w:fill="ffffff"/>
      <w:spacing w:afterAutospacing="1" w:beforeAutospacing="1" w:line="360" w:lineRule="auto"/>
      <w:ind/>
      <w:jc w:val="center"/>
    </w:pPr>
    <w:rPr>
      <w:sz w:val="16"/>
      <w:szCs w:val="16"/>
      <w:lang w:val="en-US" w:bidi="en-US"/>
    </w:rPr>
  </w:style>
  <w:style w:type="paragraph" w:styleId="11753" w:customStyle="1">
    <w:name w:val="xl49"/>
    <w:basedOn w:val="10533"/>
    <w:qFormat/>
    <w:pPr>
      <w:pBdr>
        <w:left w:val="single" w:color="bcbcbc" w:sz="4" w:space="0"/>
      </w:pBdr>
      <w:shd w:val="clear" w:color="auto" w:fill="bcbcbc"/>
      <w:spacing w:afterAutospacing="1" w:beforeAutospacing="1" w:line="360" w:lineRule="auto"/>
      <w:ind/>
      <w:jc w:val="center"/>
    </w:pPr>
    <w:rPr>
      <w:i/>
      <w:iCs/>
      <w:lang w:val="en-US" w:bidi="en-US"/>
    </w:rPr>
  </w:style>
  <w:style w:type="paragraph" w:styleId="11754" w:customStyle="1">
    <w:name w:val="xl50"/>
    <w:basedOn w:val="10533"/>
    <w:qFormat/>
    <w:pPr>
      <w:pBdr>
        <w:left w:val="single" w:color="bcbcbc" w:sz="4" w:space="0"/>
      </w:pBdr>
      <w:shd w:val="clear" w:color="auto" w:fill="bcbcbc"/>
      <w:spacing w:afterAutospacing="1" w:beforeAutospacing="1" w:line="360" w:lineRule="auto"/>
      <w:ind/>
      <w:jc w:val="center"/>
    </w:pPr>
    <w:rPr>
      <w:color w:val="ffffff"/>
      <w:lang w:val="en-US" w:bidi="en-US"/>
    </w:rPr>
  </w:style>
  <w:style w:type="paragraph" w:styleId="11755" w:customStyle="1">
    <w:name w:val="xl51"/>
    <w:basedOn w:val="10533"/>
    <w:qFormat/>
    <w:pPr>
      <w:pBdr>
        <w:top w:val="single" w:color="bcbcbc" w:sz="4" w:space="0"/>
        <w:left w:val="single" w:color="bcbcbc" w:sz="4" w:space="0"/>
        <w:right w:val="single" w:color="bcbcbc" w:sz="4" w:space="0"/>
      </w:pBdr>
      <w:shd w:val="clear" w:color="auto" w:fill="bcbcbc"/>
      <w:spacing w:afterAutospacing="1" w:beforeAutospacing="1" w:line="360" w:lineRule="auto"/>
      <w:ind/>
      <w:jc w:val="center"/>
    </w:pPr>
    <w:rPr>
      <w:color w:val="bcbcbc"/>
      <w:lang w:val="en-US" w:bidi="en-US"/>
    </w:rPr>
  </w:style>
  <w:style w:type="paragraph" w:styleId="11756" w:customStyle="1">
    <w:name w:val="xl52"/>
    <w:basedOn w:val="10533"/>
    <w:qFormat/>
    <w:pPr>
      <w:pBdr>
        <w:left w:val="single" w:color="bcbcbc" w:sz="4" w:space="0"/>
      </w:pBdr>
      <w:shd w:val="clear" w:color="auto" w:fill="bcbcbc"/>
      <w:spacing w:afterAutospacing="1" w:beforeAutospacing="1" w:line="360" w:lineRule="auto"/>
      <w:ind/>
      <w:jc w:val="center"/>
    </w:pPr>
    <w:rPr>
      <w:lang w:val="en-US" w:bidi="en-US"/>
    </w:rPr>
  </w:style>
  <w:style w:type="paragraph" w:styleId="11757" w:customStyle="1">
    <w:name w:val="xl53"/>
    <w:basedOn w:val="10533"/>
    <w:qFormat/>
    <w:pPr>
      <w:pBdr>
        <w:left w:val="single" w:color="bcbcbc" w:sz="4" w:space="0"/>
      </w:pBdr>
      <w:shd w:val="clear" w:color="auto" w:fill="bcbcbc"/>
      <w:spacing w:afterAutospacing="1" w:beforeAutospacing="1" w:line="360" w:lineRule="auto"/>
      <w:ind/>
    </w:pPr>
    <w:rPr>
      <w:lang w:val="en-US" w:bidi="en-US"/>
    </w:rPr>
  </w:style>
  <w:style w:type="paragraph" w:styleId="11758" w:customStyle="1">
    <w:name w:val="xl54"/>
    <w:basedOn w:val="10533"/>
    <w:qFormat/>
    <w:pPr>
      <w:pBdr/>
      <w:shd w:val="clear" w:color="auto" w:fill="bcbcbc"/>
      <w:spacing w:afterAutospacing="1" w:beforeAutospacing="1" w:line="360" w:lineRule="auto"/>
      <w:ind/>
    </w:pPr>
    <w:rPr>
      <w:lang w:val="en-US" w:bidi="en-US"/>
    </w:rPr>
  </w:style>
  <w:style w:type="paragraph" w:styleId="11759" w:customStyle="1">
    <w:name w:val="xl55"/>
    <w:basedOn w:val="10533"/>
    <w:qFormat/>
    <w:pPr>
      <w:pBdr>
        <w:top w:val="single" w:color="bcbcbc" w:sz="4" w:space="0"/>
        <w:bottom w:val="single" w:color="bcbcbc" w:sz="4" w:space="0"/>
      </w:pBdr>
      <w:shd w:val="clear" w:color="auto" w:fill="ffffff"/>
      <w:spacing w:afterAutospacing="1" w:beforeAutospacing="1" w:line="360" w:lineRule="auto"/>
      <w:ind/>
      <w:jc w:val="center"/>
    </w:pPr>
    <w:rPr>
      <w:color w:val="d9d9d9"/>
      <w:lang w:val="en-US" w:bidi="en-US"/>
    </w:rPr>
  </w:style>
  <w:style w:type="paragraph" w:styleId="11760" w:customStyle="1">
    <w:name w:val="xl56"/>
    <w:basedOn w:val="10533"/>
    <w:qFormat/>
    <w:pPr>
      <w:pBdr>
        <w:top w:val="single" w:color="bcbcbc" w:sz="4" w:space="0"/>
        <w:left w:val="single" w:color="bcbcbc" w:sz="4" w:space="0"/>
        <w:bottom w:val="single" w:color="bcbcbc" w:sz="4" w:space="0"/>
        <w:right w:val="single" w:color="bcbcbc" w:sz="4" w:space="0"/>
      </w:pBdr>
      <w:spacing w:afterAutospacing="1" w:beforeAutospacing="1" w:line="360" w:lineRule="auto"/>
      <w:ind/>
      <w:jc w:val="center"/>
    </w:pPr>
    <w:rPr>
      <w:lang w:val="en-US" w:bidi="en-US"/>
    </w:rPr>
  </w:style>
  <w:style w:type="paragraph" w:styleId="11761" w:customStyle="1">
    <w:name w:val="xl57"/>
    <w:basedOn w:val="10533"/>
    <w:qFormat/>
    <w:pPr>
      <w:pBdr>
        <w:top w:val="single" w:color="bcbcbc" w:sz="4" w:space="0"/>
        <w:left w:val="single" w:color="bcbcbc" w:sz="4" w:space="0"/>
        <w:bottom w:val="single" w:color="bcbcbc" w:sz="4" w:space="0"/>
        <w:right w:val="single" w:color="bcbcbc" w:sz="4" w:space="0"/>
      </w:pBdr>
      <w:shd w:val="clear" w:color="auto" w:fill="bcbcbc"/>
      <w:spacing w:afterAutospacing="1" w:beforeAutospacing="1" w:line="360" w:lineRule="auto"/>
      <w:ind/>
      <w:jc w:val="center"/>
    </w:pPr>
    <w:rPr>
      <w:lang w:val="en-US" w:bidi="en-US"/>
    </w:rPr>
  </w:style>
  <w:style w:type="paragraph" w:styleId="11762" w:customStyle="1">
    <w:name w:val="xl58"/>
    <w:basedOn w:val="10533"/>
    <w:qFormat/>
    <w:pPr>
      <w:pBdr>
        <w:top w:val="single" w:color="bcbcbc" w:sz="4" w:space="0"/>
        <w:left w:val="single" w:color="bcbcbc" w:sz="4" w:space="0"/>
        <w:bottom w:val="single" w:color="bcbcbc" w:sz="4" w:space="0"/>
        <w:right w:val="single" w:color="bcbcbc" w:sz="4" w:space="0"/>
      </w:pBdr>
      <w:shd w:val="thinReverseDiagStripe" w:color="eaebee" w:fill="ffffff"/>
      <w:spacing w:afterAutospacing="1" w:beforeAutospacing="1" w:line="360" w:lineRule="auto"/>
      <w:ind/>
      <w:jc w:val="center"/>
    </w:pPr>
    <w:rPr>
      <w:color w:val="000080"/>
      <w:lang w:val="en-US" w:bidi="en-US"/>
    </w:rPr>
  </w:style>
  <w:style w:type="paragraph" w:styleId="11763" w:customStyle="1">
    <w:name w:val="xl59"/>
    <w:basedOn w:val="10533"/>
    <w:qFormat/>
    <w:pPr>
      <w:pBdr>
        <w:top w:val="single" w:color="bcbcbc" w:sz="4" w:space="0"/>
      </w:pBdr>
      <w:spacing w:afterAutospacing="1" w:beforeAutospacing="1" w:line="360" w:lineRule="auto"/>
      <w:ind/>
      <w:jc w:val="center"/>
    </w:pPr>
    <w:rPr>
      <w:color w:val="ffffff"/>
      <w:lang w:val="en-US" w:bidi="en-US"/>
    </w:rPr>
  </w:style>
  <w:style w:type="paragraph" w:styleId="11764" w:customStyle="1">
    <w:name w:val="xl60"/>
    <w:basedOn w:val="10533"/>
    <w:qFormat/>
    <w:pPr>
      <w:pBdr>
        <w:left w:val="single" w:color="bcbcbc" w:sz="4" w:space="0"/>
        <w:right w:val="single" w:color="bcbcbc" w:sz="4" w:space="0"/>
      </w:pBdr>
      <w:shd w:val="clear" w:color="auto" w:fill="ffffff"/>
      <w:spacing w:afterAutospacing="1" w:beforeAutospacing="1" w:line="360" w:lineRule="auto"/>
      <w:ind/>
      <w:jc w:val="center"/>
    </w:pPr>
    <w:rPr>
      <w:color w:val="ffffff"/>
      <w:lang w:val="en-US" w:bidi="en-US"/>
    </w:rPr>
  </w:style>
  <w:style w:type="paragraph" w:styleId="11765" w:customStyle="1">
    <w:name w:val="xl61"/>
    <w:basedOn w:val="10533"/>
    <w:qFormat/>
    <w:pPr>
      <w:pBdr>
        <w:top w:val="single" w:color="bcbcbc" w:sz="4" w:space="0"/>
        <w:left w:val="single" w:color="bcbcbc" w:sz="4" w:space="0"/>
        <w:bottom w:val="single" w:color="bcbcbc" w:sz="4" w:space="0"/>
        <w:right w:val="single" w:color="bcbcbc" w:sz="4" w:space="0"/>
      </w:pBdr>
      <w:shd w:val="clear" w:color="auto" w:fill="ffffc0"/>
      <w:spacing w:afterAutospacing="1" w:beforeAutospacing="1" w:line="360" w:lineRule="auto"/>
      <w:ind/>
    </w:pPr>
    <w:rPr>
      <w:lang w:val="en-US" w:bidi="en-US"/>
    </w:rPr>
  </w:style>
  <w:style w:type="paragraph" w:styleId="11766" w:customStyle="1">
    <w:name w:val="xl62"/>
    <w:basedOn w:val="10533"/>
    <w:qFormat/>
    <w:pPr>
      <w:pBdr>
        <w:top w:val="single" w:color="bcbcbc" w:sz="4" w:space="0"/>
        <w:left w:val="single" w:color="bcbcbc" w:sz="4" w:space="0"/>
        <w:bottom w:val="single" w:color="bcbcbc" w:sz="4" w:space="0"/>
        <w:right w:val="single" w:color="bcbcbc" w:sz="4" w:space="0"/>
      </w:pBdr>
      <w:shd w:val="clear" w:color="auto" w:fill="d7ead3"/>
      <w:spacing w:afterAutospacing="1" w:beforeAutospacing="1" w:line="360" w:lineRule="auto"/>
      <w:ind/>
    </w:pPr>
    <w:rPr>
      <w:lang w:val="en-US" w:bidi="en-US"/>
    </w:rPr>
  </w:style>
  <w:style w:type="paragraph" w:styleId="11767" w:customStyle="1">
    <w:name w:val="Заголовок №1"/>
    <w:basedOn w:val="10533"/>
    <w:link w:val="10652"/>
    <w:qFormat/>
    <w:pPr>
      <w:pBdr/>
      <w:shd w:val="clear" w:color="auto" w:fill="ffffff"/>
      <w:spacing w:after="300" w:before="0" w:line="307" w:lineRule="exact"/>
      <w:ind/>
      <w:jc w:val="center"/>
      <w:outlineLvl w:val="0"/>
    </w:pPr>
    <w:rPr>
      <w:sz w:val="23"/>
      <w:szCs w:val="23"/>
    </w:rPr>
  </w:style>
  <w:style w:type="paragraph" w:styleId="11768" w:customStyle="1">
    <w:name w:val="Заголовки рисунков / таблиц"/>
    <w:basedOn w:val="10533"/>
    <w:link w:val="10653"/>
    <w:qFormat/>
    <w:pPr>
      <w:pBdr/>
      <w:spacing w:line="360" w:lineRule="auto"/>
      <w:ind/>
      <w:jc w:val="center"/>
    </w:pPr>
    <w:rPr>
      <w:rFonts w:ascii="Arial" w:hAnsi="Arial"/>
      <w:b/>
      <w:color w:val="365f91"/>
      <w:lang w:eastAsia="en-US" w:bidi="en-US"/>
    </w:rPr>
  </w:style>
  <w:style w:type="paragraph" w:styleId="11771" w:customStyle="1">
    <w:name w:val="font7"/>
    <w:basedOn w:val="10533"/>
    <w:qFormat/>
    <w:pPr>
      <w:pBdr/>
      <w:spacing w:afterAutospacing="1" w:beforeAutospacing="1"/>
      <w:ind/>
    </w:pPr>
    <w:rPr>
      <w:color w:val="000000"/>
      <w:sz w:val="20"/>
      <w:szCs w:val="20"/>
    </w:rPr>
  </w:style>
  <w:style w:type="paragraph" w:styleId="11772" w:customStyle="1">
    <w:name w:val="font8"/>
    <w:basedOn w:val="10533"/>
    <w:qFormat/>
    <w:pPr>
      <w:pBdr/>
      <w:spacing w:afterAutospacing="1" w:beforeAutospacing="1"/>
      <w:ind/>
    </w:pPr>
    <w:rPr>
      <w:rFonts w:ascii="Calibri" w:hAnsi="Calibri" w:cs="Calibri"/>
      <w:color w:val="000000"/>
      <w:sz w:val="20"/>
      <w:szCs w:val="20"/>
    </w:rPr>
  </w:style>
  <w:style w:type="paragraph" w:styleId="11773" w:customStyle="1">
    <w:name w:val="font9"/>
    <w:basedOn w:val="10533"/>
    <w:qFormat/>
    <w:pPr>
      <w:pBdr/>
      <w:spacing w:afterAutospacing="1" w:beforeAutospacing="1"/>
      <w:ind/>
    </w:pPr>
    <w:rPr>
      <w:sz w:val="20"/>
      <w:szCs w:val="20"/>
    </w:rPr>
  </w:style>
  <w:style w:type="paragraph" w:styleId="11774" w:customStyle="1">
    <w:name w:val="font10"/>
    <w:basedOn w:val="10533"/>
    <w:qFormat/>
    <w:pPr>
      <w:pBdr/>
      <w:spacing w:afterAutospacing="1" w:beforeAutospacing="1"/>
      <w:ind/>
    </w:pPr>
    <w:rPr>
      <w:rFonts w:ascii="Calibri" w:hAnsi="Calibri" w:cs="Calibri"/>
      <w:sz w:val="20"/>
      <w:szCs w:val="20"/>
    </w:rPr>
  </w:style>
  <w:style w:type="paragraph" w:styleId="11775" w:customStyle="1">
    <w:name w:val="font11"/>
    <w:basedOn w:val="10533"/>
    <w:qFormat/>
    <w:pPr>
      <w:pBdr/>
      <w:spacing w:afterAutospacing="1" w:beforeAutospacing="1"/>
      <w:ind/>
    </w:pPr>
    <w:rPr>
      <w:rFonts w:ascii="Tahoma" w:hAnsi="Tahoma" w:cs="Tahoma"/>
      <w:color w:val="000000"/>
      <w:sz w:val="18"/>
      <w:szCs w:val="18"/>
    </w:rPr>
  </w:style>
  <w:style w:type="paragraph" w:styleId="11776" w:customStyle="1">
    <w:name w:val="font12"/>
    <w:basedOn w:val="10533"/>
    <w:qFormat/>
    <w:pPr>
      <w:pBdr/>
      <w:spacing w:afterAutospacing="1" w:beforeAutospacing="1"/>
      <w:ind/>
    </w:pPr>
    <w:rPr>
      <w:rFonts w:ascii="Tahoma" w:hAnsi="Tahoma" w:cs="Tahoma"/>
      <w:b/>
      <w:bCs/>
      <w:color w:val="000000"/>
      <w:sz w:val="18"/>
      <w:szCs w:val="18"/>
    </w:rPr>
  </w:style>
  <w:style w:type="paragraph" w:styleId="11777" w:customStyle="1">
    <w:name w:val="font13"/>
    <w:basedOn w:val="10533"/>
    <w:qFormat/>
    <w:pPr>
      <w:pBdr/>
      <w:spacing w:afterAutospacing="1" w:beforeAutospacing="1"/>
      <w:ind/>
    </w:pPr>
    <w:rPr>
      <w:rFonts w:ascii="Tahoma" w:hAnsi="Tahoma" w:cs="Tahoma"/>
      <w:color w:val="000000"/>
      <w:sz w:val="16"/>
      <w:szCs w:val="16"/>
    </w:rPr>
  </w:style>
  <w:style w:type="paragraph" w:styleId="11778" w:customStyle="1">
    <w:name w:val="font14"/>
    <w:basedOn w:val="10533"/>
    <w:qFormat/>
    <w:pPr>
      <w:pBdr/>
      <w:spacing w:afterAutospacing="1" w:beforeAutospacing="1"/>
      <w:ind/>
    </w:pPr>
    <w:rPr>
      <w:rFonts w:ascii="Tahoma" w:hAnsi="Tahoma" w:cs="Tahoma"/>
      <w:b/>
      <w:bCs/>
      <w:color w:val="000000"/>
      <w:sz w:val="16"/>
      <w:szCs w:val="16"/>
    </w:rPr>
  </w:style>
  <w:style w:type="paragraph" w:styleId="11779" w:customStyle="1">
    <w:name w:val="font15"/>
    <w:basedOn w:val="10533"/>
    <w:qFormat/>
    <w:pPr>
      <w:pBdr/>
      <w:spacing w:afterAutospacing="1" w:beforeAutospacing="1"/>
      <w:ind/>
    </w:pPr>
    <w:rPr>
      <w:rFonts w:ascii="Tahoma" w:hAnsi="Tahoma" w:cs="Tahoma"/>
      <w:color w:val="000000"/>
      <w:sz w:val="16"/>
      <w:szCs w:val="16"/>
    </w:rPr>
  </w:style>
  <w:style w:type="paragraph" w:styleId="11780" w:customStyle="1">
    <w:name w:val="font16"/>
    <w:basedOn w:val="10533"/>
    <w:qFormat/>
    <w:pPr>
      <w:pBdr/>
      <w:spacing w:afterAutospacing="1" w:beforeAutospacing="1"/>
      <w:ind/>
    </w:pPr>
    <w:rPr>
      <w:rFonts w:ascii="Tahoma" w:hAnsi="Tahoma" w:cs="Tahoma"/>
      <w:b/>
      <w:bCs/>
      <w:color w:val="000000"/>
      <w:sz w:val="16"/>
      <w:szCs w:val="16"/>
    </w:rPr>
  </w:style>
  <w:style w:type="paragraph" w:styleId="11781" w:customStyle="1">
    <w:name w:val="xl47855"/>
    <w:basedOn w:val="10533"/>
    <w:qFormat/>
    <w:pPr>
      <w:pBdr/>
      <w:spacing w:afterAutospacing="1" w:beforeAutospacing="1"/>
      <w:ind/>
      <w:jc w:val="center"/>
    </w:pPr>
    <w:rPr>
      <w:sz w:val="20"/>
      <w:szCs w:val="20"/>
    </w:rPr>
  </w:style>
  <w:style w:type="paragraph" w:styleId="11782" w:customStyle="1">
    <w:name w:val="xl47856"/>
    <w:basedOn w:val="10533"/>
    <w:qFormat/>
    <w:pPr>
      <w:pBdr/>
      <w:spacing w:afterAutospacing="1" w:beforeAutospacing="1"/>
      <w:ind/>
    </w:pPr>
    <w:rPr>
      <w:sz w:val="20"/>
      <w:szCs w:val="20"/>
    </w:rPr>
  </w:style>
  <w:style w:type="paragraph" w:styleId="11783" w:customStyle="1">
    <w:name w:val="xl47883"/>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784" w:customStyle="1">
    <w:name w:val="xl47884"/>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785" w:customStyle="1">
    <w:name w:val="xl4788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786" w:customStyle="1">
    <w:name w:val="xl47886"/>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787" w:customStyle="1">
    <w:name w:val="xl4788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788" w:customStyle="1">
    <w:name w:val="xl4788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1789" w:customStyle="1">
    <w:name w:val="xl47889"/>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790" w:customStyle="1">
    <w:name w:val="xl4789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791" w:customStyle="1">
    <w:name w:val="xl47891"/>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792" w:customStyle="1">
    <w:name w:val="xl47892"/>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793" w:customStyle="1">
    <w:name w:val="xl47893"/>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794" w:customStyle="1">
    <w:name w:val="xl47894"/>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795" w:customStyle="1">
    <w:name w:val="xl47895"/>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1796" w:customStyle="1">
    <w:name w:val="xl47896"/>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797" w:customStyle="1">
    <w:name w:val="xl47897"/>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798" w:customStyle="1">
    <w:name w:val="xl4789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799" w:customStyle="1">
    <w:name w:val="xl4789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00" w:customStyle="1">
    <w:name w:val="xl47900"/>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01" w:customStyle="1">
    <w:name w:val="xl47901"/>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02" w:customStyle="1">
    <w:name w:val="xl47902"/>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03" w:customStyle="1">
    <w:name w:val="xl47903"/>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04" w:customStyle="1">
    <w:name w:val="xl47904"/>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color w:val="000000"/>
      <w:sz w:val="20"/>
      <w:szCs w:val="20"/>
    </w:rPr>
  </w:style>
  <w:style w:type="paragraph" w:styleId="11805" w:customStyle="1">
    <w:name w:val="xl4790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color w:val="000000"/>
      <w:sz w:val="20"/>
      <w:szCs w:val="20"/>
    </w:rPr>
  </w:style>
  <w:style w:type="paragraph" w:styleId="11806" w:customStyle="1">
    <w:name w:val="xl47906"/>
    <w:basedOn w:val="10533"/>
    <w:qFormat/>
    <w:pPr>
      <w:pBdr>
        <w:top w:val="single" w:color="000000" w:sz="8" w:space="0"/>
        <w:left w:val="single" w:color="000000" w:sz="8" w:space="0"/>
      </w:pBdr>
      <w:shd w:val="clear" w:color="000000" w:fill="ffffff"/>
      <w:spacing w:afterAutospacing="1" w:beforeAutospacing="1"/>
      <w:ind/>
      <w:jc w:val="center"/>
    </w:pPr>
    <w:rPr>
      <w:color w:val="000000"/>
      <w:sz w:val="20"/>
      <w:szCs w:val="20"/>
    </w:rPr>
  </w:style>
  <w:style w:type="paragraph" w:styleId="11807" w:customStyle="1">
    <w:name w:val="xl47907"/>
    <w:basedOn w:val="10533"/>
    <w:qFormat/>
    <w:pPr>
      <w:pBdr>
        <w:top w:val="single" w:color="000000" w:sz="8" w:space="0"/>
        <w:left w:val="single" w:color="000000" w:sz="8" w:space="0"/>
      </w:pBdr>
      <w:shd w:val="clear" w:color="000000" w:fill="ffffff"/>
      <w:spacing w:afterAutospacing="1" w:beforeAutospacing="1"/>
      <w:ind/>
    </w:pPr>
    <w:rPr>
      <w:color w:val="000000"/>
      <w:sz w:val="20"/>
      <w:szCs w:val="20"/>
    </w:rPr>
  </w:style>
  <w:style w:type="paragraph" w:styleId="11808" w:customStyle="1">
    <w:name w:val="xl4790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09" w:customStyle="1">
    <w:name w:val="xl47909"/>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10" w:customStyle="1">
    <w:name w:val="xl4791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11" w:customStyle="1">
    <w:name w:val="xl47911"/>
    <w:basedOn w:val="10533"/>
    <w:qFormat/>
    <w:pPr>
      <w:pBdr>
        <w:top w:val="single" w:color="000000" w:sz="4" w:space="0"/>
        <w:left w:val="single" w:color="000000" w:sz="4" w:space="0"/>
        <w:bottom w:val="single" w:color="000000" w:sz="4" w:space="0"/>
      </w:pBdr>
      <w:shd w:val="clear" w:color="000000" w:fill="538dd5"/>
      <w:spacing w:afterAutospacing="1" w:beforeAutospacing="1"/>
      <w:ind/>
      <w:jc w:val="center"/>
    </w:pPr>
    <w:rPr>
      <w:b/>
      <w:bCs/>
      <w:sz w:val="20"/>
      <w:szCs w:val="20"/>
    </w:rPr>
  </w:style>
  <w:style w:type="paragraph" w:styleId="11812" w:customStyle="1">
    <w:name w:val="xl47912"/>
    <w:basedOn w:val="10533"/>
    <w:qFormat/>
    <w:pPr>
      <w:pBdr>
        <w:top w:val="single" w:color="000000" w:sz="4" w:space="0"/>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813" w:customStyle="1">
    <w:name w:val="xl47913"/>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814" w:customStyle="1">
    <w:name w:val="xl4791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815" w:customStyle="1">
    <w:name w:val="xl4791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16" w:customStyle="1">
    <w:name w:val="xl47916"/>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17" w:customStyle="1">
    <w:name w:val="xl47917"/>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18" w:customStyle="1">
    <w:name w:val="xl47918"/>
    <w:basedOn w:val="10533"/>
    <w:qFormat/>
    <w:pPr>
      <w:pBdr/>
      <w:shd w:val="clear" w:color="000000" w:fill="ffff00"/>
      <w:spacing w:afterAutospacing="1" w:beforeAutospacing="1"/>
      <w:ind/>
      <w:jc w:val="center"/>
    </w:pPr>
    <w:rPr>
      <w:sz w:val="20"/>
      <w:szCs w:val="20"/>
    </w:rPr>
  </w:style>
  <w:style w:type="paragraph" w:styleId="11819" w:customStyle="1">
    <w:name w:val="xl47919"/>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color w:val="000000"/>
      <w:sz w:val="20"/>
      <w:szCs w:val="20"/>
    </w:rPr>
  </w:style>
  <w:style w:type="paragraph" w:styleId="11820" w:customStyle="1">
    <w:name w:val="xl47920"/>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21" w:customStyle="1">
    <w:name w:val="xl47921"/>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pPr>
    <w:rPr>
      <w:sz w:val="20"/>
      <w:szCs w:val="20"/>
    </w:rPr>
  </w:style>
  <w:style w:type="paragraph" w:styleId="11822" w:customStyle="1">
    <w:name w:val="xl47922"/>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b/>
      <w:bCs/>
      <w:sz w:val="20"/>
      <w:szCs w:val="20"/>
    </w:rPr>
  </w:style>
  <w:style w:type="paragraph" w:styleId="11823" w:customStyle="1">
    <w:name w:val="xl47923"/>
    <w:basedOn w:val="10533"/>
    <w:qFormat/>
    <w:pPr>
      <w:pBdr/>
      <w:shd w:val="clear" w:color="000000" w:fill="ffff00"/>
      <w:spacing w:afterAutospacing="1" w:beforeAutospacing="1"/>
      <w:ind/>
    </w:pPr>
    <w:rPr>
      <w:rFonts w:ascii="Tahoma" w:hAnsi="Tahoma" w:cs="Tahoma"/>
      <w:color w:val="000000"/>
      <w:sz w:val="16"/>
      <w:szCs w:val="16"/>
    </w:rPr>
  </w:style>
  <w:style w:type="paragraph" w:styleId="11824" w:customStyle="1">
    <w:name w:val="xl47924"/>
    <w:basedOn w:val="10533"/>
    <w:qFormat/>
    <w:pPr>
      <w:pBdr/>
      <w:shd w:val="clear" w:color="000000" w:fill="ffff00"/>
      <w:spacing w:afterAutospacing="1" w:beforeAutospacing="1"/>
      <w:ind/>
    </w:pPr>
  </w:style>
  <w:style w:type="paragraph" w:styleId="11825" w:customStyle="1">
    <w:name w:val="xl4792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sz w:val="20"/>
      <w:szCs w:val="20"/>
    </w:rPr>
  </w:style>
  <w:style w:type="paragraph" w:styleId="11826" w:customStyle="1">
    <w:name w:val="xl4792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sz w:val="20"/>
      <w:szCs w:val="20"/>
    </w:rPr>
  </w:style>
  <w:style w:type="paragraph" w:styleId="11827" w:customStyle="1">
    <w:name w:val="xl4792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828" w:customStyle="1">
    <w:name w:val="xl47928"/>
    <w:basedOn w:val="10533"/>
    <w:qFormat/>
    <w:pPr>
      <w:pBdr>
        <w:top w:val="single" w:color="000000" w:sz="4" w:space="0"/>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829" w:customStyle="1">
    <w:name w:val="xl4792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30" w:customStyle="1">
    <w:name w:val="xl47930"/>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sz w:val="20"/>
      <w:szCs w:val="20"/>
    </w:rPr>
  </w:style>
  <w:style w:type="paragraph" w:styleId="11831" w:customStyle="1">
    <w:name w:val="xl47931"/>
    <w:basedOn w:val="10533"/>
    <w:qFormat/>
    <w:pPr>
      <w:pBdr>
        <w:top w:val="single" w:color="000000" w:sz="4" w:space="0"/>
        <w:left w:val="single" w:color="000000" w:sz="4" w:space="0"/>
        <w:right w:val="single" w:color="000000" w:sz="4" w:space="0"/>
      </w:pBdr>
      <w:shd w:val="clear" w:color="000000" w:fill="ffffff"/>
      <w:spacing w:afterAutospacing="1" w:beforeAutospacing="1"/>
      <w:ind/>
    </w:pPr>
    <w:rPr>
      <w:sz w:val="20"/>
      <w:szCs w:val="20"/>
    </w:rPr>
  </w:style>
  <w:style w:type="paragraph" w:styleId="11832" w:customStyle="1">
    <w:name w:val="xl47932"/>
    <w:basedOn w:val="10533"/>
    <w:qFormat/>
    <w:pPr>
      <w:pBdr>
        <w:top w:val="single" w:color="000000" w:sz="4" w:space="0"/>
        <w:left w:val="single" w:color="000000" w:sz="4" w:space="0"/>
        <w:right w:val="single" w:color="000000" w:sz="4" w:space="0"/>
      </w:pBdr>
      <w:shd w:val="clear" w:color="000000" w:fill="ffff00"/>
      <w:spacing w:afterAutospacing="1" w:beforeAutospacing="1"/>
      <w:ind/>
      <w:jc w:val="center"/>
    </w:pPr>
    <w:rPr>
      <w:color w:val="000000"/>
      <w:sz w:val="20"/>
      <w:szCs w:val="20"/>
    </w:rPr>
  </w:style>
  <w:style w:type="paragraph" w:styleId="11833" w:customStyle="1">
    <w:name w:val="xl47933"/>
    <w:basedOn w:val="10533"/>
    <w:qFormat/>
    <w:pPr>
      <w:pBdr>
        <w:top w:val="single" w:color="000000" w:sz="4" w:space="0"/>
        <w:left w:val="single" w:color="000000" w:sz="4" w:space="0"/>
        <w:right w:val="single" w:color="000000" w:sz="4" w:space="0"/>
      </w:pBdr>
      <w:shd w:val="clear" w:color="000000" w:fill="ffff00"/>
      <w:spacing w:afterAutospacing="1" w:beforeAutospacing="1"/>
      <w:ind/>
      <w:jc w:val="center"/>
    </w:pPr>
    <w:rPr>
      <w:color w:val="000000"/>
      <w:sz w:val="20"/>
      <w:szCs w:val="20"/>
    </w:rPr>
  </w:style>
  <w:style w:type="paragraph" w:styleId="11834" w:customStyle="1">
    <w:name w:val="xl47934"/>
    <w:basedOn w:val="10533"/>
    <w:qFormat/>
    <w:pPr>
      <w:pBdr>
        <w:left w:val="single" w:color="000000" w:sz="4" w:space="0"/>
        <w:bottom w:val="single" w:color="000000" w:sz="4" w:space="0"/>
        <w:right w:val="single" w:color="000000" w:sz="4" w:space="0"/>
      </w:pBdr>
      <w:shd w:val="clear" w:color="000000" w:fill="ffff00"/>
      <w:spacing w:afterAutospacing="1" w:beforeAutospacing="1"/>
      <w:ind/>
      <w:jc w:val="center"/>
    </w:pPr>
    <w:rPr>
      <w:color w:val="000000"/>
      <w:sz w:val="20"/>
      <w:szCs w:val="20"/>
    </w:rPr>
  </w:style>
  <w:style w:type="paragraph" w:styleId="11835" w:customStyle="1">
    <w:name w:val="xl47935"/>
    <w:basedOn w:val="10533"/>
    <w:qFormat/>
    <w:pPr>
      <w:pBdr>
        <w:left w:val="single" w:color="000000" w:sz="4" w:space="0"/>
        <w:bottom w:val="single" w:color="000000" w:sz="4" w:space="0"/>
        <w:right w:val="single" w:color="000000" w:sz="4" w:space="0"/>
      </w:pBdr>
      <w:shd w:val="clear" w:color="000000" w:fill="ffff00"/>
      <w:spacing w:afterAutospacing="1" w:beforeAutospacing="1"/>
      <w:ind/>
      <w:jc w:val="center"/>
    </w:pPr>
    <w:rPr>
      <w:color w:val="000000"/>
      <w:sz w:val="20"/>
      <w:szCs w:val="20"/>
    </w:rPr>
  </w:style>
  <w:style w:type="paragraph" w:styleId="11836" w:customStyle="1">
    <w:name w:val="xl47936"/>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37" w:customStyle="1">
    <w:name w:val="xl47937"/>
    <w:basedOn w:val="10533"/>
    <w:qFormat/>
    <w:pPr>
      <w:pBdr>
        <w:left w:val="single" w:color="000000" w:sz="4" w:space="0"/>
        <w:right w:val="single" w:color="000000" w:sz="4" w:space="0"/>
      </w:pBdr>
      <w:shd w:val="clear" w:color="000000" w:fill="ffffff"/>
      <w:spacing w:afterAutospacing="1" w:beforeAutospacing="1"/>
      <w:ind/>
      <w:jc w:val="center"/>
    </w:pPr>
    <w:rPr>
      <w:sz w:val="20"/>
      <w:szCs w:val="20"/>
    </w:rPr>
  </w:style>
  <w:style w:type="paragraph" w:styleId="11838" w:customStyle="1">
    <w:name w:val="xl47938"/>
    <w:basedOn w:val="10533"/>
    <w:qFormat/>
    <w:pPr>
      <w:pBdr/>
      <w:shd w:val="clear" w:color="000000" w:fill="ffffff"/>
      <w:spacing w:afterAutospacing="1" w:beforeAutospacing="1"/>
      <w:ind/>
      <w:jc w:val="center"/>
    </w:pPr>
    <w:rPr>
      <w:sz w:val="20"/>
      <w:szCs w:val="20"/>
    </w:rPr>
  </w:style>
  <w:style w:type="paragraph" w:styleId="11839" w:customStyle="1">
    <w:name w:val="xl47939"/>
    <w:basedOn w:val="10533"/>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sz w:val="20"/>
      <w:szCs w:val="20"/>
    </w:rPr>
  </w:style>
  <w:style w:type="paragraph" w:styleId="11840" w:customStyle="1">
    <w:name w:val="xl47940"/>
    <w:basedOn w:val="10533"/>
    <w:qFormat/>
    <w:pPr>
      <w:pBdr/>
      <w:spacing w:afterAutospacing="1" w:beforeAutospacing="1"/>
      <w:ind/>
    </w:pPr>
    <w:rPr>
      <w:color w:val="000000"/>
    </w:rPr>
  </w:style>
  <w:style w:type="paragraph" w:styleId="11841" w:customStyle="1">
    <w:name w:val="xl47941"/>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42" w:customStyle="1">
    <w:name w:val="xl47942"/>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sz w:val="20"/>
      <w:szCs w:val="20"/>
    </w:rPr>
  </w:style>
  <w:style w:type="paragraph" w:styleId="11843" w:customStyle="1">
    <w:name w:val="xl47943"/>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44" w:customStyle="1">
    <w:name w:val="xl47944"/>
    <w:basedOn w:val="10533"/>
    <w:qFormat/>
    <w:pPr>
      <w:pBdr/>
      <w:shd w:val="clear" w:color="000000" w:fill="ffffff"/>
      <w:spacing w:afterAutospacing="1" w:beforeAutospacing="1"/>
      <w:ind/>
    </w:pPr>
    <w:rPr>
      <w:color w:val="000000"/>
    </w:rPr>
  </w:style>
  <w:style w:type="paragraph" w:styleId="11845" w:customStyle="1">
    <w:name w:val="xl47945"/>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846" w:customStyle="1">
    <w:name w:val="xl4794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847" w:customStyle="1">
    <w:name w:val="xl4794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48" w:customStyle="1">
    <w:name w:val="xl47948"/>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849" w:customStyle="1">
    <w:name w:val="xl4794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1850" w:customStyle="1">
    <w:name w:val="xl47950"/>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sz w:val="20"/>
      <w:szCs w:val="20"/>
    </w:rPr>
  </w:style>
  <w:style w:type="paragraph" w:styleId="11851" w:customStyle="1">
    <w:name w:val="xl47951"/>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1852" w:customStyle="1">
    <w:name w:val="xl47952"/>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1853" w:customStyle="1">
    <w:name w:val="xl47953"/>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54" w:customStyle="1">
    <w:name w:val="xl47954"/>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55" w:customStyle="1">
    <w:name w:val="xl47955"/>
    <w:basedOn w:val="10533"/>
    <w:qFormat/>
    <w:pPr>
      <w:pBdr>
        <w:top w:val="single" w:color="000000" w:sz="4" w:space="0"/>
        <w:right w:val="single" w:color="000000" w:sz="4" w:space="0"/>
      </w:pBdr>
      <w:shd w:val="clear" w:color="000000" w:fill="ffffff"/>
      <w:spacing w:afterAutospacing="1" w:beforeAutospacing="1"/>
      <w:ind/>
      <w:jc w:val="center"/>
    </w:pPr>
    <w:rPr>
      <w:sz w:val="20"/>
      <w:szCs w:val="20"/>
    </w:rPr>
  </w:style>
  <w:style w:type="paragraph" w:styleId="11856" w:customStyle="1">
    <w:name w:val="xl4795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sz w:val="20"/>
      <w:szCs w:val="20"/>
    </w:rPr>
  </w:style>
  <w:style w:type="paragraph" w:styleId="11857" w:customStyle="1">
    <w:name w:val="xl47957"/>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858" w:customStyle="1">
    <w:name w:val="xl47958"/>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859" w:customStyle="1">
    <w:name w:val="xl47959"/>
    <w:basedOn w:val="10533"/>
    <w:qFormat/>
    <w:pPr>
      <w:pBdr>
        <w:top w:val="single" w:color="000000" w:sz="4" w:space="0"/>
        <w:left w:val="single" w:color="000000" w:sz="4" w:space="0"/>
        <w:bottom w:val="single" w:color="000000" w:sz="4" w:space="0"/>
      </w:pBdr>
      <w:shd w:val="clear" w:color="000000" w:fill="538dd5"/>
      <w:spacing w:afterAutospacing="1" w:beforeAutospacing="1"/>
      <w:ind/>
      <w:jc w:val="center"/>
    </w:pPr>
    <w:rPr>
      <w:b/>
      <w:bCs/>
      <w:sz w:val="20"/>
      <w:szCs w:val="20"/>
    </w:rPr>
  </w:style>
  <w:style w:type="paragraph" w:styleId="11860" w:customStyle="1">
    <w:name w:val="xl47960"/>
    <w:basedOn w:val="10533"/>
    <w:qFormat/>
    <w:pPr>
      <w:pBdr>
        <w:top w:val="single" w:color="000000" w:sz="4" w:space="0"/>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861" w:customStyle="1">
    <w:name w:val="xl47961"/>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1862" w:customStyle="1">
    <w:name w:val="xl47962"/>
    <w:basedOn w:val="10533"/>
    <w:qFormat/>
    <w:pPr>
      <w:pBdr>
        <w:top w:val="single" w:color="000000" w:sz="4" w:space="0"/>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863" w:customStyle="1">
    <w:name w:val="xl47963"/>
    <w:basedOn w:val="10533"/>
    <w:qFormat/>
    <w:pPr>
      <w:pBdr>
        <w:top w:val="single" w:color="000000" w:sz="4" w:space="0"/>
        <w:left w:val="single" w:color="000000" w:sz="4" w:space="0"/>
        <w:bottom w:val="single" w:color="000000" w:sz="4" w:space="0"/>
      </w:pBdr>
      <w:shd w:val="clear" w:color="000000" w:fill="538dd5"/>
      <w:spacing w:afterAutospacing="1" w:beforeAutospacing="1"/>
      <w:ind/>
      <w:jc w:val="center"/>
    </w:pPr>
    <w:rPr>
      <w:b/>
      <w:bCs/>
      <w:sz w:val="20"/>
      <w:szCs w:val="20"/>
    </w:rPr>
  </w:style>
  <w:style w:type="paragraph" w:styleId="11864" w:customStyle="1">
    <w:name w:val="xl47964"/>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pPr>
    <w:rPr>
      <w:sz w:val="20"/>
      <w:szCs w:val="20"/>
    </w:rPr>
  </w:style>
  <w:style w:type="paragraph" w:styleId="11865" w:customStyle="1">
    <w:name w:val="xl4796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66" w:customStyle="1">
    <w:name w:val="xl4796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67" w:customStyle="1">
    <w:name w:val="xl47967"/>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68" w:customStyle="1">
    <w:name w:val="xl47968"/>
    <w:basedOn w:val="10533"/>
    <w:qFormat/>
    <w:pPr>
      <w:pBdr/>
      <w:shd w:val="clear" w:color="000000" w:fill="ffff00"/>
      <w:spacing w:afterAutospacing="1" w:beforeAutospacing="1"/>
      <w:ind/>
    </w:pPr>
    <w:rPr>
      <w:color w:val="000000"/>
    </w:rPr>
  </w:style>
  <w:style w:type="paragraph" w:styleId="11869" w:customStyle="1">
    <w:name w:val="xl47969"/>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sz w:val="20"/>
      <w:szCs w:val="20"/>
    </w:rPr>
  </w:style>
  <w:style w:type="paragraph" w:styleId="11870" w:customStyle="1">
    <w:name w:val="xl47970"/>
    <w:basedOn w:val="10533"/>
    <w:qFormat/>
    <w:pPr>
      <w:pBdr/>
      <w:shd w:val="clear" w:color="000000" w:fill="ffff00"/>
      <w:spacing w:afterAutospacing="1" w:beforeAutospacing="1"/>
      <w:ind/>
      <w:jc w:val="center"/>
    </w:pPr>
    <w:rPr>
      <w:sz w:val="20"/>
      <w:szCs w:val="20"/>
    </w:rPr>
  </w:style>
  <w:style w:type="paragraph" w:styleId="11871" w:customStyle="1">
    <w:name w:val="xl4797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72" w:customStyle="1">
    <w:name w:val="xl47972"/>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73" w:customStyle="1">
    <w:name w:val="xl47973"/>
    <w:basedOn w:val="10533"/>
    <w:qFormat/>
    <w:pPr>
      <w:pBdr>
        <w:top w:val="single" w:color="000000" w:sz="8" w:space="0"/>
        <w:bottom w:val="single" w:color="000000" w:sz="8" w:space="0"/>
        <w:right w:val="single" w:color="000000" w:sz="8" w:space="0"/>
      </w:pBdr>
      <w:spacing w:afterAutospacing="1" w:beforeAutospacing="1"/>
      <w:ind/>
      <w:jc w:val="center"/>
    </w:pPr>
    <w:rPr>
      <w:sz w:val="20"/>
      <w:szCs w:val="20"/>
    </w:rPr>
  </w:style>
  <w:style w:type="paragraph" w:styleId="11874" w:customStyle="1">
    <w:name w:val="xl4797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75" w:customStyle="1">
    <w:name w:val="xl47975"/>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76" w:customStyle="1">
    <w:name w:val="xl47976"/>
    <w:basedOn w:val="10533"/>
    <w:qFormat/>
    <w:pPr>
      <w:pBdr>
        <w:top w:val="single" w:color="000000" w:sz="4" w:space="0"/>
        <w:left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877" w:customStyle="1">
    <w:name w:val="xl47977"/>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style>
  <w:style w:type="paragraph" w:styleId="11878" w:customStyle="1">
    <w:name w:val="xl47978"/>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79" w:customStyle="1">
    <w:name w:val="xl4797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80" w:customStyle="1">
    <w:name w:val="xl4798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81" w:customStyle="1">
    <w:name w:val="xl4798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color w:val="000000"/>
      <w:sz w:val="20"/>
      <w:szCs w:val="20"/>
    </w:rPr>
  </w:style>
  <w:style w:type="paragraph" w:styleId="11882" w:customStyle="1">
    <w:name w:val="xl47982"/>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83" w:customStyle="1">
    <w:name w:val="xl47983"/>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884" w:customStyle="1">
    <w:name w:val="xl4798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85" w:customStyle="1">
    <w:name w:val="xl4798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886" w:customStyle="1">
    <w:name w:val="xl47986"/>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887" w:customStyle="1">
    <w:name w:val="xl4798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rFonts w:ascii="Arial" w:hAnsi="Arial" w:cs="Arial"/>
      <w:color w:val="000000"/>
      <w:sz w:val="20"/>
      <w:szCs w:val="20"/>
    </w:rPr>
  </w:style>
  <w:style w:type="paragraph" w:styleId="11888" w:customStyle="1">
    <w:name w:val="xl4798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889" w:customStyle="1">
    <w:name w:val="xl4798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sz w:val="20"/>
      <w:szCs w:val="20"/>
    </w:rPr>
  </w:style>
  <w:style w:type="paragraph" w:styleId="11890" w:customStyle="1">
    <w:name w:val="xl47990"/>
    <w:basedOn w:val="10533"/>
    <w:qFormat/>
    <w:pPr>
      <w:pBdr/>
      <w:spacing w:afterAutospacing="1" w:beforeAutospacing="1"/>
      <w:ind/>
    </w:pPr>
    <w:rPr>
      <w:color w:val="000000"/>
      <w:sz w:val="20"/>
      <w:szCs w:val="20"/>
    </w:rPr>
  </w:style>
  <w:style w:type="paragraph" w:styleId="11891" w:customStyle="1">
    <w:name w:val="xl47991"/>
    <w:basedOn w:val="10533"/>
    <w:qFormat/>
    <w:pPr>
      <w:pBdr/>
      <w:shd w:val="clear" w:color="000000" w:fill="ffffff"/>
      <w:spacing w:afterAutospacing="1" w:beforeAutospacing="1"/>
      <w:ind/>
    </w:pPr>
    <w:rPr>
      <w:color w:val="000000"/>
      <w:sz w:val="20"/>
      <w:szCs w:val="20"/>
    </w:rPr>
  </w:style>
  <w:style w:type="paragraph" w:styleId="11892" w:customStyle="1">
    <w:name w:val="xl47992"/>
    <w:basedOn w:val="10533"/>
    <w:qFormat/>
    <w:pPr>
      <w:pBdr/>
      <w:spacing w:afterAutospacing="1" w:beforeAutospacing="1"/>
      <w:ind/>
      <w:jc w:val="center"/>
    </w:pPr>
    <w:rPr>
      <w:sz w:val="20"/>
      <w:szCs w:val="20"/>
    </w:rPr>
  </w:style>
  <w:style w:type="paragraph" w:styleId="11893" w:customStyle="1">
    <w:name w:val="xl47993"/>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894" w:customStyle="1">
    <w:name w:val="xl47994"/>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895" w:customStyle="1">
    <w:name w:val="xl4799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96" w:customStyle="1">
    <w:name w:val="xl47996"/>
    <w:basedOn w:val="10533"/>
    <w:qFormat/>
    <w:pPr>
      <w:pBdr>
        <w:top w:val="single" w:color="000000" w:sz="4" w:space="0"/>
        <w:left w:val="single" w:color="000000" w:sz="4" w:space="0"/>
        <w:right w:val="single" w:color="000000" w:sz="4" w:space="0"/>
      </w:pBdr>
      <w:shd w:val="clear" w:color="000000" w:fill="ffff00"/>
      <w:spacing w:afterAutospacing="1" w:beforeAutospacing="1"/>
      <w:ind/>
      <w:jc w:val="center"/>
    </w:pPr>
    <w:rPr>
      <w:sz w:val="20"/>
      <w:szCs w:val="20"/>
    </w:rPr>
  </w:style>
  <w:style w:type="paragraph" w:styleId="11897" w:customStyle="1">
    <w:name w:val="xl47997"/>
    <w:basedOn w:val="10533"/>
    <w:qFormat/>
    <w:pPr>
      <w:pBdr>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898" w:customStyle="1">
    <w:name w:val="xl47998"/>
    <w:basedOn w:val="10533"/>
    <w:qFormat/>
    <w:pPr>
      <w:pBdr/>
      <w:spacing w:afterAutospacing="1" w:beforeAutospacing="1"/>
      <w:ind/>
    </w:pPr>
    <w:rPr>
      <w:color w:val="000000"/>
    </w:rPr>
  </w:style>
  <w:style w:type="paragraph" w:styleId="11899" w:customStyle="1">
    <w:name w:val="xl47999"/>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900" w:customStyle="1">
    <w:name w:val="xl4800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01" w:customStyle="1">
    <w:name w:val="xl48001"/>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902" w:customStyle="1">
    <w:name w:val="xl48002"/>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903" w:customStyle="1">
    <w:name w:val="xl48003"/>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904" w:customStyle="1">
    <w:name w:val="xl4800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1905" w:customStyle="1">
    <w:name w:val="xl4800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906" w:customStyle="1">
    <w:name w:val="xl4800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907" w:customStyle="1">
    <w:name w:val="xl48007"/>
    <w:basedOn w:val="10533"/>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ind/>
      <w:jc w:val="center"/>
    </w:pPr>
    <w:rPr>
      <w:sz w:val="20"/>
      <w:szCs w:val="20"/>
    </w:rPr>
  </w:style>
  <w:style w:type="paragraph" w:styleId="11908" w:customStyle="1">
    <w:name w:val="xl48008"/>
    <w:basedOn w:val="10533"/>
    <w:qFormat/>
    <w:pPr>
      <w:pBdr>
        <w:top w:val="single" w:color="000000" w:sz="8" w:space="0"/>
        <w:bottom w:val="single" w:color="000000" w:sz="8" w:space="0"/>
        <w:right w:val="single" w:color="000000" w:sz="8" w:space="0"/>
      </w:pBdr>
      <w:shd w:val="clear" w:color="000000" w:fill="ffffff"/>
      <w:spacing w:afterAutospacing="1" w:beforeAutospacing="1"/>
      <w:ind/>
      <w:jc w:val="center"/>
    </w:pPr>
    <w:rPr>
      <w:sz w:val="20"/>
      <w:szCs w:val="20"/>
    </w:rPr>
  </w:style>
  <w:style w:type="paragraph" w:styleId="11909" w:customStyle="1">
    <w:name w:val="xl48009"/>
    <w:basedOn w:val="10533"/>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sz w:val="20"/>
      <w:szCs w:val="20"/>
    </w:rPr>
  </w:style>
  <w:style w:type="paragraph" w:styleId="11910" w:customStyle="1">
    <w:name w:val="xl48010"/>
    <w:basedOn w:val="10533"/>
    <w:qFormat/>
    <w:pPr>
      <w:pBdr>
        <w:top w:val="single" w:color="000000" w:sz="8" w:space="0"/>
        <w:bottom w:val="single" w:color="000000" w:sz="8" w:space="0"/>
        <w:right w:val="single" w:color="000000" w:sz="8" w:space="0"/>
      </w:pBdr>
      <w:spacing w:afterAutospacing="1" w:beforeAutospacing="1"/>
      <w:ind/>
      <w:jc w:val="center"/>
    </w:pPr>
    <w:rPr>
      <w:sz w:val="20"/>
      <w:szCs w:val="20"/>
    </w:rPr>
  </w:style>
  <w:style w:type="paragraph" w:styleId="11911" w:customStyle="1">
    <w:name w:val="xl48011"/>
    <w:basedOn w:val="10533"/>
    <w:qFormat/>
    <w:pPr>
      <w:pBdr>
        <w:top w:val="single" w:color="000000" w:sz="8" w:space="0"/>
        <w:bottom w:val="single" w:color="000000" w:sz="8" w:space="0"/>
        <w:right w:val="single" w:color="000000" w:sz="8" w:space="0"/>
      </w:pBdr>
      <w:spacing w:afterAutospacing="1" w:beforeAutospacing="1"/>
      <w:ind/>
      <w:jc w:val="center"/>
    </w:pPr>
    <w:rPr>
      <w:color w:val="cc0000"/>
      <w:sz w:val="20"/>
      <w:szCs w:val="20"/>
    </w:rPr>
  </w:style>
  <w:style w:type="paragraph" w:styleId="11912" w:customStyle="1">
    <w:name w:val="xl48012"/>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913" w:customStyle="1">
    <w:name w:val="xl48013"/>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sz w:val="20"/>
      <w:szCs w:val="20"/>
    </w:rPr>
  </w:style>
  <w:style w:type="paragraph" w:styleId="11914" w:customStyle="1">
    <w:name w:val="xl4801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1915" w:customStyle="1">
    <w:name w:val="xl48015"/>
    <w:basedOn w:val="10533"/>
    <w:qFormat/>
    <w:pPr>
      <w:pBdr>
        <w:top w:val="single" w:color="000000" w:sz="4" w:space="0"/>
        <w:bottom w:val="single" w:color="000000" w:sz="4" w:space="0"/>
        <w:right w:val="single" w:color="000000" w:sz="4" w:space="0"/>
      </w:pBdr>
      <w:shd w:val="clear" w:color="000000" w:fill="ffff00"/>
      <w:spacing w:afterAutospacing="1" w:beforeAutospacing="1"/>
      <w:ind/>
    </w:pPr>
    <w:rPr>
      <w:sz w:val="20"/>
      <w:szCs w:val="20"/>
    </w:rPr>
  </w:style>
  <w:style w:type="paragraph" w:styleId="11916" w:customStyle="1">
    <w:name w:val="xl48016"/>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1917" w:customStyle="1">
    <w:name w:val="xl48017"/>
    <w:basedOn w:val="10533"/>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sz w:val="20"/>
      <w:szCs w:val="20"/>
    </w:rPr>
  </w:style>
  <w:style w:type="paragraph" w:styleId="11918" w:customStyle="1">
    <w:name w:val="xl48018"/>
    <w:basedOn w:val="10533"/>
    <w:qFormat/>
    <w:pPr>
      <w:pBdr/>
      <w:shd w:val="clear" w:color="000000" w:fill="ffffff"/>
      <w:spacing w:afterAutospacing="1" w:beforeAutospacing="1"/>
      <w:ind/>
    </w:pPr>
    <w:rPr>
      <w:sz w:val="20"/>
      <w:szCs w:val="20"/>
    </w:rPr>
  </w:style>
  <w:style w:type="paragraph" w:styleId="11919" w:customStyle="1">
    <w:name w:val="xl4801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20" w:customStyle="1">
    <w:name w:val="xl48020"/>
    <w:basedOn w:val="10533"/>
    <w:qFormat/>
    <w:pPr>
      <w:pBdr/>
      <w:spacing w:afterAutospacing="1" w:beforeAutospacing="1"/>
      <w:ind/>
    </w:pPr>
    <w:rPr>
      <w:sz w:val="20"/>
      <w:szCs w:val="20"/>
    </w:rPr>
  </w:style>
  <w:style w:type="paragraph" w:styleId="11921" w:customStyle="1">
    <w:name w:val="xl48021"/>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22" w:customStyle="1">
    <w:name w:val="xl48022"/>
    <w:basedOn w:val="10533"/>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ind/>
      <w:jc w:val="center"/>
    </w:pPr>
    <w:rPr>
      <w:sz w:val="20"/>
      <w:szCs w:val="20"/>
    </w:rPr>
  </w:style>
  <w:style w:type="paragraph" w:styleId="11923" w:customStyle="1">
    <w:name w:val="xl48023"/>
    <w:basedOn w:val="10533"/>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ind/>
      <w:jc w:val="center"/>
    </w:pPr>
    <w:rPr>
      <w:sz w:val="20"/>
      <w:szCs w:val="20"/>
    </w:rPr>
  </w:style>
  <w:style w:type="paragraph" w:styleId="11924" w:customStyle="1">
    <w:name w:val="xl48024"/>
    <w:basedOn w:val="10533"/>
    <w:qFormat/>
    <w:pPr>
      <w:pBdr>
        <w:top w:val="single" w:color="000000" w:sz="8" w:space="0"/>
        <w:bottom w:val="single" w:color="000000" w:sz="8" w:space="0"/>
        <w:right w:val="single" w:color="000000" w:sz="8" w:space="0"/>
      </w:pBdr>
      <w:shd w:val="clear" w:color="000000" w:fill="ffffff"/>
      <w:spacing w:afterAutospacing="1" w:beforeAutospacing="1"/>
      <w:ind/>
      <w:jc w:val="center"/>
    </w:pPr>
    <w:rPr>
      <w:sz w:val="20"/>
      <w:szCs w:val="20"/>
    </w:rPr>
  </w:style>
  <w:style w:type="paragraph" w:styleId="11925" w:customStyle="1">
    <w:name w:val="xl48025"/>
    <w:basedOn w:val="10533"/>
    <w:qFormat/>
    <w:pPr>
      <w:pBdr>
        <w:top w:val="single" w:color="000000" w:sz="8" w:space="0"/>
        <w:bottom w:val="single" w:color="000000" w:sz="8" w:space="0"/>
        <w:right w:val="single" w:color="000000" w:sz="8" w:space="0"/>
      </w:pBdr>
      <w:shd w:val="clear" w:color="000000" w:fill="ffffff"/>
      <w:spacing w:afterAutospacing="1" w:beforeAutospacing="1"/>
      <w:ind/>
      <w:jc w:val="center"/>
    </w:pPr>
    <w:rPr>
      <w:sz w:val="20"/>
      <w:szCs w:val="20"/>
    </w:rPr>
  </w:style>
  <w:style w:type="paragraph" w:styleId="11926" w:customStyle="1">
    <w:name w:val="xl4802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927" w:customStyle="1">
    <w:name w:val="xl48027"/>
    <w:basedOn w:val="10533"/>
    <w:qFormat/>
    <w:pPr>
      <w:pBdr>
        <w:top w:val="single" w:color="000000" w:sz="8" w:space="0"/>
        <w:left w:val="single" w:color="000000" w:sz="8" w:space="0"/>
        <w:bottom w:val="single" w:color="000000" w:sz="8" w:space="0"/>
        <w:right w:val="single" w:color="000000" w:sz="8" w:space="0"/>
      </w:pBdr>
      <w:spacing w:afterAutospacing="1" w:beforeAutospacing="1"/>
      <w:ind/>
      <w:jc w:val="right"/>
    </w:pPr>
    <w:rPr>
      <w:sz w:val="18"/>
      <w:szCs w:val="18"/>
    </w:rPr>
  </w:style>
  <w:style w:type="paragraph" w:styleId="11928" w:customStyle="1">
    <w:name w:val="xl48028"/>
    <w:basedOn w:val="10533"/>
    <w:qFormat/>
    <w:pPr>
      <w:pBdr>
        <w:top w:val="single" w:color="000000" w:sz="8" w:space="0"/>
        <w:bottom w:val="single" w:color="000000" w:sz="8" w:space="0"/>
        <w:right w:val="single" w:color="000000" w:sz="8" w:space="0"/>
      </w:pBdr>
      <w:spacing w:afterAutospacing="1" w:beforeAutospacing="1"/>
      <w:ind/>
      <w:jc w:val="right"/>
    </w:pPr>
    <w:rPr>
      <w:rFonts w:ascii="Tahoma" w:hAnsi="Tahoma" w:cs="Tahoma"/>
      <w:sz w:val="18"/>
      <w:szCs w:val="18"/>
    </w:rPr>
  </w:style>
  <w:style w:type="paragraph" w:styleId="11929" w:customStyle="1">
    <w:name w:val="xl4802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30" w:customStyle="1">
    <w:name w:val="xl48030"/>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931" w:customStyle="1">
    <w:name w:val="xl48031"/>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1932" w:customStyle="1">
    <w:name w:val="xl48032"/>
    <w:basedOn w:val="10533"/>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sz w:val="20"/>
      <w:szCs w:val="20"/>
    </w:rPr>
  </w:style>
  <w:style w:type="paragraph" w:styleId="11933" w:customStyle="1">
    <w:name w:val="xl48033"/>
    <w:basedOn w:val="10533"/>
    <w:qFormat/>
    <w:pPr>
      <w:pBdr>
        <w:top w:val="single" w:color="000000" w:sz="8" w:space="0"/>
        <w:bottom w:val="single" w:color="000000" w:sz="8" w:space="0"/>
        <w:right w:val="single" w:color="000000" w:sz="8" w:space="0"/>
      </w:pBdr>
      <w:spacing w:afterAutospacing="1" w:beforeAutospacing="1"/>
      <w:ind/>
      <w:jc w:val="center"/>
    </w:pPr>
    <w:rPr>
      <w:sz w:val="20"/>
      <w:szCs w:val="20"/>
    </w:rPr>
  </w:style>
  <w:style w:type="paragraph" w:styleId="11934" w:customStyle="1">
    <w:name w:val="xl48034"/>
    <w:basedOn w:val="10533"/>
    <w:qFormat/>
    <w:pPr>
      <w:pBdr/>
      <w:spacing w:afterAutospacing="1" w:beforeAutospacing="1"/>
      <w:ind/>
    </w:pPr>
    <w:rPr>
      <w:sz w:val="20"/>
      <w:szCs w:val="20"/>
    </w:rPr>
  </w:style>
  <w:style w:type="paragraph" w:styleId="11935" w:customStyle="1">
    <w:name w:val="xl48035"/>
    <w:basedOn w:val="10533"/>
    <w:qFormat/>
    <w:pPr>
      <w:pBdr/>
      <w:spacing w:afterAutospacing="1" w:beforeAutospacing="1"/>
      <w:ind/>
    </w:pPr>
    <w:rPr>
      <w:sz w:val="18"/>
      <w:szCs w:val="18"/>
    </w:rPr>
  </w:style>
  <w:style w:type="paragraph" w:styleId="11936" w:customStyle="1">
    <w:name w:val="xl48036"/>
    <w:basedOn w:val="10533"/>
    <w:qFormat/>
    <w:pPr>
      <w:pBdr/>
      <w:shd w:val="clear" w:color="000000" w:fill="ffffff"/>
      <w:spacing w:afterAutospacing="1" w:beforeAutospacing="1"/>
      <w:ind/>
    </w:pPr>
    <w:rPr>
      <w:sz w:val="18"/>
      <w:szCs w:val="18"/>
    </w:rPr>
  </w:style>
  <w:style w:type="paragraph" w:styleId="11937" w:customStyle="1">
    <w:name w:val="xl48037"/>
    <w:basedOn w:val="10533"/>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sz w:val="18"/>
      <w:szCs w:val="18"/>
    </w:rPr>
  </w:style>
  <w:style w:type="paragraph" w:styleId="11938" w:customStyle="1">
    <w:name w:val="xl48038"/>
    <w:basedOn w:val="10533"/>
    <w:qFormat/>
    <w:pPr>
      <w:pBdr>
        <w:top w:val="single" w:color="000000" w:sz="8" w:space="0"/>
        <w:bottom w:val="single" w:color="000000" w:sz="8" w:space="0"/>
        <w:right w:val="single" w:color="000000" w:sz="8" w:space="0"/>
      </w:pBdr>
      <w:spacing w:afterAutospacing="1" w:beforeAutospacing="1"/>
      <w:ind/>
      <w:jc w:val="center"/>
    </w:pPr>
    <w:rPr>
      <w:sz w:val="18"/>
      <w:szCs w:val="18"/>
    </w:rPr>
  </w:style>
  <w:style w:type="paragraph" w:styleId="11939" w:customStyle="1">
    <w:name w:val="xl48039"/>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40" w:customStyle="1">
    <w:name w:val="xl48040"/>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1941" w:customStyle="1">
    <w:name w:val="xl48041"/>
    <w:basedOn w:val="10533"/>
    <w:qFormat/>
    <w:pPr>
      <w:pBdr>
        <w:top w:val="single" w:color="000000" w:sz="4" w:space="0"/>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942" w:customStyle="1">
    <w:name w:val="xl48042"/>
    <w:basedOn w:val="10533"/>
    <w:qFormat/>
    <w:pPr>
      <w:pBdr>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943" w:customStyle="1">
    <w:name w:val="xl48043"/>
    <w:basedOn w:val="10533"/>
    <w:qFormat/>
    <w:pPr>
      <w:pBdr/>
      <w:shd w:val="clear" w:color="000000" w:fill="ffffff"/>
      <w:spacing w:afterAutospacing="1" w:beforeAutospacing="1"/>
      <w:ind/>
      <w:jc w:val="center"/>
    </w:pPr>
    <w:rPr>
      <w:sz w:val="20"/>
      <w:szCs w:val="20"/>
    </w:rPr>
  </w:style>
  <w:style w:type="paragraph" w:styleId="11944" w:customStyle="1">
    <w:name w:val="xl48044"/>
    <w:basedOn w:val="10533"/>
    <w:qFormat/>
    <w:pPr>
      <w:pBdr/>
      <w:spacing w:afterAutospacing="1" w:beforeAutospacing="1"/>
      <w:ind/>
      <w:jc w:val="center"/>
    </w:pPr>
    <w:rPr>
      <w:sz w:val="20"/>
      <w:szCs w:val="20"/>
    </w:rPr>
  </w:style>
  <w:style w:type="paragraph" w:styleId="11945" w:customStyle="1">
    <w:name w:val="xl4804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946" w:customStyle="1">
    <w:name w:val="xl4804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style>
  <w:style w:type="paragraph" w:styleId="11947" w:customStyle="1">
    <w:name w:val="xl48047"/>
    <w:basedOn w:val="10533"/>
    <w:qFormat/>
    <w:pPr>
      <w:pBdr>
        <w:left w:val="single" w:color="000000" w:sz="8" w:space="0"/>
      </w:pBdr>
      <w:shd w:val="clear" w:color="000000" w:fill="ffffff"/>
      <w:spacing w:afterAutospacing="1" w:beforeAutospacing="1"/>
      <w:ind/>
      <w:jc w:val="center"/>
    </w:pPr>
    <w:rPr>
      <w:color w:val="000000"/>
      <w:sz w:val="20"/>
      <w:szCs w:val="20"/>
    </w:rPr>
  </w:style>
  <w:style w:type="paragraph" w:styleId="11948" w:customStyle="1">
    <w:name w:val="xl48048"/>
    <w:basedOn w:val="10533"/>
    <w:qFormat/>
    <w:pPr>
      <w:pBdr>
        <w:top w:val="single" w:color="000000" w:sz="8" w:space="0"/>
        <w:left w:val="single" w:color="000000" w:sz="8" w:space="7"/>
      </w:pBdr>
      <w:shd w:val="clear" w:color="000000" w:fill="ffffff"/>
      <w:spacing w:afterAutospacing="1" w:beforeAutospacing="1"/>
      <w:ind w:firstLine="100"/>
    </w:pPr>
    <w:rPr>
      <w:color w:val="000000"/>
      <w:sz w:val="20"/>
      <w:szCs w:val="20"/>
    </w:rPr>
  </w:style>
  <w:style w:type="paragraph" w:styleId="11949" w:customStyle="1">
    <w:name w:val="xl48049"/>
    <w:basedOn w:val="10533"/>
    <w:qFormat/>
    <w:pPr>
      <w:pBdr>
        <w:top w:val="single" w:color="000000" w:sz="8" w:space="0"/>
        <w:left w:val="single" w:color="000000" w:sz="8" w:space="7"/>
        <w:bottom w:val="single" w:color="000000" w:sz="8" w:space="0"/>
      </w:pBdr>
      <w:shd w:val="clear" w:color="000000" w:fill="ffffff"/>
      <w:spacing w:afterAutospacing="1" w:beforeAutospacing="1"/>
      <w:ind w:firstLine="100"/>
    </w:pPr>
    <w:rPr>
      <w:color w:val="000000"/>
      <w:sz w:val="20"/>
      <w:szCs w:val="20"/>
    </w:rPr>
  </w:style>
  <w:style w:type="paragraph" w:styleId="11950" w:customStyle="1">
    <w:name w:val="xl48050"/>
    <w:basedOn w:val="10533"/>
    <w:qFormat/>
    <w:pPr>
      <w:pBdr>
        <w:left w:val="single" w:color="000000" w:sz="8" w:space="0"/>
      </w:pBdr>
      <w:shd w:val="clear" w:color="000000" w:fill="ffffff"/>
      <w:spacing w:afterAutospacing="1" w:beforeAutospacing="1"/>
      <w:ind/>
      <w:jc w:val="center"/>
    </w:pPr>
    <w:rPr>
      <w:color w:val="000000"/>
      <w:sz w:val="20"/>
      <w:szCs w:val="20"/>
    </w:rPr>
  </w:style>
  <w:style w:type="paragraph" w:styleId="11951" w:customStyle="1">
    <w:name w:val="xl48051"/>
    <w:basedOn w:val="10533"/>
    <w:qFormat/>
    <w:pPr>
      <w:pBdr/>
      <w:shd w:val="clear" w:color="000000" w:fill="ffffff"/>
      <w:spacing w:afterAutospacing="1" w:beforeAutospacing="1"/>
      <w:ind/>
    </w:pPr>
    <w:rPr>
      <w:sz w:val="20"/>
      <w:szCs w:val="20"/>
    </w:rPr>
  </w:style>
  <w:style w:type="paragraph" w:styleId="11952" w:customStyle="1">
    <w:name w:val="xl48052"/>
    <w:basedOn w:val="10533"/>
    <w:qFormat/>
    <w:pPr>
      <w:pBdr>
        <w:left w:val="single" w:color="000000" w:sz="8" w:space="0"/>
      </w:pBdr>
      <w:shd w:val="clear" w:color="000000" w:fill="ffffff"/>
      <w:spacing w:afterAutospacing="1" w:beforeAutospacing="1"/>
      <w:ind/>
    </w:pPr>
    <w:rPr>
      <w:color w:val="000000"/>
      <w:sz w:val="20"/>
      <w:szCs w:val="20"/>
    </w:rPr>
  </w:style>
  <w:style w:type="paragraph" w:styleId="11953" w:customStyle="1">
    <w:name w:val="xl48053"/>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right"/>
    </w:pPr>
    <w:rPr>
      <w:b/>
      <w:bCs/>
      <w:sz w:val="20"/>
      <w:szCs w:val="20"/>
    </w:rPr>
  </w:style>
  <w:style w:type="paragraph" w:styleId="11954" w:customStyle="1">
    <w:name w:val="xl48054"/>
    <w:basedOn w:val="10533"/>
    <w:qFormat/>
    <w:pPr>
      <w:pBdr>
        <w:top w:val="single" w:color="000000" w:sz="4" w:space="0"/>
        <w:bottom w:val="single" w:color="000000" w:sz="4" w:space="0"/>
      </w:pBdr>
      <w:shd w:val="clear" w:color="000000" w:fill="538dd5"/>
      <w:spacing w:afterAutospacing="1" w:beforeAutospacing="1"/>
      <w:ind/>
      <w:jc w:val="right"/>
    </w:pPr>
    <w:rPr>
      <w:b/>
      <w:bCs/>
      <w:sz w:val="20"/>
      <w:szCs w:val="20"/>
    </w:rPr>
  </w:style>
  <w:style w:type="paragraph" w:styleId="11955" w:customStyle="1">
    <w:name w:val="xl48055"/>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right"/>
    </w:pPr>
    <w:rPr>
      <w:b/>
      <w:bCs/>
      <w:sz w:val="20"/>
      <w:szCs w:val="20"/>
    </w:rPr>
  </w:style>
  <w:style w:type="paragraph" w:styleId="11956" w:customStyle="1">
    <w:name w:val="xl48056"/>
    <w:basedOn w:val="10533"/>
    <w:qFormat/>
    <w:pPr>
      <w:pBdr>
        <w:top w:val="single" w:color="000000" w:sz="4" w:space="0"/>
        <w:bottom w:val="single" w:color="000000" w:sz="4" w:space="0"/>
      </w:pBdr>
      <w:shd w:val="clear" w:color="000000" w:fill="8db4e2"/>
      <w:spacing w:afterAutospacing="1" w:beforeAutospacing="1"/>
      <w:ind/>
      <w:jc w:val="right"/>
    </w:pPr>
    <w:rPr>
      <w:b/>
      <w:bCs/>
      <w:sz w:val="20"/>
      <w:szCs w:val="20"/>
    </w:rPr>
  </w:style>
  <w:style w:type="paragraph" w:styleId="11957" w:customStyle="1">
    <w:name w:val="xl4805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958" w:customStyle="1">
    <w:name w:val="xl48058"/>
    <w:basedOn w:val="10533"/>
    <w:qFormat/>
    <w:pPr>
      <w:pBdr>
        <w:top w:val="single" w:color="000000" w:sz="8" w:space="0"/>
        <w:left w:val="single" w:color="000000" w:sz="8" w:space="0"/>
        <w:bottom w:val="single" w:color="000000" w:sz="8" w:space="0"/>
      </w:pBdr>
      <w:shd w:val="clear" w:color="000000" w:fill="ffffff"/>
      <w:spacing w:afterAutospacing="1" w:beforeAutospacing="1"/>
      <w:ind/>
    </w:pPr>
    <w:rPr>
      <w:color w:val="000000"/>
      <w:sz w:val="20"/>
      <w:szCs w:val="20"/>
    </w:rPr>
  </w:style>
  <w:style w:type="paragraph" w:styleId="11959" w:customStyle="1">
    <w:name w:val="xl4805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60" w:customStyle="1">
    <w:name w:val="xl48060"/>
    <w:basedOn w:val="10533"/>
    <w:qFormat/>
    <w:pPr>
      <w:pBdr>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1961" w:customStyle="1">
    <w:name w:val="xl48061"/>
    <w:basedOn w:val="10533"/>
    <w:qFormat/>
    <w:pPr>
      <w:pBdr>
        <w:top w:val="single" w:color="000000" w:sz="4" w:space="0"/>
        <w:left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962" w:customStyle="1">
    <w:name w:val="xl48062"/>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963" w:customStyle="1">
    <w:name w:val="xl48063"/>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964" w:customStyle="1">
    <w:name w:val="xl48064"/>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1965" w:customStyle="1">
    <w:name w:val="xl48065"/>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sz w:val="20"/>
      <w:szCs w:val="20"/>
    </w:rPr>
  </w:style>
  <w:style w:type="paragraph" w:styleId="11966" w:customStyle="1">
    <w:name w:val="xl48066"/>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sz w:val="20"/>
      <w:szCs w:val="20"/>
    </w:rPr>
  </w:style>
  <w:style w:type="paragraph" w:styleId="11967" w:customStyle="1">
    <w:name w:val="xl4806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1968" w:customStyle="1">
    <w:name w:val="xl48068"/>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sz w:val="20"/>
      <w:szCs w:val="20"/>
    </w:rPr>
  </w:style>
  <w:style w:type="paragraph" w:styleId="11969" w:customStyle="1">
    <w:name w:val="xl48069"/>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70" w:customStyle="1">
    <w:name w:val="xl48070"/>
    <w:basedOn w:val="10533"/>
    <w:qFormat/>
    <w:pPr>
      <w:pBdr>
        <w:top w:val="single" w:color="000000" w:sz="4" w:space="0"/>
        <w:left w:val="single" w:color="000000" w:sz="4" w:space="0"/>
      </w:pBdr>
      <w:shd w:val="clear" w:color="000000" w:fill="8db4e2"/>
      <w:spacing w:afterAutospacing="1" w:beforeAutospacing="1"/>
      <w:ind/>
      <w:jc w:val="center"/>
    </w:pPr>
    <w:rPr>
      <w:b/>
      <w:bCs/>
      <w:sz w:val="20"/>
      <w:szCs w:val="20"/>
    </w:rPr>
  </w:style>
  <w:style w:type="paragraph" w:styleId="11971" w:customStyle="1">
    <w:name w:val="xl48071"/>
    <w:basedOn w:val="10533"/>
    <w:qFormat/>
    <w:pPr>
      <w:pBdr>
        <w:left w:val="single" w:color="000000" w:sz="4" w:space="0"/>
        <w:bottom w:val="single" w:color="000000" w:sz="4" w:space="0"/>
      </w:pBdr>
      <w:shd w:val="clear" w:color="000000" w:fill="8db4e2"/>
      <w:spacing w:afterAutospacing="1" w:beforeAutospacing="1"/>
      <w:ind/>
      <w:jc w:val="center"/>
    </w:pPr>
    <w:rPr>
      <w:b/>
      <w:bCs/>
      <w:sz w:val="20"/>
      <w:szCs w:val="20"/>
    </w:rPr>
  </w:style>
  <w:style w:type="paragraph" w:styleId="11972" w:customStyle="1">
    <w:name w:val="xl48072"/>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1973" w:customStyle="1">
    <w:name w:val="xl48073"/>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sz w:val="20"/>
      <w:szCs w:val="20"/>
    </w:rPr>
  </w:style>
  <w:style w:type="paragraph" w:styleId="11974" w:customStyle="1">
    <w:name w:val="xl48074"/>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1975" w:customStyle="1">
    <w:name w:val="xl48075"/>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sz w:val="20"/>
      <w:szCs w:val="20"/>
    </w:rPr>
  </w:style>
  <w:style w:type="paragraph" w:styleId="11976" w:customStyle="1">
    <w:name w:val="xl48076"/>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sz w:val="20"/>
      <w:szCs w:val="20"/>
    </w:rPr>
  </w:style>
  <w:style w:type="paragraph" w:styleId="11977" w:customStyle="1">
    <w:name w:val="xl48077"/>
    <w:basedOn w:val="10533"/>
    <w:qFormat/>
    <w:pPr>
      <w:pBdr>
        <w:left w:val="single" w:color="000000" w:sz="4" w:space="0"/>
        <w:right w:val="single" w:color="000000" w:sz="4" w:space="0"/>
      </w:pBdr>
      <w:shd w:val="clear" w:color="000000" w:fill="ffffff"/>
      <w:spacing w:afterAutospacing="1" w:beforeAutospacing="1"/>
      <w:ind/>
      <w:jc w:val="center"/>
    </w:pPr>
    <w:rPr>
      <w:sz w:val="20"/>
      <w:szCs w:val="20"/>
    </w:rPr>
  </w:style>
  <w:style w:type="paragraph" w:styleId="11978" w:customStyle="1">
    <w:name w:val="xl48078"/>
    <w:basedOn w:val="10533"/>
    <w:qFormat/>
    <w:pPr>
      <w:pBdr>
        <w:top w:val="single" w:color="000000" w:sz="8" w:space="0"/>
        <w:right w:val="single" w:color="000000" w:sz="8" w:space="0"/>
      </w:pBdr>
      <w:spacing w:afterAutospacing="1" w:beforeAutospacing="1"/>
      <w:ind/>
      <w:jc w:val="center"/>
    </w:pPr>
    <w:rPr>
      <w:sz w:val="20"/>
      <w:szCs w:val="20"/>
    </w:rPr>
  </w:style>
  <w:style w:type="paragraph" w:styleId="11979" w:customStyle="1">
    <w:name w:val="xl4807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1980" w:customStyle="1">
    <w:name w:val="xl48080"/>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ind/>
      <w:jc w:val="center"/>
    </w:pPr>
    <w:rPr>
      <w:sz w:val="20"/>
      <w:szCs w:val="20"/>
    </w:rPr>
  </w:style>
  <w:style w:type="paragraph" w:styleId="11981" w:customStyle="1">
    <w:name w:val="xl48081"/>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982" w:customStyle="1">
    <w:name w:val="xl48082"/>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983" w:customStyle="1">
    <w:name w:val="xl48083"/>
    <w:basedOn w:val="10533"/>
    <w:qFormat/>
    <w:pPr>
      <w:pBdr>
        <w:top w:val="single" w:color="000000" w:sz="4" w:space="0"/>
        <w:left w:val="single" w:color="000000" w:sz="4" w:space="0"/>
        <w:bottom w:val="single" w:color="000000" w:sz="4" w:space="0"/>
      </w:pBdr>
      <w:shd w:val="clear" w:color="000000" w:fill="a6a6a6"/>
      <w:spacing w:afterAutospacing="1" w:beforeAutospacing="1"/>
      <w:ind/>
      <w:jc w:val="center"/>
    </w:pPr>
    <w:rPr>
      <w:b/>
      <w:bCs/>
      <w:sz w:val="32"/>
      <w:szCs w:val="32"/>
    </w:rPr>
  </w:style>
  <w:style w:type="paragraph" w:styleId="11984" w:customStyle="1">
    <w:name w:val="xl48084"/>
    <w:basedOn w:val="10533"/>
    <w:qFormat/>
    <w:pPr>
      <w:pBdr>
        <w:top w:val="single" w:color="000000" w:sz="4" w:space="0"/>
        <w:bottom w:val="single" w:color="000000" w:sz="4" w:space="0"/>
      </w:pBdr>
      <w:shd w:val="clear" w:color="000000" w:fill="a6a6a6"/>
      <w:spacing w:afterAutospacing="1" w:beforeAutospacing="1"/>
      <w:ind/>
      <w:jc w:val="center"/>
    </w:pPr>
    <w:rPr>
      <w:b/>
      <w:bCs/>
      <w:sz w:val="32"/>
      <w:szCs w:val="32"/>
    </w:rPr>
  </w:style>
  <w:style w:type="paragraph" w:styleId="11985" w:customStyle="1">
    <w:name w:val="xl48085"/>
    <w:basedOn w:val="10533"/>
    <w:qFormat/>
    <w:pPr>
      <w:pBdr>
        <w:top w:val="single" w:color="000000" w:sz="4" w:space="0"/>
        <w:bottom w:val="single" w:color="000000" w:sz="4" w:space="0"/>
        <w:right w:val="single" w:color="000000" w:sz="4" w:space="0"/>
      </w:pBdr>
      <w:shd w:val="clear" w:color="000000" w:fill="a6a6a6"/>
      <w:spacing w:afterAutospacing="1" w:beforeAutospacing="1"/>
      <w:ind/>
      <w:jc w:val="center"/>
    </w:pPr>
    <w:rPr>
      <w:b/>
      <w:bCs/>
      <w:sz w:val="32"/>
      <w:szCs w:val="32"/>
    </w:rPr>
  </w:style>
  <w:style w:type="paragraph" w:styleId="11986" w:customStyle="1">
    <w:name w:val="xl48086"/>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987" w:customStyle="1">
    <w:name w:val="xl48087"/>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988" w:customStyle="1">
    <w:name w:val="xl48088"/>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989" w:customStyle="1">
    <w:name w:val="xl48089"/>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990" w:customStyle="1">
    <w:name w:val="xl48090"/>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991" w:customStyle="1">
    <w:name w:val="xl48091"/>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992" w:customStyle="1">
    <w:name w:val="xl48092"/>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993" w:customStyle="1">
    <w:name w:val="xl48093"/>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994" w:customStyle="1">
    <w:name w:val="xl48094"/>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1995" w:customStyle="1">
    <w:name w:val="xl48095"/>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1996" w:customStyle="1">
    <w:name w:val="xl48096"/>
    <w:basedOn w:val="10533"/>
    <w:qFormat/>
    <w:pPr>
      <w:pBdr>
        <w:top w:val="single" w:color="000000" w:sz="4" w:space="0"/>
        <w:left w:val="single" w:color="000000" w:sz="4" w:space="0"/>
        <w:bottom w:val="single" w:color="000000" w:sz="4" w:space="0"/>
      </w:pBdr>
      <w:shd w:val="clear" w:color="000000" w:fill="8db4e2"/>
      <w:spacing w:afterAutospacing="1" w:beforeAutospacing="1"/>
      <w:ind/>
      <w:jc w:val="right"/>
    </w:pPr>
    <w:rPr>
      <w:b/>
      <w:bCs/>
      <w:sz w:val="20"/>
      <w:szCs w:val="20"/>
    </w:rPr>
  </w:style>
  <w:style w:type="paragraph" w:styleId="11997" w:customStyle="1">
    <w:name w:val="xl48097"/>
    <w:basedOn w:val="10533"/>
    <w:qFormat/>
    <w:pPr>
      <w:pBdr>
        <w:top w:val="single" w:color="000000" w:sz="4" w:space="0"/>
        <w:bottom w:val="single" w:color="000000" w:sz="4" w:space="0"/>
      </w:pBdr>
      <w:shd w:val="clear" w:color="000000" w:fill="8db4e2"/>
      <w:spacing w:afterAutospacing="1" w:beforeAutospacing="1"/>
      <w:ind/>
      <w:jc w:val="right"/>
    </w:pPr>
    <w:rPr>
      <w:b/>
      <w:bCs/>
      <w:sz w:val="20"/>
      <w:szCs w:val="20"/>
    </w:rPr>
  </w:style>
  <w:style w:type="paragraph" w:styleId="11998" w:customStyle="1">
    <w:name w:val="xl48098"/>
    <w:basedOn w:val="10533"/>
    <w:qFormat/>
    <w:pPr>
      <w:pBdr>
        <w:top w:val="single" w:color="000000" w:sz="4" w:space="0"/>
        <w:left w:val="single" w:color="000000" w:sz="4" w:space="0"/>
        <w:bottom w:val="single" w:color="000000" w:sz="4" w:space="0"/>
      </w:pBdr>
      <w:shd w:val="clear" w:color="000000" w:fill="538dd5"/>
      <w:spacing w:afterAutospacing="1" w:beforeAutospacing="1"/>
      <w:ind/>
      <w:jc w:val="right"/>
    </w:pPr>
    <w:rPr>
      <w:b/>
      <w:bCs/>
      <w:sz w:val="20"/>
      <w:szCs w:val="20"/>
    </w:rPr>
  </w:style>
  <w:style w:type="paragraph" w:styleId="11999" w:customStyle="1">
    <w:name w:val="xl48099"/>
    <w:basedOn w:val="10533"/>
    <w:qFormat/>
    <w:pPr>
      <w:pBdr>
        <w:top w:val="single" w:color="000000" w:sz="4" w:space="0"/>
        <w:bottom w:val="single" w:color="000000" w:sz="4" w:space="0"/>
      </w:pBdr>
      <w:shd w:val="clear" w:color="000000" w:fill="538dd5"/>
      <w:spacing w:afterAutospacing="1" w:beforeAutospacing="1"/>
      <w:ind/>
      <w:jc w:val="right"/>
    </w:pPr>
    <w:rPr>
      <w:b/>
      <w:bCs/>
      <w:sz w:val="20"/>
      <w:szCs w:val="20"/>
    </w:rPr>
  </w:style>
  <w:style w:type="paragraph" w:styleId="12000" w:customStyle="1">
    <w:name w:val="xl48100"/>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right"/>
    </w:pPr>
    <w:rPr>
      <w:b/>
      <w:bCs/>
      <w:sz w:val="20"/>
      <w:szCs w:val="20"/>
    </w:rPr>
  </w:style>
  <w:style w:type="paragraph" w:styleId="12001" w:customStyle="1">
    <w:name w:val="xl48101"/>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right"/>
    </w:pPr>
    <w:rPr>
      <w:b/>
      <w:bCs/>
      <w:sz w:val="20"/>
      <w:szCs w:val="20"/>
    </w:rPr>
  </w:style>
  <w:style w:type="paragraph" w:styleId="12002" w:customStyle="1">
    <w:name w:val="xl48102"/>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right"/>
    </w:pPr>
    <w:rPr>
      <w:b/>
      <w:bCs/>
      <w:sz w:val="20"/>
      <w:szCs w:val="20"/>
    </w:rPr>
  </w:style>
  <w:style w:type="paragraph" w:styleId="12003" w:customStyle="1">
    <w:name w:val="xl48103"/>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right"/>
    </w:pPr>
    <w:rPr>
      <w:b/>
      <w:bCs/>
      <w:sz w:val="20"/>
      <w:szCs w:val="20"/>
    </w:rPr>
  </w:style>
  <w:style w:type="paragraph" w:styleId="12004" w:customStyle="1">
    <w:name w:val="xl48104"/>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05" w:customStyle="1">
    <w:name w:val="xl48105"/>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2006" w:customStyle="1">
    <w:name w:val="xl48106"/>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center"/>
    </w:pPr>
    <w:rPr>
      <w:b/>
      <w:bCs/>
      <w:sz w:val="20"/>
      <w:szCs w:val="20"/>
    </w:rPr>
  </w:style>
  <w:style w:type="paragraph" w:styleId="12007" w:customStyle="1">
    <w:name w:val="xl48107"/>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008" w:customStyle="1">
    <w:name w:val="xl48108"/>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09" w:customStyle="1">
    <w:name w:val="xl48109"/>
    <w:basedOn w:val="10533"/>
    <w:qFormat/>
    <w:pPr>
      <w:pBdr>
        <w:top w:val="single" w:color="000000" w:sz="4" w:space="0"/>
        <w:left w:val="single" w:color="000000" w:sz="4" w:space="0"/>
        <w:bottom w:val="single" w:color="000000" w:sz="4" w:space="0"/>
      </w:pBdr>
      <w:shd w:val="clear" w:color="000000" w:fill="a6a6a6"/>
      <w:spacing w:afterAutospacing="1" w:beforeAutospacing="1"/>
      <w:ind/>
      <w:jc w:val="center"/>
    </w:pPr>
    <w:rPr>
      <w:b/>
      <w:bCs/>
      <w:sz w:val="32"/>
      <w:szCs w:val="32"/>
    </w:rPr>
  </w:style>
  <w:style w:type="paragraph" w:styleId="12010" w:customStyle="1">
    <w:name w:val="xl48110"/>
    <w:basedOn w:val="10533"/>
    <w:qFormat/>
    <w:pPr>
      <w:pBdr>
        <w:top w:val="single" w:color="000000" w:sz="4" w:space="0"/>
        <w:bottom w:val="single" w:color="000000" w:sz="4" w:space="0"/>
      </w:pBdr>
      <w:shd w:val="clear" w:color="000000" w:fill="a6a6a6"/>
      <w:spacing w:afterAutospacing="1" w:beforeAutospacing="1"/>
      <w:ind/>
      <w:jc w:val="center"/>
    </w:pPr>
    <w:rPr>
      <w:b/>
      <w:bCs/>
      <w:sz w:val="32"/>
      <w:szCs w:val="32"/>
    </w:rPr>
  </w:style>
  <w:style w:type="paragraph" w:styleId="12011" w:customStyle="1">
    <w:name w:val="xl48111"/>
    <w:basedOn w:val="10533"/>
    <w:qFormat/>
    <w:pPr>
      <w:pBdr>
        <w:top w:val="single" w:color="000000" w:sz="4" w:space="0"/>
        <w:bottom w:val="single" w:color="000000" w:sz="4" w:space="0"/>
        <w:right w:val="single" w:color="000000" w:sz="4" w:space="0"/>
      </w:pBdr>
      <w:shd w:val="clear" w:color="000000" w:fill="a6a6a6"/>
      <w:spacing w:afterAutospacing="1" w:beforeAutospacing="1"/>
      <w:ind/>
      <w:jc w:val="center"/>
    </w:pPr>
    <w:rPr>
      <w:b/>
      <w:bCs/>
      <w:sz w:val="32"/>
      <w:szCs w:val="32"/>
    </w:rPr>
  </w:style>
  <w:style w:type="paragraph" w:styleId="12012" w:customStyle="1">
    <w:name w:val="xl48112"/>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013" w:customStyle="1">
    <w:name w:val="xl48113"/>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014" w:customStyle="1">
    <w:name w:val="xl48114"/>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15" w:customStyle="1">
    <w:name w:val="xl48115"/>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016" w:customStyle="1">
    <w:name w:val="xl48116"/>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17" w:customStyle="1">
    <w:name w:val="xl48117"/>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18" w:customStyle="1">
    <w:name w:val="xl48118"/>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19" w:customStyle="1">
    <w:name w:val="xl48119"/>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020" w:customStyle="1">
    <w:name w:val="xl48120"/>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021" w:customStyle="1">
    <w:name w:val="xl48121"/>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022" w:customStyle="1">
    <w:name w:val="xl48122"/>
    <w:basedOn w:val="10533"/>
    <w:qFormat/>
    <w:pPr>
      <w:pBdr>
        <w:top w:val="single" w:color="000000" w:sz="4" w:space="0"/>
        <w:left w:val="single" w:color="000000" w:sz="4" w:space="0"/>
        <w:bottom w:val="single" w:color="000000" w:sz="4" w:space="0"/>
      </w:pBdr>
      <w:shd w:val="clear" w:color="000000" w:fill="8db4e2"/>
      <w:spacing w:afterAutospacing="1" w:beforeAutospacing="1"/>
      <w:ind/>
      <w:jc w:val="right"/>
    </w:pPr>
    <w:rPr>
      <w:b/>
      <w:bCs/>
      <w:sz w:val="20"/>
      <w:szCs w:val="20"/>
    </w:rPr>
  </w:style>
  <w:style w:type="paragraph" w:styleId="12023" w:customStyle="1">
    <w:name w:val="xl48123"/>
    <w:basedOn w:val="10533"/>
    <w:qFormat/>
    <w:pPr>
      <w:pBdr>
        <w:top w:val="single" w:color="000000" w:sz="4" w:space="0"/>
        <w:bottom w:val="single" w:color="000000" w:sz="4" w:space="0"/>
      </w:pBdr>
      <w:shd w:val="clear" w:color="000000" w:fill="8db4e2"/>
      <w:spacing w:afterAutospacing="1" w:beforeAutospacing="1"/>
      <w:ind/>
      <w:jc w:val="right"/>
    </w:pPr>
    <w:rPr>
      <w:b/>
      <w:bCs/>
      <w:sz w:val="20"/>
      <w:szCs w:val="20"/>
    </w:rPr>
  </w:style>
  <w:style w:type="paragraph" w:styleId="12024" w:customStyle="1">
    <w:name w:val="xl48124"/>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8"/>
      <w:szCs w:val="28"/>
    </w:rPr>
  </w:style>
  <w:style w:type="paragraph" w:styleId="12025" w:customStyle="1">
    <w:name w:val="xl48125"/>
    <w:basedOn w:val="10533"/>
    <w:qFormat/>
    <w:pPr>
      <w:pBdr>
        <w:top w:val="single" w:color="000000" w:sz="4" w:space="0"/>
        <w:left w:val="single" w:color="000000" w:sz="4" w:space="0"/>
        <w:bottom w:val="single" w:color="000000" w:sz="4" w:space="0"/>
      </w:pBdr>
      <w:shd w:val="clear" w:color="000000" w:fill="538dd5"/>
      <w:spacing w:afterAutospacing="1" w:beforeAutospacing="1"/>
      <w:ind/>
      <w:jc w:val="right"/>
    </w:pPr>
    <w:rPr>
      <w:b/>
      <w:bCs/>
      <w:sz w:val="20"/>
      <w:szCs w:val="20"/>
    </w:rPr>
  </w:style>
  <w:style w:type="paragraph" w:styleId="12026" w:customStyle="1">
    <w:name w:val="xl48126"/>
    <w:basedOn w:val="10533"/>
    <w:qFormat/>
    <w:pPr>
      <w:pBdr>
        <w:top w:val="single" w:color="000000" w:sz="4" w:space="0"/>
        <w:bottom w:val="single" w:color="000000" w:sz="4" w:space="0"/>
      </w:pBdr>
      <w:shd w:val="clear" w:color="000000" w:fill="538dd5"/>
      <w:spacing w:afterAutospacing="1" w:beforeAutospacing="1"/>
      <w:ind/>
      <w:jc w:val="right"/>
    </w:pPr>
    <w:rPr>
      <w:b/>
      <w:bCs/>
      <w:sz w:val="20"/>
      <w:szCs w:val="20"/>
    </w:rPr>
  </w:style>
  <w:style w:type="paragraph" w:styleId="12027" w:customStyle="1">
    <w:name w:val="xl48127"/>
    <w:basedOn w:val="10533"/>
    <w:qFormat/>
    <w:pPr>
      <w:pBdr>
        <w:top w:val="single" w:color="000000" w:sz="4" w:space="0"/>
        <w:left w:val="single" w:color="000000" w:sz="4" w:space="0"/>
        <w:bottom w:val="single" w:color="000000" w:sz="4" w:space="0"/>
        <w:right w:val="single" w:color="000000" w:sz="4" w:space="0"/>
      </w:pBdr>
      <w:shd w:val="clear" w:color="000000" w:fill="8db4e2"/>
      <w:spacing w:afterAutospacing="1" w:beforeAutospacing="1"/>
      <w:ind/>
      <w:jc w:val="right"/>
    </w:pPr>
    <w:rPr>
      <w:b/>
      <w:bCs/>
      <w:sz w:val="20"/>
      <w:szCs w:val="20"/>
    </w:rPr>
  </w:style>
  <w:style w:type="paragraph" w:styleId="12028" w:customStyle="1">
    <w:name w:val="xl48128"/>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right"/>
    </w:pPr>
    <w:rPr>
      <w:b/>
      <w:bCs/>
      <w:sz w:val="20"/>
      <w:szCs w:val="20"/>
    </w:rPr>
  </w:style>
  <w:style w:type="paragraph" w:styleId="12029" w:customStyle="1">
    <w:name w:val="xl48129"/>
    <w:basedOn w:val="10533"/>
    <w:qFormat/>
    <w:pPr>
      <w:pBdr>
        <w:top w:val="single" w:color="000000" w:sz="4" w:space="0"/>
        <w:left w:val="single" w:color="000000" w:sz="4" w:space="0"/>
        <w:bottom w:val="single" w:color="000000" w:sz="4" w:space="0"/>
      </w:pBdr>
      <w:shd w:val="clear" w:color="000000" w:fill="538dd5"/>
      <w:spacing w:afterAutospacing="1" w:beforeAutospacing="1"/>
      <w:ind/>
      <w:jc w:val="right"/>
    </w:pPr>
    <w:rPr>
      <w:b/>
      <w:bCs/>
      <w:sz w:val="20"/>
      <w:szCs w:val="20"/>
    </w:rPr>
  </w:style>
  <w:style w:type="paragraph" w:styleId="12030" w:customStyle="1">
    <w:name w:val="xl48130"/>
    <w:basedOn w:val="10533"/>
    <w:qFormat/>
    <w:pPr>
      <w:pBdr>
        <w:top w:val="single" w:color="000000" w:sz="4" w:space="0"/>
        <w:left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031" w:customStyle="1">
    <w:name w:val="xl48131"/>
    <w:basedOn w:val="10533"/>
    <w:qFormat/>
    <w:pPr>
      <w:pBdr>
        <w:top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032" w:customStyle="1">
    <w:name w:val="xl48132"/>
    <w:basedOn w:val="10533"/>
    <w:qFormat/>
    <w:pPr>
      <w:pBdr>
        <w:top w:val="single" w:color="000000" w:sz="4" w:space="0"/>
        <w:left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033" w:customStyle="1">
    <w:name w:val="xl48133"/>
    <w:basedOn w:val="10533"/>
    <w:qFormat/>
    <w:pPr>
      <w:pBdr>
        <w:top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034" w:customStyle="1">
    <w:name w:val="xl48134"/>
    <w:basedOn w:val="10533"/>
    <w:qFormat/>
    <w:pPr>
      <w:pBdr>
        <w:top w:val="single" w:color="000000" w:sz="4" w:space="0"/>
        <w:bottom w:val="single" w:color="000000" w:sz="4" w:space="0"/>
      </w:pBdr>
      <w:spacing w:afterAutospacing="1" w:beforeAutospacing="1"/>
      <w:ind/>
      <w:jc w:val="center"/>
    </w:pPr>
    <w:rPr>
      <w:sz w:val="20"/>
      <w:szCs w:val="20"/>
    </w:rPr>
  </w:style>
  <w:style w:type="paragraph" w:styleId="12035" w:customStyle="1">
    <w:name w:val="xl48135"/>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037" w:customStyle="1">
    <w:name w:val="Абзац списка2"/>
    <w:basedOn w:val="10533"/>
    <w:qFormat/>
    <w:pPr>
      <w:pBdr/>
      <w:spacing/>
      <w:ind w:left="720"/>
      <w:jc w:val="center"/>
    </w:pPr>
    <w:rPr>
      <w:rFonts w:ascii="Calibri" w:hAnsi="Calibri" w:cs="Calibri"/>
      <w:lang w:eastAsia="en-US"/>
    </w:rPr>
  </w:style>
  <w:style w:type="paragraph" w:styleId="12038" w:customStyle="1">
    <w:name w:val="заголовок табл"/>
    <w:basedOn w:val="10533"/>
    <w:link w:val="10665"/>
    <w:qFormat/>
    <w:pPr>
      <w:keepNext w:val="true"/>
      <w:suppressLineNumbers w:val="true"/>
      <w:pBdr/>
      <w:tabs>
        <w:tab w:val="clear" w:leader="none" w:pos="708"/>
        <w:tab w:val="left" w:leader="none" w:pos="1440"/>
        <w:tab w:val="left" w:leader="dot" w:pos="9356"/>
      </w:tabs>
      <w:spacing w:after="120" w:before="120"/>
      <w:ind w:firstLine="794" w:left="-794"/>
      <w:jc w:val="center"/>
    </w:pPr>
    <w:rPr>
      <w:b/>
      <w:bCs/>
    </w:rPr>
  </w:style>
  <w:style w:type="paragraph" w:styleId="12039" w:customStyle="1">
    <w:name w:val="подпись"/>
    <w:basedOn w:val="10533"/>
    <w:qFormat/>
    <w:pPr>
      <w:keepNext w:val="true"/>
      <w:suppressLineNumbers w:val="true"/>
      <w:pBdr/>
      <w:tabs>
        <w:tab w:val="clear" w:leader="none" w:pos="708"/>
        <w:tab w:val="right" w:leader="none" w:pos="9072"/>
        <w:tab w:val="left" w:leader="dot" w:pos="9356"/>
      </w:tabs>
      <w:spacing w:after="0" w:before="840"/>
      <w:ind/>
    </w:pPr>
  </w:style>
  <w:style w:type="paragraph" w:styleId="12040" w:customStyle="1">
    <w:name w:val="текст табл"/>
    <w:basedOn w:val="10533"/>
    <w:qFormat/>
    <w:pPr>
      <w:keepNext w:val="true"/>
      <w:keepLines w:val="true"/>
      <w:suppressLineNumbers w:val="true"/>
      <w:pBdr/>
      <w:tabs>
        <w:tab w:val="clear" w:leader="none" w:pos="708"/>
        <w:tab w:val="left" w:leader="dot" w:pos="9356"/>
      </w:tabs>
      <w:spacing w:after="60" w:before="60"/>
      <w:ind/>
    </w:pPr>
  </w:style>
  <w:style w:type="paragraph" w:styleId="12042" w:customStyle="1">
    <w:name w:val="текст таблицы 11"/>
    <w:basedOn w:val="12040"/>
    <w:qFormat/>
    <w:pPr>
      <w:pBdr/>
      <w:spacing/>
      <w:ind/>
    </w:pPr>
    <w:rPr>
      <w:sz w:val="22"/>
      <w:szCs w:val="22"/>
    </w:rPr>
  </w:style>
  <w:style w:type="paragraph" w:styleId="12043" w:customStyle="1">
    <w:name w:val="Текст таблицы 10"/>
    <w:basedOn w:val="12040"/>
    <w:qFormat/>
    <w:pPr>
      <w:pBdr/>
      <w:spacing/>
      <w:ind/>
    </w:pPr>
    <w:rPr>
      <w:sz w:val="20"/>
      <w:szCs w:val="20"/>
    </w:rPr>
  </w:style>
  <w:style w:type="paragraph" w:styleId="12044" w:customStyle="1">
    <w:name w:val="Подрисуночная надпись"/>
    <w:basedOn w:val="12040"/>
    <w:link w:val="10684"/>
    <w:qFormat/>
    <w:pPr>
      <w:keepNext w:val="false"/>
      <w:keepLines w:val="false"/>
      <w:widowControl w:val="false"/>
      <w:suppressLineNumbers w:val="false"/>
      <w:pBdr/>
      <w:tabs>
        <w:tab w:val="left" w:leader="none" w:pos="851"/>
        <w:tab w:val="left" w:leader="none" w:pos="900"/>
        <w:tab w:val="left" w:leader="none" w:pos="1134"/>
        <w:tab w:val="clear" w:leader="none" w:pos="9356"/>
      </w:tabs>
      <w:spacing w:after="0" w:before="0"/>
      <w:ind/>
      <w:jc w:val="center"/>
    </w:pPr>
    <w:rPr>
      <w:b/>
      <w:bCs/>
    </w:rPr>
  </w:style>
  <w:style w:type="paragraph" w:styleId="12045" w:customStyle="1">
    <w:name w:val="обычный без абзаца"/>
    <w:basedOn w:val="10533"/>
    <w:qFormat/>
    <w:pPr>
      <w:keepNext w:val="true"/>
      <w:suppressLineNumbers w:val="true"/>
      <w:pBdr/>
      <w:tabs>
        <w:tab w:val="clear" w:leader="none" w:pos="708"/>
        <w:tab w:val="left" w:leader="none" w:pos="720"/>
        <w:tab w:val="left" w:leader="none" w:pos="2835"/>
        <w:tab w:val="left" w:leader="none" w:pos="4536"/>
        <w:tab w:val="left" w:leader="none" w:pos="6237"/>
        <w:tab w:val="left" w:leader="none" w:pos="7938"/>
        <w:tab w:val="left" w:leader="dot" w:pos="9356"/>
        <w:tab w:val="right" w:leader="none" w:pos="9639"/>
      </w:tabs>
      <w:spacing w:line="360" w:lineRule="auto"/>
      <w:ind/>
    </w:pPr>
    <w:rPr>
      <w:rFonts w:ascii="NTTimes/Cyrillic" w:hAnsi="NTTimes/Cyrillic"/>
      <w:sz w:val="26"/>
      <w:szCs w:val="26"/>
    </w:rPr>
  </w:style>
  <w:style w:type="paragraph" w:styleId="12046" w:customStyle="1">
    <w:name w:val="указатель 1"/>
    <w:basedOn w:val="10533"/>
    <w:qFormat/>
    <w:pPr>
      <w:keepNext w:val="true"/>
      <w:pBdr/>
      <w:tabs>
        <w:tab w:val="left" w:leader="none" w:pos="0"/>
        <w:tab w:val="left" w:leader="none" w:pos="566"/>
        <w:tab w:val="clear" w:leader="none" w:pos="708"/>
        <w:tab w:val="left" w:leader="none" w:pos="1133"/>
        <w:tab w:val="left" w:leader="none" w:pos="1699"/>
        <w:tab w:val="left" w:leader="none" w:pos="2265"/>
        <w:tab w:val="left" w:leader="none" w:pos="2832"/>
        <w:tab w:val="left" w:leader="none" w:pos="3398"/>
        <w:tab w:val="left" w:leader="none" w:pos="3965"/>
        <w:tab w:val="left" w:leader="none" w:pos="4531"/>
        <w:tab w:val="left" w:leader="none" w:pos="5097"/>
        <w:tab w:val="left" w:leader="none" w:pos="5664"/>
        <w:tab w:val="left" w:leader="none" w:pos="6230"/>
        <w:tab w:val="left" w:leader="none" w:pos="6797"/>
        <w:tab w:val="left" w:leader="none" w:pos="7363"/>
        <w:tab w:val="left" w:leader="none" w:pos="7929"/>
        <w:tab w:val="left" w:leader="none" w:pos="8496"/>
        <w:tab w:val="left" w:leader="none" w:pos="9062"/>
        <w:tab w:val="right" w:leader="dot" w:pos="9360"/>
      </w:tabs>
      <w:spacing/>
      <w:ind w:right="720" w:hanging="1440" w:left="1440"/>
      <w:jc w:val="both"/>
    </w:pPr>
    <w:rPr>
      <w:lang w:val="en-US"/>
    </w:rPr>
  </w:style>
  <w:style w:type="paragraph" w:styleId="12047" w:customStyle="1">
    <w:name w:val="Стиль табл"/>
    <w:basedOn w:val="10533"/>
    <w:qFormat/>
    <w:pPr>
      <w:keepNext w:val="true"/>
      <w:pBdr/>
      <w:tabs>
        <w:tab w:val="clear" w:leader="none" w:pos="708"/>
        <w:tab w:val="left" w:leader="dot" w:pos="9356"/>
      </w:tabs>
      <w:spacing w:after="120" w:before="120"/>
      <w:ind/>
      <w:jc w:val="center"/>
    </w:pPr>
  </w:style>
  <w:style w:type="paragraph" w:styleId="12048">
    <w:name w:val="Block Text"/>
    <w:basedOn w:val="10533"/>
    <w:qFormat/>
    <w:pPr>
      <w:keepNext w:val="true"/>
      <w:suppressLineNumbers w:val="true"/>
      <w:pBdr/>
      <w:tabs>
        <w:tab w:val="clear" w:leader="none" w:pos="708"/>
        <w:tab w:val="left" w:leader="dot" w:pos="9356"/>
      </w:tabs>
      <w:spacing/>
      <w:ind w:right="-57" w:left="-57"/>
    </w:pPr>
    <w:rPr>
      <w:b/>
      <w:bCs/>
    </w:rPr>
  </w:style>
  <w:style w:type="paragraph" w:styleId="12049" w:customStyle="1">
    <w:name w:val="глава"/>
    <w:basedOn w:val="10534"/>
    <w:qFormat/>
    <w:pPr>
      <w:keepNext w:val="true"/>
      <w:numPr>
        <w:ilvl w:val="0"/>
        <w:numId w:val="0"/>
      </w:numPr>
      <w:pBdr/>
      <w:tabs>
        <w:tab w:val="clear" w:leader="none" w:pos="0"/>
        <w:tab w:val="clear" w:leader="none" w:pos="736"/>
        <w:tab w:val="left" w:leader="dot" w:pos="9356"/>
        <w:tab w:val="left" w:leader="dot" w:pos="9720"/>
      </w:tabs>
      <w:spacing w:after="120" w:before="0" w:line="240" w:lineRule="auto"/>
      <w:ind w:right="-81" w:hanging="680" w:left="680"/>
      <w:contextualSpacing w:val="false"/>
      <w:outlineLvl w:val="9"/>
    </w:pPr>
    <w:rPr>
      <w:bCs/>
      <w:caps/>
      <w:spacing w:val="0"/>
      <w:sz w:val="26"/>
      <w:szCs w:val="26"/>
      <w:lang w:eastAsia="ru-RU" w:bidi="ar-SA"/>
    </w:rPr>
  </w:style>
  <w:style w:type="paragraph" w:styleId="12050" w:customStyle="1">
    <w:name w:val="подрисунок"/>
    <w:basedOn w:val="10533"/>
    <w:qFormat/>
    <w:pPr>
      <w:keepNext w:val="true"/>
      <w:suppressLineNumbers w:val="true"/>
      <w:pBdr/>
      <w:tabs>
        <w:tab w:val="clear" w:leader="none" w:pos="708"/>
        <w:tab w:val="left" w:leader="none" w:pos="720"/>
        <w:tab w:val="left" w:leader="none" w:pos="2835"/>
        <w:tab w:val="left" w:leader="none" w:pos="4536"/>
        <w:tab w:val="left" w:leader="none" w:pos="6237"/>
        <w:tab w:val="left" w:leader="none" w:pos="7938"/>
        <w:tab w:val="left" w:leader="dot" w:pos="9356"/>
        <w:tab w:val="right" w:leader="none" w:pos="9639"/>
      </w:tabs>
      <w:spacing w:after="0" w:before="120"/>
      <w:ind/>
      <w:jc w:val="center"/>
    </w:pPr>
    <w:rPr>
      <w:rFonts w:ascii="NTTimes/Cyrillic" w:hAnsi="NTTimes/Cyrillic"/>
      <w:sz w:val="26"/>
      <w:szCs w:val="26"/>
    </w:rPr>
  </w:style>
  <w:style w:type="paragraph" w:styleId="12051">
    <w:name w:val="index 6"/>
    <w:basedOn w:val="10533"/>
    <w:next w:val="10533"/>
    <w:qFormat/>
    <w:pPr>
      <w:keepNext w:val="true"/>
      <w:suppressLineNumbers w:val="true"/>
      <w:pBdr/>
      <w:tabs>
        <w:tab w:val="clear" w:leader="none" w:pos="708"/>
        <w:tab w:val="left" w:leader="dot" w:pos="9356"/>
      </w:tabs>
      <w:spacing w:line="300" w:lineRule="auto"/>
      <w:ind w:hanging="240" w:left="1440"/>
      <w:jc w:val="both"/>
    </w:pPr>
  </w:style>
  <w:style w:type="paragraph" w:styleId="12052">
    <w:name w:val="index 7"/>
    <w:basedOn w:val="10533"/>
    <w:next w:val="10533"/>
    <w:qFormat/>
    <w:pPr>
      <w:keepNext w:val="true"/>
      <w:suppressLineNumbers w:val="true"/>
      <w:pBdr/>
      <w:tabs>
        <w:tab w:val="clear" w:leader="none" w:pos="708"/>
        <w:tab w:val="left" w:leader="dot" w:pos="9356"/>
      </w:tabs>
      <w:spacing w:line="300" w:lineRule="auto"/>
      <w:ind w:hanging="240" w:left="1680"/>
      <w:jc w:val="both"/>
    </w:pPr>
  </w:style>
  <w:style w:type="paragraph" w:styleId="12053">
    <w:name w:val="index 8"/>
    <w:basedOn w:val="10533"/>
    <w:next w:val="10533"/>
    <w:qFormat/>
    <w:pPr>
      <w:keepNext w:val="true"/>
      <w:suppressLineNumbers w:val="true"/>
      <w:pBdr/>
      <w:tabs>
        <w:tab w:val="clear" w:leader="none" w:pos="708"/>
        <w:tab w:val="left" w:leader="dot" w:pos="9356"/>
      </w:tabs>
      <w:spacing w:line="300" w:lineRule="auto"/>
      <w:ind w:hanging="240" w:left="1920"/>
      <w:jc w:val="both"/>
    </w:pPr>
  </w:style>
  <w:style w:type="paragraph" w:styleId="12054">
    <w:name w:val="index 9"/>
    <w:basedOn w:val="10533"/>
    <w:next w:val="10533"/>
    <w:qFormat/>
    <w:pPr>
      <w:keepNext w:val="true"/>
      <w:suppressLineNumbers w:val="true"/>
      <w:pBdr/>
      <w:tabs>
        <w:tab w:val="clear" w:leader="none" w:pos="708"/>
        <w:tab w:val="left" w:leader="dot" w:pos="9356"/>
      </w:tabs>
      <w:spacing w:line="300" w:lineRule="auto"/>
      <w:ind w:hanging="240" w:left="2160"/>
      <w:jc w:val="both"/>
    </w:pPr>
  </w:style>
  <w:style w:type="paragraph" w:styleId="12055" w:customStyle="1">
    <w:name w:val="Обычный без абзаца"/>
    <w:basedOn w:val="10533"/>
    <w:qFormat/>
    <w:pPr>
      <w:keepNext w:val="true"/>
      <w:widowControl w:val="false"/>
      <w:pBdr/>
      <w:tabs>
        <w:tab w:val="clear" w:leader="none" w:pos="708"/>
        <w:tab w:val="left" w:leader="dot" w:pos="9356"/>
      </w:tabs>
      <w:spacing w:after="0" w:before="60"/>
      <w:ind w:hanging="340" w:left="1134"/>
      <w:jc w:val="center"/>
    </w:pPr>
  </w:style>
  <w:style w:type="paragraph" w:styleId="12056" w:customStyle="1">
    <w:name w:val="Normal Знак"/>
    <w:qFormat/>
    <w:pPr>
      <w:widowControl w:val="true"/>
      <w:pBdr/>
      <w:bidi w:val="false"/>
      <w:spacing w:after="120" w:before="120" w:line="240" w:lineRule="auto"/>
      <w:ind w:left="567"/>
      <w:jc w:val="both"/>
    </w:pPr>
    <w:rPr>
      <w:rFonts w:ascii="Times New Roman" w:hAnsi="Times New Roman" w:eastAsia="Times New Roman" w:cs="Times New Roman"/>
      <w:color w:val="auto"/>
      <w:sz w:val="24"/>
      <w:szCs w:val="24"/>
      <w:lang w:val="ru-RU" w:eastAsia="ru-RU" w:bidi="ar-SA"/>
    </w:rPr>
  </w:style>
  <w:style w:type="paragraph" w:styleId="12057" w:customStyle="1">
    <w:name w:val="Обычный 13 Знак Знак"/>
    <w:basedOn w:val="10533"/>
    <w:link w:val="13594"/>
    <w:qFormat/>
    <w:pPr>
      <w:keepNext w:val="true"/>
      <w:suppressLineNumbers w:val="true"/>
      <w:pBdr/>
      <w:tabs>
        <w:tab w:val="clear" w:leader="none" w:pos="708"/>
        <w:tab w:val="left" w:leader="dot" w:pos="9356"/>
      </w:tabs>
      <w:spacing/>
      <w:ind/>
      <w:jc w:val="both"/>
    </w:pPr>
    <w:rPr>
      <w:sz w:val="26"/>
      <w:szCs w:val="26"/>
    </w:rPr>
  </w:style>
  <w:style w:type="paragraph" w:styleId="12059" w:customStyle="1">
    <w:name w:val="Стиль Маркированный список + Перед:  3 пт"/>
    <w:basedOn w:val="11100"/>
    <w:qFormat/>
    <w:pPr>
      <w:keepNext w:val="true"/>
      <w:suppressLineNumbers w:val="true"/>
      <w:pBdr/>
      <w:tabs>
        <w:tab w:val="clear" w:leader="none" w:pos="993"/>
      </w:tabs>
      <w:spacing w:after="0" w:before="60" w:line="240" w:lineRule="auto"/>
      <w:ind w:firstLine="567" w:left="0"/>
    </w:pPr>
    <w:rPr>
      <w:rFonts w:ascii="Times New Roman" w:hAnsi="Times New Roman"/>
      <w:sz w:val="26"/>
      <w:szCs w:val="26"/>
      <w:lang w:val="ru-RU" w:eastAsia="ru-RU" w:bidi="ar-SA"/>
    </w:rPr>
  </w:style>
  <w:style w:type="paragraph" w:styleId="12060" w:customStyle="1">
    <w:name w:val="Стиль Оглавление 1 + Первая строка:  0 см"/>
    <w:basedOn w:val="11104"/>
    <w:qFormat/>
    <w:pPr>
      <w:keepNext w:val="true"/>
      <w:suppressLineNumbers w:val="true"/>
      <w:pBdr/>
      <w:tabs>
        <w:tab w:val="clear" w:leader="none" w:pos="440"/>
        <w:tab w:val="left" w:leader="none" w:pos="540"/>
        <w:tab w:val="clear" w:leader="none" w:pos="9214"/>
        <w:tab w:val="left" w:leader="dot" w:pos="9356"/>
      </w:tabs>
      <w:spacing w:after="60" w:before="60"/>
      <w:ind w:firstLine="0" w:left="540"/>
      <w:contextualSpacing w:val="true"/>
      <w:jc w:val="left"/>
    </w:pPr>
    <w:rPr>
      <w:rFonts w:ascii="Times New Roman" w:hAnsi="Times New Roman" w:cs="Times New Roman"/>
      <w:b/>
      <w:iCs w:val="0"/>
      <w:caps/>
      <w:sz w:val="26"/>
      <w:szCs w:val="26"/>
      <w:lang w:val="ru-RU" w:eastAsia="ru-RU" w:bidi="ar-SA"/>
    </w:rPr>
  </w:style>
  <w:style w:type="paragraph" w:styleId="12061" w:customStyle="1">
    <w:name w:val="xl31"/>
    <w:basedOn w:val="10533"/>
    <w:qFormat/>
    <w:pPr>
      <w:pBdr>
        <w:left w:val="single" w:color="000000" w:sz="4" w:space="0"/>
        <w:bottom w:val="single" w:color="000000" w:sz="4" w:space="0"/>
        <w:right w:val="single" w:color="000000" w:sz="4" w:space="0"/>
      </w:pBdr>
      <w:spacing w:after="100" w:before="100"/>
      <w:ind/>
      <w:jc w:val="right"/>
    </w:pPr>
  </w:style>
  <w:style w:type="paragraph" w:styleId="12062" w:customStyle="1">
    <w:name w:val="FR1"/>
    <w:qFormat/>
    <w:pPr>
      <w:widowControl w:val="false"/>
      <w:pBdr/>
      <w:bidi w:val="false"/>
      <w:spacing w:after="0" w:before="500" w:line="300" w:lineRule="auto"/>
      <w:ind w:left="400"/>
      <w:jc w:val="left"/>
    </w:pPr>
    <w:rPr>
      <w:rFonts w:ascii="Times New Roman" w:hAnsi="Times New Roman" w:eastAsia="Times New Roman" w:cs="Times New Roman"/>
      <w:color w:val="auto"/>
      <w:sz w:val="24"/>
      <w:szCs w:val="24"/>
      <w:lang w:val="ru-RU" w:eastAsia="ru-RU" w:bidi="ar-SA"/>
    </w:rPr>
  </w:style>
  <w:style w:type="paragraph" w:styleId="12063" w:customStyle="1">
    <w:name w:val="FR2"/>
    <w:qFormat/>
    <w:pPr>
      <w:widowControl w:val="false"/>
      <w:pBdr/>
      <w:bidi w:val="false"/>
      <w:spacing w:after="20" w:before="0" w:line="240" w:lineRule="auto"/>
      <w:ind/>
      <w:jc w:val="left"/>
    </w:pPr>
    <w:rPr>
      <w:rFonts w:ascii="Times New Roman" w:hAnsi="Times New Roman" w:eastAsia="Times New Roman" w:cs="Times New Roman"/>
      <w:color w:val="auto"/>
      <w:sz w:val="16"/>
      <w:szCs w:val="16"/>
      <w:lang w:val="ru-RU" w:eastAsia="ru-RU" w:bidi="ar-SA"/>
    </w:rPr>
  </w:style>
  <w:style w:type="paragraph" w:styleId="12065" w:customStyle="1">
    <w:name w:val="xl26"/>
    <w:basedOn w:val="10533"/>
    <w:qFormat/>
    <w:pPr>
      <w:pBdr>
        <w:left w:val="single" w:color="000000" w:sz="8" w:space="0"/>
      </w:pBdr>
      <w:spacing w:afterAutospacing="1" w:beforeAutospacing="1"/>
      <w:ind/>
    </w:pPr>
    <w:rPr>
      <w:sz w:val="16"/>
      <w:szCs w:val="16"/>
    </w:rPr>
  </w:style>
  <w:style w:type="paragraph" w:styleId="12066" w:customStyle="1">
    <w:name w:val="xl27"/>
    <w:basedOn w:val="10533"/>
    <w:qFormat/>
    <w:pPr>
      <w:pBdr>
        <w:right w:val="single" w:color="000000" w:sz="8" w:space="0"/>
      </w:pBdr>
      <w:spacing w:afterAutospacing="1" w:beforeAutospacing="1"/>
      <w:ind/>
    </w:pPr>
    <w:rPr>
      <w:sz w:val="16"/>
      <w:szCs w:val="16"/>
    </w:rPr>
  </w:style>
  <w:style w:type="paragraph" w:styleId="12067" w:customStyle="1">
    <w:name w:val="xl2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right"/>
    </w:pPr>
    <w:rPr>
      <w:b/>
      <w:bCs/>
      <w:sz w:val="16"/>
      <w:szCs w:val="16"/>
    </w:rPr>
  </w:style>
  <w:style w:type="paragraph" w:styleId="12068" w:customStyle="1">
    <w:name w:val="xl2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right"/>
    </w:pPr>
    <w:rPr>
      <w:sz w:val="16"/>
      <w:szCs w:val="16"/>
    </w:rPr>
  </w:style>
  <w:style w:type="paragraph" w:styleId="12069" w:customStyle="1">
    <w:name w:val="xl30"/>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right"/>
    </w:pPr>
    <w:rPr>
      <w:sz w:val="16"/>
      <w:szCs w:val="16"/>
    </w:rPr>
  </w:style>
  <w:style w:type="paragraph" w:styleId="12070" w:customStyle="1">
    <w:name w:val="xl3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right"/>
    </w:pPr>
    <w:rPr>
      <w:b/>
      <w:bCs/>
      <w:sz w:val="16"/>
      <w:szCs w:val="16"/>
    </w:rPr>
  </w:style>
  <w:style w:type="paragraph" w:styleId="12071" w:customStyle="1">
    <w:name w:val="xl33"/>
    <w:basedOn w:val="10533"/>
    <w:qFormat/>
    <w:pPr>
      <w:pBdr>
        <w:top w:val="single" w:color="000000" w:sz="8" w:space="0"/>
        <w:left w:val="single" w:color="000000" w:sz="8" w:space="0"/>
        <w:bottom w:val="single" w:color="000000" w:sz="8" w:space="0"/>
      </w:pBdr>
      <w:spacing w:afterAutospacing="1" w:beforeAutospacing="1"/>
      <w:ind/>
    </w:pPr>
    <w:rPr>
      <w:sz w:val="16"/>
      <w:szCs w:val="16"/>
    </w:rPr>
  </w:style>
  <w:style w:type="paragraph" w:styleId="12072" w:customStyle="1">
    <w:name w:val="xl34"/>
    <w:basedOn w:val="10533"/>
    <w:qFormat/>
    <w:pPr>
      <w:pBdr>
        <w:top w:val="single" w:color="000000" w:sz="8" w:space="0"/>
        <w:bottom w:val="single" w:color="000000" w:sz="8" w:space="0"/>
      </w:pBdr>
      <w:spacing w:afterAutospacing="1" w:beforeAutospacing="1"/>
      <w:ind/>
    </w:pPr>
    <w:rPr>
      <w:sz w:val="16"/>
      <w:szCs w:val="16"/>
    </w:rPr>
  </w:style>
  <w:style w:type="paragraph" w:styleId="12073" w:customStyle="1">
    <w:name w:val="Стиль начало"/>
    <w:basedOn w:val="10533"/>
    <w:qFormat/>
    <w:pPr>
      <w:pBdr/>
      <w:spacing w:line="264" w:lineRule="auto"/>
      <w:ind/>
    </w:pPr>
    <w:rPr>
      <w:sz w:val="28"/>
      <w:szCs w:val="28"/>
    </w:rPr>
  </w:style>
  <w:style w:type="paragraph" w:styleId="12074" w:customStyle="1">
    <w:name w:val="xl24"/>
    <w:basedOn w:val="10533"/>
    <w:qFormat/>
    <w:pPr>
      <w:pBdr>
        <w:top w:val="single" w:color="000000" w:sz="4" w:space="0"/>
        <w:left w:val="single" w:color="000000" w:sz="4" w:space="0"/>
        <w:right w:val="single" w:color="000000" w:sz="4" w:space="0"/>
      </w:pBdr>
      <w:spacing w:afterAutospacing="1" w:beforeAutospacing="1"/>
      <w:ind/>
      <w:jc w:val="center"/>
    </w:pPr>
  </w:style>
  <w:style w:type="paragraph" w:styleId="12075" w:customStyle="1">
    <w:name w:val="xl25"/>
    <w:basedOn w:val="10533"/>
    <w:qFormat/>
    <w:pPr>
      <w:pBdr>
        <w:left w:val="single" w:color="000000" w:sz="4" w:space="0"/>
        <w:bottom w:val="single" w:color="000000" w:sz="4" w:space="0"/>
        <w:right w:val="single" w:color="000000" w:sz="4" w:space="0"/>
      </w:pBdr>
      <w:spacing w:afterAutospacing="1" w:beforeAutospacing="1"/>
      <w:ind/>
      <w:jc w:val="center"/>
    </w:pPr>
  </w:style>
  <w:style w:type="paragraph" w:styleId="12076" w:customStyle="1">
    <w:name w:val="Обычный 13 Знак3 Знак Знак Знак1 Знак"/>
    <w:basedOn w:val="10533"/>
    <w:qFormat/>
    <w:pPr>
      <w:keepNext w:val="true"/>
      <w:pBdr/>
      <w:tabs>
        <w:tab w:val="clear" w:leader="none" w:pos="708"/>
        <w:tab w:val="left" w:leader="dot" w:pos="9356"/>
      </w:tabs>
      <w:spacing w:after="0" w:before="120" w:line="252" w:lineRule="auto"/>
      <w:ind w:firstLine="567"/>
      <w:jc w:val="both"/>
    </w:pPr>
    <w:rPr>
      <w:sz w:val="26"/>
      <w:szCs w:val="26"/>
    </w:rPr>
  </w:style>
  <w:style w:type="paragraph" w:styleId="12077" w:customStyle="1">
    <w:name w:val="Body Text 21"/>
    <w:basedOn w:val="10533"/>
    <w:qFormat/>
    <w:pPr>
      <w:pBdr/>
      <w:tabs>
        <w:tab w:val="left" w:leader="none" w:pos="0"/>
        <w:tab w:val="clear" w:leader="none" w:pos="708"/>
      </w:tabs>
      <w:spacing w:after="0" w:before="60"/>
      <w:ind w:firstLine="720"/>
      <w:jc w:val="both"/>
    </w:pPr>
  </w:style>
  <w:style w:type="paragraph" w:styleId="12078" w:customStyle="1">
    <w:name w:val="xl22"/>
    <w:basedOn w:val="10533"/>
    <w:qFormat/>
    <w:pPr>
      <w:pBdr>
        <w:top w:val="single" w:color="000000" w:sz="8" w:space="0"/>
        <w:left w:val="single" w:color="000000" w:sz="4" w:space="0"/>
        <w:bottom w:val="single" w:color="000000" w:sz="4" w:space="0"/>
        <w:right w:val="single" w:color="000000" w:sz="4" w:space="0"/>
      </w:pBdr>
      <w:spacing w:afterAutospacing="1" w:beforeAutospacing="1"/>
      <w:ind/>
      <w:jc w:val="center"/>
    </w:pPr>
    <w:rPr>
      <w:rFonts w:eastAsia="Arial Unicode MS"/>
      <w:b/>
      <w:bCs/>
    </w:rPr>
  </w:style>
  <w:style w:type="paragraph" w:styleId="12079" w:customStyle="1">
    <w:name w:val="Обычный 13 Знак4"/>
    <w:basedOn w:val="10533"/>
    <w:qFormat/>
    <w:pPr>
      <w:keepNext w:val="true"/>
      <w:pBdr/>
      <w:tabs>
        <w:tab w:val="clear" w:leader="none" w:pos="708"/>
        <w:tab w:val="left" w:leader="dot" w:pos="9356"/>
      </w:tabs>
      <w:spacing w:after="0" w:before="120" w:line="252" w:lineRule="auto"/>
      <w:ind w:firstLine="567"/>
      <w:jc w:val="both"/>
    </w:pPr>
    <w:rPr>
      <w:b/>
      <w:bCs/>
      <w:sz w:val="26"/>
      <w:szCs w:val="26"/>
    </w:rPr>
  </w:style>
  <w:style w:type="paragraph" w:styleId="12081" w:customStyle="1">
    <w:name w:val="xl23"/>
    <w:basedOn w:val="10533"/>
    <w:qFormat/>
    <w:pPr>
      <w:pBdr>
        <w:top w:val="single" w:color="000000" w:sz="4" w:space="0"/>
        <w:left w:val="single" w:color="000000" w:sz="4" w:space="0"/>
        <w:right w:val="single" w:color="000000" w:sz="4" w:space="0"/>
      </w:pBdr>
      <w:spacing w:afterAutospacing="1" w:beforeAutospacing="1"/>
      <w:ind/>
      <w:jc w:val="center"/>
    </w:pPr>
    <w:rPr>
      <w:rFonts w:eastAsia="Arial Unicode MS"/>
      <w:b/>
      <w:bCs/>
    </w:rPr>
  </w:style>
  <w:style w:type="paragraph" w:styleId="12085" w:customStyle="1">
    <w:name w:val="подпись таблицы"/>
    <w:basedOn w:val="10533"/>
    <w:qFormat/>
    <w:pPr>
      <w:numPr>
        <w:ilvl w:val="0"/>
        <w:numId w:val="17"/>
      </w:numPr>
      <w:suppressLineNumbers w:val="true"/>
      <w:pBdr/>
      <w:tabs>
        <w:tab w:val="clear" w:leader="none" w:pos="708"/>
      </w:tabs>
      <w:spacing w:line="324" w:lineRule="auto"/>
      <w:ind w:firstLine="720" w:left="0"/>
      <w:jc w:val="center"/>
    </w:pPr>
    <w:rPr>
      <w:b/>
    </w:rPr>
  </w:style>
  <w:style w:type="paragraph" w:styleId="12087" w:customStyle="1">
    <w:name w:val="подпись рисунка"/>
    <w:basedOn w:val="10533"/>
    <w:qFormat/>
    <w:pPr>
      <w:widowControl w:val="false"/>
      <w:numPr>
        <w:ilvl w:val="0"/>
        <w:numId w:val="16"/>
      </w:numPr>
      <w:pBdr/>
      <w:shd w:val="clear" w:color="auto" w:fill="ffffff"/>
      <w:tabs>
        <w:tab w:val="left" w:leader="none" w:pos="0"/>
        <w:tab w:val="clear" w:leader="none" w:pos="708"/>
        <w:tab w:val="left" w:leader="none" w:pos="1560"/>
      </w:tabs>
      <w:spacing w:after="0" w:before="240"/>
      <w:ind w:firstLine="720" w:left="0"/>
      <w:jc w:val="center"/>
    </w:pPr>
    <w:rPr>
      <w:b/>
      <w:szCs w:val="20"/>
    </w:rPr>
  </w:style>
  <w:style w:type="paragraph" w:styleId="12090" w:customStyle="1">
    <w:name w:val="таблица"/>
    <w:basedOn w:val="11076"/>
    <w:link w:val="10833"/>
    <w:qFormat/>
    <w:pPr>
      <w:keepNext w:val="false"/>
      <w:numPr>
        <w:ilvl w:val="0"/>
        <w:numId w:val="20"/>
      </w:numPr>
      <w:pBdr/>
      <w:spacing w:after="0" w:before="120" w:line="240" w:lineRule="auto"/>
      <w:ind/>
      <w:jc w:val="center"/>
    </w:pPr>
    <w:rPr>
      <w:rFonts w:ascii="Times New Roman" w:hAnsi="Times New Roman" w:cs="Arial"/>
      <w:spacing w:val="0"/>
      <w:szCs w:val="20"/>
      <w:lang w:val="ru-RU" w:eastAsia="ru-RU" w:bidi="ar-SA"/>
    </w:rPr>
  </w:style>
  <w:style w:type="paragraph" w:styleId="12093" w:customStyle="1">
    <w:name w:val="Body Text 23"/>
    <w:basedOn w:val="10533"/>
    <w:qFormat/>
    <w:pPr>
      <w:suppressLineNumbers w:val="true"/>
      <w:pBdr/>
      <w:tabs>
        <w:tab w:val="clear" w:leader="none" w:pos="708"/>
        <w:tab w:val="left" w:leader="dot" w:pos="9639"/>
      </w:tabs>
      <w:spacing w:after="20" w:before="20"/>
      <w:ind/>
      <w:jc w:val="center"/>
    </w:pPr>
    <w:rPr>
      <w:sz w:val="20"/>
      <w:szCs w:val="20"/>
    </w:rPr>
  </w:style>
  <w:style w:type="paragraph" w:styleId="12094" w:customStyle="1">
    <w:name w:val="НПС"/>
    <w:basedOn w:val="10533"/>
    <w:link w:val="10686"/>
    <w:qFormat/>
    <w:pPr>
      <w:keepNext w:val="true"/>
      <w:pBdr/>
      <w:spacing/>
      <w:ind w:firstLine="709"/>
      <w:jc w:val="both"/>
    </w:pPr>
  </w:style>
  <w:style w:type="paragraph" w:styleId="12096" w:customStyle="1">
    <w:name w:val="Текст - 1"/>
    <w:basedOn w:val="14135"/>
    <w:link w:val="13533"/>
    <w:qFormat/>
    <w:pPr>
      <w:pBdr/>
      <w:tabs>
        <w:tab w:val="left" w:leader="dot" w:pos="540"/>
        <w:tab w:val="clear" w:leader="none" w:pos="9356"/>
      </w:tabs>
      <w:spacing w:after="0" w:before="120" w:line="240" w:lineRule="auto"/>
      <w:ind w:firstLine="547"/>
      <w:jc w:val="left"/>
    </w:pPr>
    <w:rPr>
      <w:rFonts w:ascii="Times New Roman CYR" w:hAnsi="Times New Roman CYR" w:cs="Times New Roman CYR"/>
      <w:b/>
      <w:sz w:val="24"/>
      <w:szCs w:val="24"/>
      <w:lang w:val="ru-RU" w:bidi="ar-SA"/>
    </w:rPr>
  </w:style>
  <w:style w:type="paragraph" w:styleId="12097" w:customStyle="1">
    <w:name w:val="FR3"/>
    <w:qFormat/>
    <w:pPr>
      <w:widowControl w:val="false"/>
      <w:pBdr/>
      <w:bidi w:val="false"/>
      <w:spacing w:after="0" w:before="0" w:line="240" w:lineRule="auto"/>
      <w:ind/>
      <w:jc w:val="center"/>
    </w:pPr>
    <w:rPr>
      <w:rFonts w:ascii="Arial" w:hAnsi="Arial" w:eastAsia="Times New Roman" w:cs="Times New Roman"/>
      <w:color w:val="auto"/>
      <w:sz w:val="24"/>
      <w:szCs w:val="20"/>
      <w:lang w:val="ru-RU" w:eastAsia="ru-RU" w:bidi="ar-SA"/>
    </w:rPr>
  </w:style>
  <w:style w:type="paragraph" w:styleId="12098" w:customStyle="1">
    <w:name w:val="Основной текст 211"/>
    <w:basedOn w:val="10533"/>
    <w:qFormat/>
    <w:pPr>
      <w:pBdr/>
      <w:spacing w:line="360" w:lineRule="auto"/>
      <w:ind w:firstLine="720"/>
    </w:pPr>
    <w:rPr>
      <w:rFonts w:ascii="Arial" w:hAnsi="Arial"/>
      <w:szCs w:val="20"/>
    </w:rPr>
  </w:style>
  <w:style w:type="paragraph" w:styleId="12099" w:customStyle="1">
    <w:name w:val="Таблица 2"/>
    <w:basedOn w:val="14085"/>
    <w:link w:val="13571"/>
    <w:qFormat/>
    <w:pPr>
      <w:pBdr/>
      <w:spacing/>
      <w:ind w:right="-76" w:left="-34"/>
    </w:pPr>
  </w:style>
  <w:style w:type="paragraph" w:styleId="12100" w:customStyle="1">
    <w:name w:val="Заголовок рис."/>
    <w:basedOn w:val="12044"/>
    <w:link w:val="10691"/>
    <w:qFormat/>
    <w:pPr>
      <w:suppressLineNumbers w:val="true"/>
      <w:pBdr/>
      <w:tabs>
        <w:tab w:val="left" w:leader="none" w:pos="709"/>
        <w:tab w:val="clear" w:leader="none" w:pos="851"/>
        <w:tab w:val="left" w:leader="none" w:pos="900"/>
        <w:tab w:val="left" w:leader="none" w:pos="1134"/>
      </w:tabs>
      <w:spacing w:after="0" w:before="60"/>
      <w:ind w:firstLine="288"/>
    </w:pPr>
    <w:rPr>
      <w:bCs w:val="0"/>
      <w:szCs w:val="20"/>
    </w:rPr>
  </w:style>
  <w:style w:type="paragraph" w:styleId="12101" w:customStyle="1">
    <w:name w:val="Текст-1"/>
    <w:basedOn w:val="12096"/>
    <w:link w:val="13632"/>
    <w:qFormat/>
    <w:pPr>
      <w:pBdr/>
      <w:spacing/>
      <w:ind/>
    </w:pPr>
  </w:style>
  <w:style w:type="paragraph" w:styleId="12102" w:customStyle="1">
    <w:name w:val="Рис-1"/>
    <w:basedOn w:val="12044"/>
    <w:link w:val="10694"/>
    <w:qFormat/>
    <w:pPr>
      <w:pBdr/>
      <w:spacing/>
      <w:ind/>
    </w:pPr>
  </w:style>
  <w:style w:type="paragraph" w:styleId="12104" w:customStyle="1">
    <w:name w:val="Таблица-1"/>
    <w:basedOn w:val="10533"/>
    <w:link w:val="10696"/>
    <w:qFormat/>
    <w:pPr>
      <w:pBdr/>
      <w:spacing/>
      <w:ind/>
      <w:jc w:val="center"/>
    </w:pPr>
    <w:rPr>
      <w:color w:val="000000"/>
      <w:sz w:val="20"/>
      <w:szCs w:val="20"/>
    </w:rPr>
  </w:style>
  <w:style w:type="paragraph" w:styleId="12105" w:customStyle="1">
    <w:name w:val="маркированный"/>
    <w:basedOn w:val="10533"/>
    <w:qFormat/>
    <w:pPr>
      <w:numPr>
        <w:ilvl w:val="0"/>
        <w:numId w:val="22"/>
      </w:numPr>
      <w:pBdr/>
      <w:tabs>
        <w:tab w:val="clear" w:leader="none" w:pos="708"/>
        <w:tab w:val="left" w:leader="none" w:pos="1134"/>
        <w:tab w:val="left" w:leader="none" w:pos="1418"/>
        <w:tab w:val="left" w:leader="none" w:pos="2266"/>
        <w:tab w:val="left" w:leader="none" w:pos="2832"/>
        <w:tab w:val="left" w:leader="none" w:pos="3399"/>
        <w:tab w:val="left" w:leader="none" w:pos="3965"/>
        <w:tab w:val="left" w:leader="none" w:pos="4531"/>
        <w:tab w:val="left" w:leader="none" w:pos="5098"/>
        <w:tab w:val="left" w:leader="none" w:pos="5664"/>
        <w:tab w:val="left" w:leader="none" w:pos="6231"/>
        <w:tab w:val="left" w:leader="none" w:pos="6797"/>
        <w:tab w:val="left" w:leader="none" w:pos="7363"/>
        <w:tab w:val="left" w:leader="none" w:pos="7930"/>
        <w:tab w:val="left" w:leader="none" w:pos="8496"/>
        <w:tab w:val="left" w:leader="none" w:pos="9063"/>
      </w:tabs>
      <w:spacing/>
      <w:ind/>
      <w:jc w:val="both"/>
    </w:pPr>
  </w:style>
  <w:style w:type="paragraph" w:styleId="12106" w:customStyle="1">
    <w:name w:val="Подрисуночная надпись Знак1 Знак Знак Знак"/>
    <w:basedOn w:val="10533"/>
    <w:qFormat/>
    <w:pPr>
      <w:keepNext w:val="true"/>
      <w:numPr>
        <w:ilvl w:val="0"/>
        <w:numId w:val="23"/>
      </w:numPr>
      <w:pBdr/>
      <w:tabs>
        <w:tab w:val="clear" w:leader="none" w:pos="708"/>
        <w:tab w:val="left" w:leader="none" w:pos="709"/>
        <w:tab w:val="left" w:leader="none" w:pos="851"/>
        <w:tab w:val="left" w:leader="none" w:pos="1418"/>
      </w:tabs>
      <w:spacing/>
      <w:ind/>
      <w:jc w:val="center"/>
    </w:pPr>
    <w:rPr>
      <w:b/>
      <w:szCs w:val="20"/>
    </w:rPr>
  </w:style>
  <w:style w:type="paragraph" w:styleId="12107" w:customStyle="1">
    <w:name w:val="Заголовок табл."/>
    <w:basedOn w:val="12038"/>
    <w:link w:val="10700"/>
    <w:qFormat/>
    <w:pPr>
      <w:widowControl w:val="false"/>
      <w:pBdr/>
      <w:tabs>
        <w:tab w:val="right" w:leader="none" w:pos="-3969"/>
        <w:tab w:val="left" w:leader="none" w:pos="426"/>
        <w:tab w:val="left" w:leader="none" w:pos="567"/>
        <w:tab w:val="left" w:leader="none" w:pos="1440"/>
        <w:tab w:val="left" w:leader="none" w:pos="3686"/>
        <w:tab w:val="left" w:leader="none" w:pos="5387"/>
        <w:tab w:val="left" w:leader="none" w:pos="5670"/>
        <w:tab w:val="clear" w:leader="none" w:pos="9356"/>
      </w:tabs>
      <w:spacing/>
      <w:ind w:firstLine="288" w:left="0"/>
    </w:pPr>
    <w:rPr>
      <w:bCs w:val="0"/>
    </w:rPr>
  </w:style>
  <w:style w:type="paragraph" w:styleId="12108" w:customStyle="1">
    <w:name w:val="Smart View 3"/>
    <w:basedOn w:val="10533"/>
    <w:qFormat/>
    <w:pPr>
      <w:keepNext w:val="true"/>
      <w:keepLines w:val="true"/>
      <w:pBdr/>
      <w:spacing w:after="0" w:before="0"/>
      <w:ind/>
      <w:contextualSpacing w:val="true"/>
    </w:pPr>
    <w:rPr>
      <w:rFonts w:ascii="Arial" w:hAnsi="Arial"/>
      <w:b/>
      <w:bCs/>
      <w:szCs w:val="28"/>
      <w:lang w:val="en-US" w:eastAsia="en-US"/>
    </w:rPr>
  </w:style>
  <w:style w:type="paragraph" w:styleId="12109" w:customStyle="1">
    <w:name w:val="Smart View"/>
    <w:basedOn w:val="10533"/>
    <w:qFormat/>
    <w:pPr>
      <w:pBdr/>
      <w:spacing w:after="0" w:before="0"/>
      <w:ind/>
      <w:contextualSpacing w:val="true"/>
    </w:pPr>
    <w:rPr>
      <w:rFonts w:ascii="Arial" w:hAnsi="Arial" w:eastAsia="Calibri"/>
      <w:sz w:val="20"/>
      <w:szCs w:val="20"/>
      <w:lang w:val="en-US" w:eastAsia="en-US"/>
    </w:rPr>
  </w:style>
  <w:style w:type="paragraph" w:styleId="12112" w:customStyle="1">
    <w:name w:val="Стиль По центру"/>
    <w:basedOn w:val="10533"/>
    <w:qFormat/>
    <w:pPr>
      <w:pBdr/>
      <w:spacing/>
      <w:ind/>
      <w:jc w:val="center"/>
    </w:pPr>
    <w:rPr>
      <w:szCs w:val="20"/>
    </w:rPr>
  </w:style>
  <w:style w:type="paragraph" w:styleId="12113" w:customStyle="1">
    <w:name w:val="Заголовок таблиц"/>
    <w:basedOn w:val="11055"/>
    <w:qFormat/>
    <w:pPr>
      <w:keepNext w:val="true"/>
      <w:keepLines w:val="true"/>
      <w:suppressLineNumbers w:val="true"/>
      <w:pBdr/>
      <w:spacing w:line="240" w:lineRule="auto"/>
      <w:ind w:firstLine="567"/>
    </w:pPr>
    <w:rPr>
      <w:rFonts w:ascii="Times New Roman" w:hAnsi="Times New Roman"/>
      <w:sz w:val="28"/>
      <w:szCs w:val="28"/>
      <w:lang w:val="ru-RU" w:eastAsia="ru-RU" w:bidi="ar-SA"/>
    </w:rPr>
  </w:style>
  <w:style w:type="paragraph" w:styleId="12115" w:customStyle="1">
    <w:name w:val="Стиль Обычный 13 Знак3 + Первая строка:  1 см"/>
    <w:basedOn w:val="10533"/>
    <w:qFormat/>
    <w:pPr>
      <w:keepNext w:val="true"/>
      <w:keepLines w:val="true"/>
      <w:suppressLineNumbers w:val="true"/>
      <w:pBdr/>
      <w:tabs>
        <w:tab w:val="clear" w:leader="none" w:pos="708"/>
        <w:tab w:val="left" w:leader="dot" w:pos="9356"/>
      </w:tabs>
      <w:spacing w:after="0" w:before="60" w:line="324" w:lineRule="auto"/>
      <w:ind w:firstLine="567"/>
      <w:jc w:val="both"/>
    </w:pPr>
    <w:rPr>
      <w:sz w:val="26"/>
      <w:szCs w:val="20"/>
    </w:rPr>
  </w:style>
  <w:style w:type="paragraph" w:styleId="12116" w:customStyle="1">
    <w:name w:val="основной текст"/>
    <w:basedOn w:val="10533"/>
    <w:qFormat/>
    <w:pPr>
      <w:keepNext w:val="true"/>
      <w:keepLines w:val="true"/>
      <w:suppressLineNumbers w:val="true"/>
      <w:pBdr/>
      <w:spacing w:line="324" w:lineRule="auto"/>
      <w:ind w:firstLine="567"/>
      <w:jc w:val="both"/>
    </w:pPr>
    <w:rPr>
      <w:sz w:val="26"/>
      <w:szCs w:val="20"/>
    </w:rPr>
  </w:style>
  <w:style w:type="paragraph" w:styleId="12119" w:customStyle="1">
    <w:name w:val="Стиль Заголовок 1"/>
    <w:basedOn w:val="10534"/>
    <w:qFormat/>
    <w:pPr>
      <w:keepNext w:val="true"/>
      <w:numPr>
        <w:ilvl w:val="0"/>
        <w:numId w:val="26"/>
      </w:numPr>
      <w:suppressLineNumbers w:val="true"/>
      <w:pBdr/>
      <w:spacing w:after="60" w:before="240" w:line="324" w:lineRule="auto"/>
      <w:ind/>
      <w:contextualSpacing w:val="false"/>
    </w:pPr>
    <w:rPr>
      <w:rFonts w:cs="Arial"/>
      <w:bCs/>
      <w:caps w:val="0"/>
      <w:smallCaps w:val="0"/>
      <w:spacing w:val="0"/>
      <w:sz w:val="24"/>
      <w:szCs w:val="32"/>
      <w:lang w:eastAsia="ru-RU" w:bidi="ar-SA"/>
    </w:rPr>
  </w:style>
  <w:style w:type="paragraph" w:styleId="12120" w:customStyle="1">
    <w:name w:val="Заголовок 3 + 13 пт не полужирный Авто По левому краю сни..."/>
    <w:basedOn w:val="10536"/>
    <w:qFormat/>
    <w:pPr>
      <w:keepLines w:val="true"/>
      <w:numPr>
        <w:ilvl w:val="0"/>
        <w:numId w:val="0"/>
      </w:numPr>
      <w:pBdr/>
      <w:shd w:val="clear" w:color="auto" w:fill="ffffff"/>
      <w:tabs>
        <w:tab w:val="clear" w:leader="none" w:pos="708"/>
        <w:tab w:val="left" w:leader="none" w:pos="1134"/>
        <w:tab w:val="left" w:leader="none" w:pos="1260"/>
        <w:tab w:val="left" w:leader="none" w:pos="1440"/>
        <w:tab w:val="left" w:leader="dot" w:pos="9356"/>
        <w:tab w:val="left" w:leader="dot" w:pos="9639"/>
      </w:tabs>
      <w:spacing w:after="60" w:before="60" w:line="240" w:lineRule="auto"/>
      <w:ind w:firstLine="170" w:left="1151"/>
      <w:jc w:val="both"/>
    </w:pPr>
    <w:rPr>
      <w:rFonts w:cs="Times New Roman"/>
      <w:b w:val="0"/>
      <w:bCs/>
      <w:i/>
      <w:iCs w:val="0"/>
      <w:lang w:eastAsia="ru-RU" w:bidi="ar-SA"/>
    </w:rPr>
  </w:style>
  <w:style w:type="paragraph" w:styleId="12121" w:customStyle="1">
    <w:name w:val="Стиль Заголовок 1Заголовок 1 (табл)заголовок 1Заголовок 1 Знакз..."/>
    <w:basedOn w:val="10534"/>
    <w:qFormat/>
    <w:pPr>
      <w:keepNext w:val="true"/>
      <w:widowControl w:val="false"/>
      <w:numPr>
        <w:ilvl w:val="0"/>
        <w:numId w:val="0"/>
      </w:numPr>
      <w:pBdr/>
      <w:tabs>
        <w:tab w:val="clear" w:leader="none" w:pos="0"/>
        <w:tab w:val="left" w:leader="none" w:pos="556"/>
        <w:tab w:val="clear" w:leader="none" w:pos="736"/>
        <w:tab w:val="left" w:leader="none" w:pos="1080"/>
      </w:tabs>
      <w:spacing w:after="0" w:before="0" w:line="240" w:lineRule="auto"/>
      <w:ind w:hanging="72" w:left="556"/>
      <w:contextualSpacing w:val="false"/>
    </w:pPr>
    <w:rPr>
      <w:rFonts w:cs="Arial"/>
      <w:b w:val="0"/>
      <w:bCs/>
      <w:caps/>
      <w:spacing w:val="0"/>
      <w:szCs w:val="20"/>
      <w:lang w:eastAsia="ru-RU" w:bidi="ar-SA"/>
    </w:rPr>
  </w:style>
  <w:style w:type="paragraph" w:styleId="12122" w:customStyle="1">
    <w:name w:val="Style1"/>
    <w:basedOn w:val="10533"/>
    <w:qFormat/>
    <w:pPr>
      <w:widowControl w:val="false"/>
      <w:pBdr/>
      <w:spacing/>
      <w:ind/>
    </w:pPr>
    <w:rPr>
      <w:rFonts w:ascii="Century Schoolbook" w:hAnsi="Century Schoolbook"/>
    </w:rPr>
  </w:style>
  <w:style w:type="paragraph" w:styleId="12123" w:customStyle="1">
    <w:name w:val="1. Заголовок"/>
    <w:basedOn w:val="10534"/>
    <w:link w:val="10710"/>
    <w:qFormat/>
    <w:pPr>
      <w:keepNext w:val="true"/>
      <w:keepLines w:val="true"/>
      <w:numPr>
        <w:ilvl w:val="0"/>
        <w:numId w:val="0"/>
      </w:numPr>
      <w:suppressLineNumbers w:val="true"/>
      <w:pBdr/>
      <w:tabs>
        <w:tab w:val="clear" w:leader="none" w:pos="0"/>
        <w:tab w:val="left" w:leader="none" w:pos="643"/>
        <w:tab w:val="clear" w:leader="none" w:pos="736"/>
        <w:tab w:val="left" w:leader="dot" w:pos="9356"/>
      </w:tabs>
      <w:spacing w:after="120" w:before="120" w:line="240" w:lineRule="auto"/>
      <w:ind w:hanging="360" w:left="643"/>
      <w:contextualSpacing w:val="false"/>
    </w:pPr>
    <w:rPr>
      <w:caps/>
      <w:spacing w:val="0"/>
      <w:szCs w:val="26"/>
      <w:lang w:bidi="ar-SA"/>
    </w:rPr>
  </w:style>
  <w:style w:type="paragraph" w:styleId="12124" w:customStyle="1">
    <w:name w:val="отчетный"/>
    <w:basedOn w:val="10533"/>
    <w:link w:val="10712"/>
    <w:qFormat/>
    <w:pPr>
      <w:suppressLineNumbers w:val="true"/>
      <w:pBdr/>
      <w:tabs>
        <w:tab w:val="left" w:leader="dot" w:pos="540"/>
        <w:tab w:val="clear" w:leader="none" w:pos="708"/>
      </w:tabs>
      <w:spacing w:after="0" w:before="120"/>
      <w:ind w:firstLine="539"/>
      <w:jc w:val="both"/>
    </w:pPr>
    <w:rPr>
      <w:rFonts w:ascii="Times New Roman CYR" w:hAnsi="Times New Roman CYR"/>
      <w:sz w:val="26"/>
      <w:szCs w:val="26"/>
      <w:lang w:eastAsia="en-US"/>
    </w:rPr>
  </w:style>
  <w:style w:type="paragraph" w:styleId="12125">
    <w:name w:val="HTML Top of Form"/>
    <w:basedOn w:val="10533"/>
    <w:next w:val="10533"/>
    <w:link w:val="10713"/>
    <w:uiPriority w:val="99"/>
    <w:unhideWhenUsed/>
    <w:qFormat/>
    <w:pPr>
      <w:pBdr>
        <w:bottom w:val="single" w:color="000000" w:sz="6" w:space="1"/>
      </w:pBdr>
      <w:spacing/>
      <w:ind/>
      <w:jc w:val="center"/>
    </w:pPr>
    <w:rPr>
      <w:rFonts w:ascii="Arial" w:hAnsi="Arial" w:cs="Arial"/>
      <w:vanish/>
      <w:sz w:val="16"/>
      <w:szCs w:val="16"/>
    </w:rPr>
  </w:style>
  <w:style w:type="paragraph" w:styleId="12126">
    <w:name w:val="HTML Bottom of Form"/>
    <w:basedOn w:val="10533"/>
    <w:next w:val="10533"/>
    <w:link w:val="10714"/>
    <w:uiPriority w:val="99"/>
    <w:unhideWhenUsed/>
    <w:qFormat/>
    <w:pPr>
      <w:pBdr>
        <w:top w:val="single" w:color="000000" w:sz="6" w:space="1"/>
      </w:pBdr>
      <w:spacing/>
      <w:ind/>
      <w:jc w:val="center"/>
    </w:pPr>
    <w:rPr>
      <w:rFonts w:ascii="Arial" w:hAnsi="Arial" w:cs="Arial"/>
      <w:vanish/>
      <w:sz w:val="16"/>
      <w:szCs w:val="16"/>
    </w:rPr>
  </w:style>
  <w:style w:type="paragraph" w:styleId="12127" w:customStyle="1">
    <w:name w:val="Для записок"/>
    <w:basedOn w:val="10533"/>
    <w:qFormat/>
    <w:pPr>
      <w:pBdr/>
      <w:spacing w:after="0" w:before="120"/>
      <w:ind w:firstLine="720"/>
      <w:jc w:val="both"/>
    </w:pPr>
    <w:rPr>
      <w:szCs w:val="20"/>
    </w:rPr>
  </w:style>
  <w:style w:type="paragraph" w:styleId="12128" w:customStyle="1">
    <w:name w:val="maintext"/>
    <w:basedOn w:val="10533"/>
    <w:qFormat/>
    <w:pPr>
      <w:pBdr/>
      <w:spacing/>
      <w:ind w:right="480" w:left="480"/>
      <w:jc w:val="both"/>
    </w:pPr>
    <w:rPr>
      <w:rFonts w:ascii="Arial" w:hAnsi="Arial" w:cs="Arial"/>
      <w:color w:val="202020"/>
      <w:sz w:val="20"/>
      <w:szCs w:val="20"/>
    </w:rPr>
  </w:style>
  <w:style w:type="paragraph" w:styleId="12129" w:customStyle="1">
    <w:name w:val="maintextbi"/>
    <w:basedOn w:val="10533"/>
    <w:qFormat/>
    <w:pPr>
      <w:pBdr/>
      <w:spacing/>
      <w:ind w:right="480" w:left="480"/>
      <w:jc w:val="center"/>
    </w:pPr>
    <w:rPr>
      <w:rFonts w:ascii="Arial" w:hAnsi="Arial" w:cs="Arial"/>
      <w:b/>
      <w:bCs/>
      <w:i/>
      <w:iCs/>
      <w:color w:val="202020"/>
      <w:sz w:val="20"/>
      <w:szCs w:val="20"/>
    </w:rPr>
  </w:style>
  <w:style w:type="paragraph" w:styleId="12130" w:customStyle="1">
    <w:name w:val="xl1985"/>
    <w:basedOn w:val="10533"/>
    <w:qFormat/>
    <w:pPr>
      <w:pBdr/>
      <w:spacing w:afterAutospacing="1" w:beforeAutospacing="1"/>
      <w:ind/>
      <w:jc w:val="center"/>
    </w:pPr>
    <w:rPr>
      <w:sz w:val="20"/>
      <w:szCs w:val="20"/>
    </w:rPr>
  </w:style>
  <w:style w:type="paragraph" w:styleId="12131" w:customStyle="1">
    <w:name w:val="xl1986"/>
    <w:basedOn w:val="10533"/>
    <w:qFormat/>
    <w:pPr>
      <w:pBdr/>
      <w:spacing w:afterAutospacing="1" w:beforeAutospacing="1"/>
      <w:ind/>
    </w:pPr>
    <w:rPr>
      <w:sz w:val="20"/>
      <w:szCs w:val="20"/>
    </w:rPr>
  </w:style>
  <w:style w:type="paragraph" w:styleId="12132" w:customStyle="1">
    <w:name w:val="xl1987"/>
    <w:basedOn w:val="10533"/>
    <w:qFormat/>
    <w:pPr>
      <w:pBdr/>
      <w:spacing w:afterAutospacing="1" w:beforeAutospacing="1"/>
      <w:ind/>
    </w:pPr>
    <w:rPr>
      <w:sz w:val="20"/>
      <w:szCs w:val="20"/>
    </w:rPr>
  </w:style>
  <w:style w:type="paragraph" w:styleId="12133" w:customStyle="1">
    <w:name w:val="xl1988"/>
    <w:basedOn w:val="10533"/>
    <w:qFormat/>
    <w:pPr>
      <w:pBdr>
        <w:top w:val="single" w:color="000000" w:sz="8" w:space="0"/>
        <w:left w:val="single" w:color="000000" w:sz="8" w:space="0"/>
      </w:pBdr>
      <w:shd w:val="clear" w:color="000000" w:fill="ffffff"/>
      <w:spacing w:afterAutospacing="1" w:beforeAutospacing="1"/>
      <w:ind/>
      <w:jc w:val="center"/>
    </w:pPr>
    <w:rPr>
      <w:b/>
      <w:bCs/>
      <w:color w:val="000000"/>
      <w:sz w:val="20"/>
      <w:szCs w:val="20"/>
    </w:rPr>
  </w:style>
  <w:style w:type="paragraph" w:styleId="12134" w:customStyle="1">
    <w:name w:val="xl1989"/>
    <w:basedOn w:val="10533"/>
    <w:qFormat/>
    <w:pPr>
      <w:pBdr>
        <w:top w:val="single" w:color="000000" w:sz="8" w:space="0"/>
        <w:left w:val="single" w:color="000000" w:sz="8" w:space="0"/>
        <w:right w:val="single" w:color="000000" w:sz="8" w:space="0"/>
      </w:pBdr>
      <w:shd w:val="clear" w:color="000000" w:fill="ffffff"/>
      <w:spacing w:afterAutospacing="1" w:beforeAutospacing="1"/>
      <w:ind/>
      <w:jc w:val="center"/>
    </w:pPr>
    <w:rPr>
      <w:b/>
      <w:bCs/>
      <w:color w:val="000000"/>
      <w:sz w:val="20"/>
      <w:szCs w:val="20"/>
    </w:rPr>
  </w:style>
  <w:style w:type="paragraph" w:styleId="12135" w:customStyle="1">
    <w:name w:val="xl1990"/>
    <w:basedOn w:val="10533"/>
    <w:qFormat/>
    <w:pPr>
      <w:pBdr>
        <w:top w:val="single" w:color="000000" w:sz="8" w:space="0"/>
        <w:left w:val="single" w:color="000000" w:sz="8" w:space="0"/>
        <w:bottom w:val="single" w:color="000000" w:sz="8" w:space="0"/>
      </w:pBdr>
      <w:shd w:val="clear" w:color="000000" w:fill="ffffff"/>
      <w:spacing w:afterAutospacing="1" w:beforeAutospacing="1"/>
      <w:ind/>
      <w:jc w:val="center"/>
    </w:pPr>
    <w:rPr>
      <w:b/>
      <w:bCs/>
      <w:color w:val="000000"/>
      <w:sz w:val="20"/>
      <w:szCs w:val="20"/>
    </w:rPr>
  </w:style>
  <w:style w:type="paragraph" w:styleId="12136" w:customStyle="1">
    <w:name w:val="xl1991"/>
    <w:basedOn w:val="10533"/>
    <w:qFormat/>
    <w:pPr>
      <w:pBdr>
        <w:top w:val="single" w:color="000000" w:sz="8" w:space="0"/>
        <w:bottom w:val="single" w:color="000000" w:sz="8" w:space="0"/>
        <w:right w:val="single" w:color="000000" w:sz="8" w:space="0"/>
      </w:pBdr>
      <w:shd w:val="clear" w:color="000000" w:fill="ffffff"/>
      <w:spacing w:afterAutospacing="1" w:beforeAutospacing="1"/>
      <w:ind/>
      <w:jc w:val="center"/>
    </w:pPr>
    <w:rPr>
      <w:b/>
      <w:bCs/>
      <w:color w:val="000000"/>
      <w:sz w:val="20"/>
      <w:szCs w:val="20"/>
    </w:rPr>
  </w:style>
  <w:style w:type="paragraph" w:styleId="12137" w:customStyle="1">
    <w:name w:val="xl1992"/>
    <w:basedOn w:val="10533"/>
    <w:qFormat/>
    <w:pPr>
      <w:pBdr>
        <w:top w:val="single" w:color="000000" w:sz="8" w:space="0"/>
        <w:left w:val="single" w:color="000000" w:sz="8" w:space="0"/>
      </w:pBdr>
      <w:shd w:val="clear" w:color="000000" w:fill="ffffff"/>
      <w:spacing w:afterAutospacing="1" w:beforeAutospacing="1"/>
      <w:ind/>
      <w:jc w:val="center"/>
    </w:pPr>
    <w:rPr>
      <w:color w:val="000000"/>
      <w:sz w:val="20"/>
      <w:szCs w:val="20"/>
    </w:rPr>
  </w:style>
  <w:style w:type="paragraph" w:styleId="12138" w:customStyle="1">
    <w:name w:val="xl1993"/>
    <w:basedOn w:val="10533"/>
    <w:qFormat/>
    <w:pPr>
      <w:pBdr>
        <w:top w:val="single" w:color="000000" w:sz="8" w:space="0"/>
        <w:left w:val="single" w:color="000000" w:sz="8" w:space="0"/>
        <w:right w:val="single" w:color="000000" w:sz="8" w:space="0"/>
      </w:pBdr>
      <w:shd w:val="clear" w:color="000000" w:fill="ffffff"/>
      <w:spacing w:afterAutospacing="1" w:beforeAutospacing="1"/>
      <w:ind/>
    </w:pPr>
    <w:rPr>
      <w:color w:val="000000"/>
      <w:sz w:val="20"/>
      <w:szCs w:val="20"/>
    </w:rPr>
  </w:style>
  <w:style w:type="paragraph" w:styleId="12139" w:customStyle="1">
    <w:name w:val="xl1994"/>
    <w:basedOn w:val="10533"/>
    <w:qFormat/>
    <w:pPr>
      <w:pBdr>
        <w:top w:val="single" w:color="000000" w:sz="8" w:space="0"/>
        <w:left w:val="single" w:color="000000" w:sz="8" w:space="0"/>
        <w:bottom w:val="single" w:color="000000" w:sz="8" w:space="0"/>
      </w:pBdr>
      <w:shd w:val="clear" w:color="000000" w:fill="ffffff"/>
      <w:spacing w:afterAutospacing="1" w:beforeAutospacing="1"/>
      <w:ind/>
      <w:jc w:val="center"/>
    </w:pPr>
    <w:rPr>
      <w:color w:val="000000"/>
      <w:sz w:val="20"/>
      <w:szCs w:val="20"/>
    </w:rPr>
  </w:style>
  <w:style w:type="paragraph" w:styleId="12140" w:customStyle="1">
    <w:name w:val="xl1995"/>
    <w:basedOn w:val="10533"/>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ind/>
    </w:pPr>
    <w:rPr>
      <w:color w:val="000000"/>
      <w:sz w:val="20"/>
      <w:szCs w:val="20"/>
    </w:rPr>
  </w:style>
  <w:style w:type="paragraph" w:styleId="12141" w:customStyle="1">
    <w:name w:val="xl1996"/>
    <w:basedOn w:val="10533"/>
    <w:qFormat/>
    <w:pPr>
      <w:pBdr>
        <w:top w:val="single" w:color="000000" w:sz="8" w:space="0"/>
      </w:pBdr>
      <w:shd w:val="clear" w:color="000000" w:fill="ffffff"/>
      <w:spacing w:afterAutospacing="1" w:beforeAutospacing="1"/>
      <w:ind/>
      <w:jc w:val="center"/>
    </w:pPr>
    <w:rPr>
      <w:b/>
      <w:bCs/>
      <w:color w:val="000000"/>
      <w:sz w:val="20"/>
      <w:szCs w:val="20"/>
    </w:rPr>
  </w:style>
  <w:style w:type="paragraph" w:styleId="12142" w:customStyle="1">
    <w:name w:val="xl1997"/>
    <w:basedOn w:val="10533"/>
    <w:qFormat/>
    <w:pPr>
      <w:pBdr>
        <w:top w:val="single" w:color="000000" w:sz="8" w:space="0"/>
        <w:left w:val="single" w:color="000000" w:sz="8" w:space="0"/>
      </w:pBdr>
      <w:shd w:val="clear" w:color="000000" w:fill="ffffff"/>
      <w:spacing w:afterAutospacing="1" w:beforeAutospacing="1"/>
      <w:ind/>
    </w:pPr>
    <w:rPr>
      <w:b/>
      <w:bCs/>
      <w:color w:val="000000"/>
      <w:sz w:val="20"/>
      <w:szCs w:val="20"/>
    </w:rPr>
  </w:style>
  <w:style w:type="paragraph" w:styleId="12143" w:customStyle="1">
    <w:name w:val="xl1998"/>
    <w:basedOn w:val="10533"/>
    <w:qFormat/>
    <w:pPr>
      <w:pBdr>
        <w:top w:val="single" w:color="000000" w:sz="8" w:space="0"/>
      </w:pBdr>
      <w:shd w:val="clear" w:color="000000" w:fill="ffffff"/>
      <w:spacing w:afterAutospacing="1" w:beforeAutospacing="1"/>
      <w:ind/>
      <w:jc w:val="center"/>
    </w:pPr>
    <w:rPr>
      <w:color w:val="000000"/>
      <w:sz w:val="20"/>
      <w:szCs w:val="20"/>
    </w:rPr>
  </w:style>
  <w:style w:type="paragraph" w:styleId="12144" w:customStyle="1">
    <w:name w:val="xl1999"/>
    <w:basedOn w:val="10533"/>
    <w:qFormat/>
    <w:pPr>
      <w:pBdr>
        <w:top w:val="single" w:color="000000" w:sz="8" w:space="0"/>
        <w:left w:val="single" w:color="000000" w:sz="8" w:space="0"/>
      </w:pBdr>
      <w:shd w:val="clear" w:color="000000" w:fill="ffffff"/>
      <w:spacing w:afterAutospacing="1" w:beforeAutospacing="1"/>
      <w:ind/>
    </w:pPr>
    <w:rPr>
      <w:color w:val="000000"/>
      <w:sz w:val="20"/>
      <w:szCs w:val="20"/>
    </w:rPr>
  </w:style>
  <w:style w:type="paragraph" w:styleId="12145" w:customStyle="1">
    <w:name w:val="xl2000"/>
    <w:basedOn w:val="10533"/>
    <w:qFormat/>
    <w:pPr>
      <w:pBdr>
        <w:top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46" w:customStyle="1">
    <w:name w:val="xl2001"/>
    <w:basedOn w:val="10533"/>
    <w:qFormat/>
    <w:pPr>
      <w:pBdr>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47" w:customStyle="1">
    <w:name w:val="xl2002"/>
    <w:basedOn w:val="10533"/>
    <w:qFormat/>
    <w:pPr>
      <w:pBdr>
        <w:left w:val="single" w:color="000000" w:sz="8" w:space="0"/>
      </w:pBdr>
      <w:shd w:val="clear" w:color="000000" w:fill="ffffff"/>
      <w:spacing w:afterAutospacing="1" w:beforeAutospacing="1"/>
      <w:ind/>
    </w:pPr>
    <w:rPr>
      <w:color w:val="000000"/>
      <w:sz w:val="20"/>
      <w:szCs w:val="20"/>
    </w:rPr>
  </w:style>
  <w:style w:type="paragraph" w:styleId="12148" w:customStyle="1">
    <w:name w:val="xl2003"/>
    <w:basedOn w:val="10533"/>
    <w:qFormat/>
    <w:pPr>
      <w:pBdr>
        <w:top w:val="single" w:color="000000" w:sz="8" w:space="0"/>
        <w:bottom w:val="single" w:color="000000" w:sz="8" w:space="0"/>
      </w:pBdr>
      <w:shd w:val="clear" w:color="000000" w:fill="ffffff"/>
      <w:spacing w:afterAutospacing="1" w:beforeAutospacing="1"/>
      <w:ind/>
      <w:jc w:val="center"/>
    </w:pPr>
    <w:rPr>
      <w:color w:val="000000"/>
      <w:sz w:val="20"/>
      <w:szCs w:val="20"/>
    </w:rPr>
  </w:style>
  <w:style w:type="paragraph" w:styleId="12149" w:customStyle="1">
    <w:name w:val="xl2004"/>
    <w:basedOn w:val="10533"/>
    <w:qFormat/>
    <w:pPr>
      <w:pBdr>
        <w:top w:val="single" w:color="000000" w:sz="8" w:space="0"/>
        <w:left w:val="single" w:color="000000" w:sz="8" w:space="0"/>
        <w:bottom w:val="single" w:color="000000" w:sz="8" w:space="0"/>
      </w:pBdr>
      <w:shd w:val="clear" w:color="000000" w:fill="ffffff"/>
      <w:spacing w:afterAutospacing="1" w:beforeAutospacing="1"/>
      <w:ind/>
    </w:pPr>
    <w:rPr>
      <w:color w:val="000000"/>
      <w:sz w:val="20"/>
      <w:szCs w:val="20"/>
    </w:rPr>
  </w:style>
  <w:style w:type="paragraph" w:styleId="12150" w:customStyle="1">
    <w:name w:val="xl2005"/>
    <w:basedOn w:val="10533"/>
    <w:qFormat/>
    <w:pPr>
      <w:pBdr>
        <w:right w:val="single" w:color="000000" w:sz="8" w:space="0"/>
      </w:pBdr>
      <w:shd w:val="clear" w:color="000000" w:fill="ffffff"/>
      <w:spacing w:afterAutospacing="1" w:beforeAutospacing="1"/>
      <w:ind/>
      <w:jc w:val="center"/>
    </w:pPr>
    <w:rPr>
      <w:color w:val="000000"/>
      <w:sz w:val="20"/>
      <w:szCs w:val="20"/>
    </w:rPr>
  </w:style>
  <w:style w:type="paragraph" w:styleId="12151" w:customStyle="1">
    <w:name w:val="xl2006"/>
    <w:basedOn w:val="10533"/>
    <w:qFormat/>
    <w:pPr>
      <w:pBdr>
        <w:top w:val="single" w:color="000000" w:sz="8" w:space="0"/>
        <w:left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52" w:customStyle="1">
    <w:name w:val="xl2007"/>
    <w:basedOn w:val="10533"/>
    <w:qFormat/>
    <w:pPr>
      <w:pBdr>
        <w:left w:val="single" w:color="000000" w:sz="8" w:space="0"/>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53" w:customStyle="1">
    <w:name w:val="xl2008"/>
    <w:basedOn w:val="10533"/>
    <w:qFormat/>
    <w:pPr>
      <w:pBdr>
        <w:left w:val="single" w:color="000000" w:sz="8" w:space="0"/>
        <w:right w:val="single" w:color="000000" w:sz="8" w:space="0"/>
      </w:pBdr>
      <w:shd w:val="clear" w:color="000000" w:fill="ffffff"/>
      <w:spacing w:afterAutospacing="1" w:beforeAutospacing="1"/>
      <w:ind/>
    </w:pPr>
    <w:rPr>
      <w:color w:val="000000"/>
      <w:sz w:val="20"/>
      <w:szCs w:val="20"/>
    </w:rPr>
  </w:style>
  <w:style w:type="paragraph" w:styleId="12154" w:customStyle="1">
    <w:name w:val="xl2009"/>
    <w:basedOn w:val="10533"/>
    <w:qFormat/>
    <w:pPr>
      <w:pBdr/>
      <w:shd w:val="clear" w:color="000000" w:fill="ffffff"/>
      <w:spacing w:afterAutospacing="1" w:beforeAutospacing="1"/>
      <w:ind/>
      <w:jc w:val="center"/>
    </w:pPr>
    <w:rPr>
      <w:color w:val="000000"/>
      <w:sz w:val="20"/>
      <w:szCs w:val="20"/>
    </w:rPr>
  </w:style>
  <w:style w:type="paragraph" w:styleId="12155" w:customStyle="1">
    <w:name w:val="xl2010"/>
    <w:basedOn w:val="10533"/>
    <w:qFormat/>
    <w:pPr>
      <w:pBdr>
        <w:left w:val="single" w:color="000000" w:sz="8" w:space="0"/>
        <w:bottom w:val="single" w:color="000000" w:sz="8" w:space="0"/>
      </w:pBdr>
      <w:shd w:val="clear" w:color="000000" w:fill="ffffff"/>
      <w:spacing w:afterAutospacing="1" w:beforeAutospacing="1"/>
      <w:ind/>
    </w:pPr>
    <w:rPr>
      <w:color w:val="000000"/>
      <w:sz w:val="20"/>
      <w:szCs w:val="20"/>
    </w:rPr>
  </w:style>
  <w:style w:type="paragraph" w:styleId="12156" w:customStyle="1">
    <w:name w:val="xl2011"/>
    <w:basedOn w:val="10533"/>
    <w:qFormat/>
    <w:pPr>
      <w:pBdr>
        <w:left w:val="single" w:color="000000" w:sz="8" w:space="0"/>
        <w:bottom w:val="single" w:color="000000" w:sz="8" w:space="0"/>
        <w:right w:val="single" w:color="000000" w:sz="8" w:space="0"/>
      </w:pBdr>
      <w:shd w:val="clear" w:color="000000" w:fill="ffffff"/>
      <w:spacing w:afterAutospacing="1" w:beforeAutospacing="1"/>
      <w:ind/>
    </w:pPr>
    <w:rPr>
      <w:color w:val="000000"/>
      <w:sz w:val="20"/>
      <w:szCs w:val="20"/>
    </w:rPr>
  </w:style>
  <w:style w:type="paragraph" w:styleId="12157" w:customStyle="1">
    <w:name w:val="xl2012"/>
    <w:basedOn w:val="10533"/>
    <w:qFormat/>
    <w:pPr>
      <w:pBdr>
        <w:left w:val="single" w:color="000000" w:sz="8" w:space="0"/>
      </w:pBdr>
      <w:shd w:val="clear" w:color="000000" w:fill="ffffff"/>
      <w:spacing w:afterAutospacing="1" w:beforeAutospacing="1"/>
      <w:ind/>
    </w:pPr>
    <w:rPr>
      <w:b/>
      <w:bCs/>
      <w:color w:val="000000"/>
      <w:sz w:val="20"/>
      <w:szCs w:val="20"/>
    </w:rPr>
  </w:style>
  <w:style w:type="paragraph" w:styleId="12158" w:customStyle="1">
    <w:name w:val="xl2013"/>
    <w:basedOn w:val="10533"/>
    <w:qFormat/>
    <w:pPr>
      <w:pBdr>
        <w:right w:val="single" w:color="000000" w:sz="8" w:space="0"/>
      </w:pBdr>
      <w:shd w:val="clear" w:color="000000" w:fill="ffffff"/>
      <w:spacing w:afterAutospacing="1" w:beforeAutospacing="1"/>
      <w:ind/>
      <w:jc w:val="center"/>
    </w:pPr>
    <w:rPr>
      <w:color w:val="000000"/>
      <w:sz w:val="20"/>
      <w:szCs w:val="20"/>
    </w:rPr>
  </w:style>
  <w:style w:type="paragraph" w:styleId="12159" w:customStyle="1">
    <w:name w:val="xl2014"/>
    <w:basedOn w:val="10533"/>
    <w:qFormat/>
    <w:pPr>
      <w:pBdr>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0" w:customStyle="1">
    <w:name w:val="xl2015"/>
    <w:basedOn w:val="10533"/>
    <w:qFormat/>
    <w:pPr>
      <w:pBdr>
        <w:left w:val="single" w:color="000000" w:sz="8" w:space="0"/>
        <w:bottom w:val="single" w:color="000000" w:sz="8" w:space="0"/>
      </w:pBdr>
      <w:shd w:val="clear" w:color="000000" w:fill="ffffff"/>
      <w:spacing w:afterAutospacing="1" w:beforeAutospacing="1"/>
      <w:ind/>
      <w:jc w:val="center"/>
    </w:pPr>
    <w:rPr>
      <w:sz w:val="20"/>
      <w:szCs w:val="20"/>
    </w:rPr>
  </w:style>
  <w:style w:type="paragraph" w:styleId="12161" w:customStyle="1">
    <w:name w:val="xl2016"/>
    <w:basedOn w:val="10533"/>
    <w:qFormat/>
    <w:pPr>
      <w:pBdr>
        <w:right w:val="single" w:color="000000" w:sz="8" w:space="0"/>
      </w:pBdr>
      <w:shd w:val="clear" w:color="000000" w:fill="ffffff"/>
      <w:spacing w:afterAutospacing="1" w:beforeAutospacing="1"/>
      <w:ind/>
      <w:jc w:val="center"/>
    </w:pPr>
    <w:rPr>
      <w:b/>
      <w:bCs/>
      <w:color w:val="000000"/>
      <w:sz w:val="20"/>
      <w:szCs w:val="20"/>
    </w:rPr>
  </w:style>
  <w:style w:type="paragraph" w:styleId="12162" w:customStyle="1">
    <w:name w:val="xl2017"/>
    <w:basedOn w:val="10533"/>
    <w:qFormat/>
    <w:pPr>
      <w:pBdr>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3" w:customStyle="1">
    <w:name w:val="xl2018"/>
    <w:basedOn w:val="10533"/>
    <w:qFormat/>
    <w:pPr>
      <w:pBdr>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4" w:customStyle="1">
    <w:name w:val="xl2019"/>
    <w:basedOn w:val="10533"/>
    <w:qFormat/>
    <w:pPr>
      <w:pBdr>
        <w:top w:val="single" w:color="000000" w:sz="8" w:space="0"/>
        <w:left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5" w:customStyle="1">
    <w:name w:val="xl2020"/>
    <w:basedOn w:val="10533"/>
    <w:qFormat/>
    <w:pPr>
      <w:pBdr>
        <w:left w:val="single" w:color="000000" w:sz="8" w:space="0"/>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6" w:customStyle="1">
    <w:name w:val="xl2021"/>
    <w:basedOn w:val="10533"/>
    <w:qFormat/>
    <w:pPr>
      <w:pBdr>
        <w:top w:val="single" w:color="000000" w:sz="8" w:space="0"/>
        <w:left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7" w:customStyle="1">
    <w:name w:val="xl2022"/>
    <w:basedOn w:val="10533"/>
    <w:qFormat/>
    <w:pPr>
      <w:pBdr>
        <w:left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8" w:customStyle="1">
    <w:name w:val="xl2023"/>
    <w:basedOn w:val="10533"/>
    <w:qFormat/>
    <w:pPr>
      <w:pBdr>
        <w:left w:val="single" w:color="000000" w:sz="8" w:space="0"/>
        <w:bottom w:val="single" w:color="000000" w:sz="8" w:space="0"/>
        <w:right w:val="single" w:color="000000" w:sz="8" w:space="0"/>
      </w:pBdr>
      <w:shd w:val="clear" w:color="000000" w:fill="ffffff"/>
      <w:spacing w:afterAutospacing="1" w:beforeAutospacing="1"/>
      <w:ind/>
      <w:jc w:val="center"/>
    </w:pPr>
    <w:rPr>
      <w:color w:val="000000"/>
      <w:sz w:val="20"/>
      <w:szCs w:val="20"/>
    </w:rPr>
  </w:style>
  <w:style w:type="paragraph" w:styleId="12169" w:customStyle="1">
    <w:name w:val="Основной текст (7)"/>
    <w:basedOn w:val="10533"/>
    <w:link w:val="10720"/>
    <w:qFormat/>
    <w:pPr>
      <w:widowControl w:val="false"/>
      <w:pBdr/>
      <w:shd w:val="clear" w:color="auto" w:fill="ffffff"/>
      <w:spacing w:line="0" w:lineRule="atLeast"/>
      <w:ind/>
      <w:jc w:val="center"/>
    </w:pPr>
    <w:rPr>
      <w:b/>
      <w:bCs/>
    </w:rPr>
  </w:style>
  <w:style w:type="paragraph" w:styleId="12171" w:customStyle="1">
    <w:name w:val="Содержимое таблицы (user)"/>
    <w:basedOn w:val="10533"/>
    <w:qFormat/>
    <w:pPr>
      <w:suppressLineNumbers w:val="true"/>
      <w:pBdr/>
      <w:spacing/>
      <w:ind/>
    </w:pPr>
    <w:rPr>
      <w:sz w:val="20"/>
      <w:szCs w:val="20"/>
      <w:lang w:eastAsia="ar-SA"/>
    </w:rPr>
  </w:style>
  <w:style w:type="paragraph" w:styleId="12173" w:customStyle="1">
    <w:name w:val="Основной текст (7)1"/>
    <w:basedOn w:val="10533"/>
    <w:qFormat/>
    <w:pPr>
      <w:widowControl w:val="false"/>
      <w:pBdr/>
      <w:shd w:val="clear" w:color="auto" w:fill="ffffff"/>
      <w:spacing w:line="0" w:lineRule="atLeast"/>
      <w:ind/>
      <w:jc w:val="center"/>
    </w:pPr>
    <w:rPr>
      <w:b/>
      <w:bCs/>
      <w:color w:val="000000"/>
      <w:lang w:bidi="ru-RU"/>
    </w:rPr>
  </w:style>
  <w:style w:type="paragraph" w:styleId="12174" w:customStyle="1">
    <w:name w:val="xl2096"/>
    <w:basedOn w:val="10533"/>
    <w:qFormat/>
    <w:pPr>
      <w:pBdr/>
      <w:spacing w:afterAutospacing="1" w:beforeAutospacing="1"/>
      <w:ind/>
      <w:jc w:val="center"/>
    </w:pPr>
    <w:rPr>
      <w:sz w:val="20"/>
      <w:szCs w:val="20"/>
    </w:rPr>
  </w:style>
  <w:style w:type="paragraph" w:styleId="12175" w:customStyle="1">
    <w:name w:val="xl2097"/>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176" w:customStyle="1">
    <w:name w:val="xl209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177" w:customStyle="1">
    <w:name w:val="xl209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178" w:customStyle="1">
    <w:name w:val="xl2100"/>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179" w:customStyle="1">
    <w:name w:val="xl2101"/>
    <w:basedOn w:val="10533"/>
    <w:qFormat/>
    <w:pPr>
      <w:pBdr/>
      <w:spacing w:afterAutospacing="1" w:beforeAutospacing="1"/>
      <w:ind/>
    </w:pPr>
    <w:rPr>
      <w:sz w:val="20"/>
      <w:szCs w:val="20"/>
    </w:rPr>
  </w:style>
  <w:style w:type="paragraph" w:styleId="12180" w:customStyle="1">
    <w:name w:val="xl210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181" w:customStyle="1">
    <w:name w:val="xl2103"/>
    <w:basedOn w:val="10533"/>
    <w:qFormat/>
    <w:pPr>
      <w:pBdr/>
      <w:shd w:val="clear" w:color="000000" w:fill="ffffff"/>
      <w:spacing w:afterAutospacing="1" w:beforeAutospacing="1"/>
      <w:ind/>
      <w:jc w:val="center"/>
    </w:pPr>
    <w:rPr>
      <w:b/>
      <w:bCs/>
      <w:sz w:val="20"/>
      <w:szCs w:val="20"/>
    </w:rPr>
  </w:style>
  <w:style w:type="paragraph" w:styleId="12182" w:customStyle="1">
    <w:name w:val="xl2104"/>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83" w:customStyle="1">
    <w:name w:val="xl2105"/>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84" w:customStyle="1">
    <w:name w:val="xl2106"/>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85" w:customStyle="1">
    <w:name w:val="xl2107"/>
    <w:basedOn w:val="10533"/>
    <w:qFormat/>
    <w:pPr>
      <w:pBdr/>
      <w:shd w:val="clear" w:color="000000" w:fill="a6a6a6"/>
      <w:spacing w:afterAutospacing="1" w:beforeAutospacing="1"/>
      <w:ind/>
      <w:jc w:val="center"/>
    </w:pPr>
    <w:rPr>
      <w:b/>
      <w:bCs/>
      <w:sz w:val="20"/>
      <w:szCs w:val="20"/>
    </w:rPr>
  </w:style>
  <w:style w:type="paragraph" w:styleId="12186" w:customStyle="1">
    <w:name w:val="xl2108"/>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87" w:customStyle="1">
    <w:name w:val="xl2109"/>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88" w:customStyle="1">
    <w:name w:val="xl211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189" w:customStyle="1">
    <w:name w:val="xl2111"/>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90" w:customStyle="1">
    <w:name w:val="xl2112"/>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191" w:customStyle="1">
    <w:name w:val="xl2113"/>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192" w:customStyle="1">
    <w:name w:val="xl211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193" w:customStyle="1">
    <w:name w:val="xl211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194" w:customStyle="1">
    <w:name w:val="xl211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195" w:customStyle="1">
    <w:name w:val="xl2117"/>
    <w:basedOn w:val="10533"/>
    <w:qFormat/>
    <w:pPr>
      <w:pBdr>
        <w:top w:val="single" w:color="000000" w:sz="8" w:space="0"/>
        <w:left w:val="single" w:color="000000" w:sz="8" w:space="0"/>
      </w:pBdr>
      <w:shd w:val="clear" w:color="000000" w:fill="ffffff"/>
      <w:spacing w:afterAutospacing="1" w:beforeAutospacing="1"/>
      <w:ind/>
      <w:jc w:val="center"/>
    </w:pPr>
    <w:rPr>
      <w:color w:val="000000"/>
      <w:sz w:val="18"/>
      <w:szCs w:val="18"/>
    </w:rPr>
  </w:style>
  <w:style w:type="paragraph" w:styleId="12196" w:customStyle="1">
    <w:name w:val="xl2118"/>
    <w:basedOn w:val="10533"/>
    <w:qFormat/>
    <w:pPr>
      <w:pBdr>
        <w:top w:val="single" w:color="000000" w:sz="8" w:space="0"/>
        <w:left w:val="single" w:color="000000" w:sz="8" w:space="0"/>
        <w:bottom w:val="single" w:color="000000" w:sz="8" w:space="0"/>
      </w:pBdr>
      <w:shd w:val="clear" w:color="000000" w:fill="ffffff"/>
      <w:spacing w:afterAutospacing="1" w:beforeAutospacing="1"/>
      <w:ind/>
      <w:jc w:val="center"/>
    </w:pPr>
    <w:rPr>
      <w:color w:val="000000"/>
      <w:sz w:val="18"/>
      <w:szCs w:val="18"/>
    </w:rPr>
  </w:style>
  <w:style w:type="paragraph" w:styleId="12197" w:customStyle="1">
    <w:name w:val="xl2119"/>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198" w:customStyle="1">
    <w:name w:val="xl212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199" w:customStyle="1">
    <w:name w:val="xl212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00" w:customStyle="1">
    <w:name w:val="xl2122"/>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2201" w:customStyle="1">
    <w:name w:val="xl2123"/>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202" w:customStyle="1">
    <w:name w:val="xl212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03" w:customStyle="1">
    <w:name w:val="xl2125"/>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sz w:val="20"/>
      <w:szCs w:val="20"/>
    </w:rPr>
  </w:style>
  <w:style w:type="paragraph" w:styleId="12204" w:customStyle="1">
    <w:name w:val="xl2126"/>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05" w:customStyle="1">
    <w:name w:val="xl2127"/>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06" w:customStyle="1">
    <w:name w:val="xl2128"/>
    <w:basedOn w:val="10533"/>
    <w:qFormat/>
    <w:pPr>
      <w:pBdr/>
      <w:spacing w:afterAutospacing="1" w:beforeAutospacing="1"/>
      <w:ind/>
      <w:jc w:val="center"/>
    </w:pPr>
    <w:rPr>
      <w:b/>
      <w:bCs/>
      <w:sz w:val="20"/>
      <w:szCs w:val="20"/>
    </w:rPr>
  </w:style>
  <w:style w:type="paragraph" w:styleId="12207" w:customStyle="1">
    <w:name w:val="xl212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208" w:customStyle="1">
    <w:name w:val="xl2130"/>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209" w:customStyle="1">
    <w:name w:val="xl2131"/>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10" w:customStyle="1">
    <w:name w:val="xl2132"/>
    <w:basedOn w:val="10533"/>
    <w:qFormat/>
    <w:pPr>
      <w:pBdr>
        <w:top w:val="single" w:color="000000" w:sz="4" w:space="0"/>
        <w:bottom w:val="single" w:color="000000" w:sz="4" w:space="0"/>
      </w:pBdr>
      <w:shd w:val="clear" w:color="000000" w:fill="ffffff"/>
      <w:spacing w:afterAutospacing="1" w:beforeAutospacing="1"/>
      <w:ind/>
      <w:jc w:val="center"/>
    </w:pPr>
    <w:rPr>
      <w:b/>
      <w:bCs/>
      <w:sz w:val="20"/>
      <w:szCs w:val="20"/>
    </w:rPr>
  </w:style>
  <w:style w:type="paragraph" w:styleId="12211" w:customStyle="1">
    <w:name w:val="xl2133"/>
    <w:basedOn w:val="10533"/>
    <w:qFormat/>
    <w:pPr>
      <w:pBdr>
        <w:top w:val="single" w:color="000000" w:sz="4" w:space="0"/>
        <w:left w:val="single" w:color="000000" w:sz="4" w:space="0"/>
      </w:pBdr>
      <w:shd w:val="clear" w:color="000000" w:fill="ffffff"/>
      <w:spacing w:afterAutospacing="1" w:beforeAutospacing="1"/>
      <w:ind/>
      <w:jc w:val="center"/>
    </w:pPr>
    <w:rPr>
      <w:b/>
      <w:bCs/>
      <w:sz w:val="20"/>
      <w:szCs w:val="20"/>
    </w:rPr>
  </w:style>
  <w:style w:type="paragraph" w:styleId="12212" w:customStyle="1">
    <w:name w:val="xl2134"/>
    <w:basedOn w:val="10533"/>
    <w:qFormat/>
    <w:pPr>
      <w:pBdr>
        <w:top w:val="single" w:color="000000" w:sz="4" w:space="0"/>
      </w:pBdr>
      <w:shd w:val="clear" w:color="000000" w:fill="ffffff"/>
      <w:spacing w:afterAutospacing="1" w:beforeAutospacing="1"/>
      <w:ind/>
      <w:jc w:val="center"/>
    </w:pPr>
    <w:rPr>
      <w:b/>
      <w:bCs/>
      <w:sz w:val="20"/>
      <w:szCs w:val="20"/>
    </w:rPr>
  </w:style>
  <w:style w:type="paragraph" w:styleId="12213" w:customStyle="1">
    <w:name w:val="xl2135"/>
    <w:basedOn w:val="10533"/>
    <w:qFormat/>
    <w:pPr>
      <w:pBdr>
        <w:top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14" w:customStyle="1">
    <w:name w:val="xl2136"/>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15" w:customStyle="1">
    <w:name w:val="xl2137"/>
    <w:basedOn w:val="10533"/>
    <w:qFormat/>
    <w:pPr>
      <w:pBdr>
        <w:left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16" w:customStyle="1">
    <w:name w:val="xl2138"/>
    <w:basedOn w:val="10533"/>
    <w:qFormat/>
    <w:pPr>
      <w:pBdr>
        <w:top w:val="single" w:color="000000" w:sz="4" w:space="0"/>
        <w:left w:val="single" w:color="000000" w:sz="4" w:space="0"/>
        <w:bottom w:val="single" w:color="000000" w:sz="4" w:space="0"/>
      </w:pBdr>
      <w:shd w:val="clear" w:color="000000" w:fill="a6a6a6"/>
      <w:spacing w:afterAutospacing="1" w:beforeAutospacing="1"/>
      <w:ind/>
      <w:jc w:val="right"/>
    </w:pPr>
    <w:rPr>
      <w:b/>
      <w:bCs/>
      <w:sz w:val="20"/>
      <w:szCs w:val="20"/>
    </w:rPr>
  </w:style>
  <w:style w:type="paragraph" w:styleId="12217" w:customStyle="1">
    <w:name w:val="xl2139"/>
    <w:basedOn w:val="10533"/>
    <w:qFormat/>
    <w:pPr>
      <w:pBdr>
        <w:top w:val="single" w:color="000000" w:sz="4" w:space="0"/>
        <w:bottom w:val="single" w:color="000000" w:sz="4" w:space="0"/>
      </w:pBdr>
      <w:shd w:val="clear" w:color="000000" w:fill="a6a6a6"/>
      <w:spacing w:afterAutospacing="1" w:beforeAutospacing="1"/>
      <w:ind/>
      <w:jc w:val="right"/>
    </w:pPr>
    <w:rPr>
      <w:b/>
      <w:bCs/>
      <w:sz w:val="20"/>
      <w:szCs w:val="20"/>
    </w:rPr>
  </w:style>
  <w:style w:type="paragraph" w:styleId="12218" w:customStyle="1">
    <w:name w:val="xl2140"/>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2219" w:customStyle="1">
    <w:name w:val="xl2141"/>
    <w:basedOn w:val="10533"/>
    <w:qFormat/>
    <w:pPr>
      <w:pBdr>
        <w:top w:val="single" w:color="000000" w:sz="4" w:space="0"/>
        <w:bottom w:val="single" w:color="000000" w:sz="4" w:space="0"/>
      </w:pBdr>
      <w:shd w:val="clear" w:color="000000" w:fill="a6a6a6"/>
      <w:spacing w:afterAutospacing="1" w:beforeAutospacing="1"/>
      <w:ind/>
      <w:jc w:val="center"/>
    </w:pPr>
    <w:rPr>
      <w:b/>
      <w:bCs/>
      <w:sz w:val="20"/>
      <w:szCs w:val="20"/>
    </w:rPr>
  </w:style>
  <w:style w:type="paragraph" w:styleId="12220" w:customStyle="1">
    <w:name w:val="xl2142"/>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2221" w:customStyle="1">
    <w:name w:val="xl2143"/>
    <w:basedOn w:val="10533"/>
    <w:qFormat/>
    <w:pPr>
      <w:pBdr>
        <w:top w:val="single" w:color="000000" w:sz="4" w:space="0"/>
        <w:bottom w:val="single" w:color="000000" w:sz="4" w:space="0"/>
      </w:pBdr>
      <w:shd w:val="clear" w:color="000000" w:fill="a6a6a6"/>
      <w:spacing w:afterAutospacing="1" w:beforeAutospacing="1"/>
      <w:ind/>
      <w:jc w:val="center"/>
    </w:pPr>
    <w:rPr>
      <w:b/>
      <w:bCs/>
      <w:sz w:val="20"/>
      <w:szCs w:val="20"/>
    </w:rPr>
  </w:style>
  <w:style w:type="paragraph" w:styleId="12222" w:customStyle="1">
    <w:name w:val="xl214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right"/>
    </w:pPr>
    <w:rPr>
      <w:sz w:val="20"/>
      <w:szCs w:val="20"/>
    </w:rPr>
  </w:style>
  <w:style w:type="paragraph" w:styleId="12223" w:customStyle="1">
    <w:name w:val="xl2145"/>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2224" w:customStyle="1">
    <w:name w:val="xl2146"/>
    <w:basedOn w:val="10533"/>
    <w:qFormat/>
    <w:pPr>
      <w:pBdr>
        <w:top w:val="single" w:color="000000" w:sz="4" w:space="0"/>
        <w:bottom w:val="single" w:color="000000" w:sz="4" w:space="0"/>
      </w:pBdr>
      <w:shd w:val="clear" w:color="000000" w:fill="a6a6a6"/>
      <w:spacing w:afterAutospacing="1" w:beforeAutospacing="1"/>
      <w:ind/>
      <w:jc w:val="center"/>
    </w:pPr>
    <w:rPr>
      <w:b/>
      <w:bCs/>
      <w:sz w:val="20"/>
      <w:szCs w:val="20"/>
    </w:rPr>
  </w:style>
  <w:style w:type="paragraph" w:styleId="12225" w:customStyle="1">
    <w:name w:val="xl2147"/>
    <w:basedOn w:val="10533"/>
    <w:qFormat/>
    <w:pPr>
      <w:pBdr>
        <w:top w:val="single" w:color="000000" w:sz="4" w:space="0"/>
        <w:left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26" w:customStyle="1">
    <w:name w:val="xl2148"/>
    <w:basedOn w:val="10533"/>
    <w:qFormat/>
    <w:pPr>
      <w:pBdr>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27" w:customStyle="1">
    <w:name w:val="xl214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28" w:customStyle="1">
    <w:name w:val="xl2150"/>
    <w:basedOn w:val="10533"/>
    <w:qFormat/>
    <w:pPr>
      <w:pBdr>
        <w:top w:val="single" w:color="000000" w:sz="8" w:space="0"/>
        <w:left w:val="single" w:color="000000" w:sz="8" w:space="0"/>
      </w:pBdr>
      <w:shd w:val="clear" w:color="000000" w:fill="ffffff"/>
      <w:spacing w:afterAutospacing="1" w:beforeAutospacing="1"/>
      <w:ind/>
      <w:jc w:val="center"/>
    </w:pPr>
    <w:rPr>
      <w:color w:val="000000"/>
      <w:sz w:val="18"/>
      <w:szCs w:val="18"/>
    </w:rPr>
  </w:style>
  <w:style w:type="paragraph" w:styleId="12229" w:customStyle="1">
    <w:name w:val="xl215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230" w:customStyle="1">
    <w:name w:val="xl2152"/>
    <w:basedOn w:val="10533"/>
    <w:qFormat/>
    <w:pPr>
      <w:pBdr>
        <w:top w:val="single" w:color="000000" w:sz="8" w:space="0"/>
        <w:left w:val="single" w:color="000000" w:sz="8" w:space="0"/>
        <w:bottom w:val="single" w:color="000000" w:sz="8" w:space="0"/>
      </w:pBdr>
      <w:shd w:val="clear" w:color="000000" w:fill="ffffff"/>
      <w:spacing w:afterAutospacing="1" w:beforeAutospacing="1"/>
      <w:ind/>
      <w:jc w:val="center"/>
    </w:pPr>
    <w:rPr>
      <w:color w:val="000000"/>
      <w:sz w:val="18"/>
      <w:szCs w:val="18"/>
    </w:rPr>
  </w:style>
  <w:style w:type="paragraph" w:styleId="12231" w:customStyle="1">
    <w:name w:val="xl2153"/>
    <w:basedOn w:val="10533"/>
    <w:qFormat/>
    <w:pPr>
      <w:pBdr>
        <w:top w:val="single" w:color="000000" w:sz="4" w:space="0"/>
        <w:left w:val="single" w:color="000000" w:sz="4" w:space="0"/>
        <w:bottom w:val="single" w:color="000000" w:sz="4" w:space="0"/>
      </w:pBdr>
      <w:spacing w:afterAutospacing="1" w:beforeAutospacing="1"/>
      <w:ind/>
      <w:jc w:val="center"/>
    </w:pPr>
    <w:rPr>
      <w:sz w:val="20"/>
      <w:szCs w:val="20"/>
    </w:rPr>
  </w:style>
  <w:style w:type="paragraph" w:styleId="12232" w:customStyle="1">
    <w:name w:val="xl2154"/>
    <w:basedOn w:val="10533"/>
    <w:qFormat/>
    <w:pPr>
      <w:pBdr>
        <w:top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33" w:customStyle="1">
    <w:name w:val="xl2155"/>
    <w:basedOn w:val="10533"/>
    <w:qFormat/>
    <w:pPr>
      <w:pBdr/>
      <w:spacing w:afterAutospacing="1" w:beforeAutospacing="1"/>
      <w:ind/>
      <w:jc w:val="center"/>
    </w:pPr>
    <w:rPr>
      <w:sz w:val="20"/>
      <w:szCs w:val="20"/>
    </w:rPr>
  </w:style>
  <w:style w:type="paragraph" w:styleId="12234" w:customStyle="1">
    <w:name w:val="xl2157"/>
    <w:basedOn w:val="10533"/>
    <w:qFormat/>
    <w:pPr>
      <w:pBdr/>
      <w:spacing w:afterAutospacing="1" w:beforeAutospacing="1"/>
      <w:ind/>
      <w:jc w:val="center"/>
    </w:pPr>
    <w:rPr>
      <w:sz w:val="20"/>
      <w:szCs w:val="20"/>
    </w:rPr>
  </w:style>
  <w:style w:type="paragraph" w:styleId="12235" w:customStyle="1">
    <w:name w:val="xl215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36" w:customStyle="1">
    <w:name w:val="xl215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37" w:customStyle="1">
    <w:name w:val="xl2160"/>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38" w:customStyle="1">
    <w:name w:val="xl216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39" w:customStyle="1">
    <w:name w:val="xl2162"/>
    <w:basedOn w:val="10533"/>
    <w:qFormat/>
    <w:pPr>
      <w:pBdr/>
      <w:spacing w:afterAutospacing="1" w:beforeAutospacing="1"/>
      <w:ind/>
    </w:pPr>
    <w:rPr>
      <w:sz w:val="20"/>
      <w:szCs w:val="20"/>
    </w:rPr>
  </w:style>
  <w:style w:type="paragraph" w:styleId="12240" w:customStyle="1">
    <w:name w:val="xl2163"/>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41" w:customStyle="1">
    <w:name w:val="xl2164"/>
    <w:basedOn w:val="10533"/>
    <w:qFormat/>
    <w:pPr>
      <w:pBdr/>
      <w:shd w:val="clear" w:color="000000" w:fill="ffffff"/>
      <w:spacing w:afterAutospacing="1" w:beforeAutospacing="1"/>
      <w:ind/>
      <w:jc w:val="center"/>
    </w:pPr>
    <w:rPr>
      <w:b/>
      <w:bCs/>
      <w:sz w:val="20"/>
      <w:szCs w:val="20"/>
    </w:rPr>
  </w:style>
  <w:style w:type="paragraph" w:styleId="12242" w:customStyle="1">
    <w:name w:val="xl216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43" w:customStyle="1">
    <w:name w:val="xl216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44" w:customStyle="1">
    <w:name w:val="xl2167"/>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45" w:customStyle="1">
    <w:name w:val="xl2168"/>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46" w:customStyle="1">
    <w:name w:val="xl2169"/>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47" w:customStyle="1">
    <w:name w:val="xl2170"/>
    <w:basedOn w:val="10533"/>
    <w:qFormat/>
    <w:pPr>
      <w:pBdr/>
      <w:shd w:val="clear" w:color="000000" w:fill="a6a6a6"/>
      <w:spacing w:afterAutospacing="1" w:beforeAutospacing="1"/>
      <w:ind/>
      <w:jc w:val="center"/>
    </w:pPr>
    <w:rPr>
      <w:b/>
      <w:bCs/>
      <w:sz w:val="20"/>
      <w:szCs w:val="20"/>
    </w:rPr>
  </w:style>
  <w:style w:type="paragraph" w:styleId="12248" w:customStyle="1">
    <w:name w:val="xl2171"/>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49" w:customStyle="1">
    <w:name w:val="xl2172"/>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50" w:customStyle="1">
    <w:name w:val="xl2173"/>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51" w:customStyle="1">
    <w:name w:val="xl217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52" w:customStyle="1">
    <w:name w:val="xl217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53" w:customStyle="1">
    <w:name w:val="xl2176"/>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54" w:customStyle="1">
    <w:name w:val="xl2177"/>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55" w:customStyle="1">
    <w:name w:val="xl217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56" w:customStyle="1">
    <w:name w:val="xl217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257" w:customStyle="1">
    <w:name w:val="xl2180"/>
    <w:basedOn w:val="10533"/>
    <w:qFormat/>
    <w:pPr>
      <w:pBdr/>
      <w:spacing w:afterAutospacing="1" w:beforeAutospacing="1"/>
      <w:ind/>
      <w:jc w:val="center"/>
    </w:pPr>
    <w:rPr>
      <w:sz w:val="20"/>
      <w:szCs w:val="20"/>
    </w:rPr>
  </w:style>
  <w:style w:type="paragraph" w:styleId="12258" w:customStyle="1">
    <w:name w:val="xl218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59" w:customStyle="1">
    <w:name w:val="xl218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60" w:customStyle="1">
    <w:name w:val="xl2183"/>
    <w:basedOn w:val="10533"/>
    <w:qFormat/>
    <w:pPr>
      <w:pBdr/>
      <w:spacing w:afterAutospacing="1" w:beforeAutospacing="1"/>
      <w:ind/>
      <w:jc w:val="center"/>
    </w:pPr>
    <w:rPr>
      <w:b/>
      <w:bCs/>
      <w:sz w:val="20"/>
      <w:szCs w:val="20"/>
    </w:rPr>
  </w:style>
  <w:style w:type="paragraph" w:styleId="12261" w:customStyle="1">
    <w:name w:val="xl218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262" w:customStyle="1">
    <w:name w:val="xl2185"/>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263" w:customStyle="1">
    <w:name w:val="xl2186"/>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64" w:customStyle="1">
    <w:name w:val="xl218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65" w:customStyle="1">
    <w:name w:val="xl218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266" w:customStyle="1">
    <w:name w:val="xl2189"/>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2267" w:customStyle="1">
    <w:name w:val="xl219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68" w:customStyle="1">
    <w:name w:val="xl219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269" w:customStyle="1">
    <w:name w:val="xl2192"/>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18"/>
      <w:szCs w:val="18"/>
    </w:rPr>
  </w:style>
  <w:style w:type="paragraph" w:styleId="12270" w:customStyle="1">
    <w:name w:val="xl2193"/>
    <w:basedOn w:val="10533"/>
    <w:qFormat/>
    <w:pPr>
      <w:pBdr>
        <w:top w:val="single" w:color="000000" w:sz="4" w:space="0"/>
        <w:left w:val="single" w:color="000000" w:sz="4" w:space="0"/>
        <w:bottom w:val="single" w:color="000000" w:sz="4" w:space="0"/>
        <w:right w:val="single" w:color="000000" w:sz="4" w:space="0"/>
      </w:pBdr>
      <w:spacing w:afterAutospacing="1" w:beforeAutospacing="1"/>
      <w:ind/>
    </w:pPr>
    <w:rPr>
      <w:sz w:val="20"/>
      <w:szCs w:val="20"/>
    </w:rPr>
  </w:style>
  <w:style w:type="paragraph" w:styleId="12271" w:customStyle="1">
    <w:name w:val="xl219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18"/>
      <w:szCs w:val="18"/>
    </w:rPr>
  </w:style>
  <w:style w:type="paragraph" w:styleId="12272" w:customStyle="1">
    <w:name w:val="xl2195"/>
    <w:basedOn w:val="10533"/>
    <w:qFormat/>
    <w:pPr>
      <w:pBdr>
        <w:top w:val="single" w:color="000000" w:sz="4" w:space="0"/>
        <w:left w:val="single" w:color="000000" w:sz="4" w:space="0"/>
        <w:bottom w:val="single" w:color="000000" w:sz="4" w:space="0"/>
      </w:pBdr>
      <w:spacing w:afterAutospacing="1" w:beforeAutospacing="1"/>
      <w:ind/>
      <w:jc w:val="center"/>
    </w:pPr>
    <w:rPr>
      <w:sz w:val="20"/>
      <w:szCs w:val="20"/>
    </w:rPr>
  </w:style>
  <w:style w:type="paragraph" w:styleId="12273" w:customStyle="1">
    <w:name w:val="xl2196"/>
    <w:basedOn w:val="10533"/>
    <w:qFormat/>
    <w:pPr>
      <w:pBdr>
        <w:top w:val="single" w:color="000000" w:sz="4" w:space="0"/>
        <w:bottom w:val="single" w:color="000000" w:sz="4" w:space="0"/>
      </w:pBdr>
      <w:spacing w:afterAutospacing="1" w:beforeAutospacing="1"/>
      <w:ind/>
      <w:jc w:val="center"/>
    </w:pPr>
    <w:rPr>
      <w:sz w:val="20"/>
      <w:szCs w:val="20"/>
    </w:rPr>
  </w:style>
  <w:style w:type="paragraph" w:styleId="12274" w:customStyle="1">
    <w:name w:val="xl2197"/>
    <w:basedOn w:val="10533"/>
    <w:qFormat/>
    <w:pPr>
      <w:pBdr>
        <w:top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75" w:customStyle="1">
    <w:name w:val="xl2198"/>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8"/>
      <w:szCs w:val="28"/>
    </w:rPr>
  </w:style>
  <w:style w:type="paragraph" w:styleId="12276" w:customStyle="1">
    <w:name w:val="xl219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77" w:customStyle="1">
    <w:name w:val="xl220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78" w:customStyle="1">
    <w:name w:val="xl215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79" w:customStyle="1">
    <w:name w:val="_Обычный"/>
    <w:basedOn w:val="10533"/>
    <w:link w:val="10729"/>
    <w:qFormat/>
    <w:pPr>
      <w:pBdr/>
      <w:spacing w:line="360" w:lineRule="auto"/>
      <w:ind w:firstLine="709"/>
      <w:jc w:val="both"/>
    </w:pPr>
    <w:rPr>
      <w:rFonts w:ascii="Calibri" w:hAnsi="Calibri" w:eastAsia="Calibri" w:cs="Calibri"/>
      <w:sz w:val="26"/>
      <w:szCs w:val="26"/>
      <w:lang w:eastAsia="en-US"/>
    </w:rPr>
  </w:style>
  <w:style w:type="paragraph" w:styleId="12280" w:customStyle="1">
    <w:name w:val="_Таблица"/>
    <w:basedOn w:val="11103"/>
    <w:link w:val="10730"/>
    <w:uiPriority w:val="99"/>
    <w:qFormat/>
    <w:pPr>
      <w:keepNext w:val="true"/>
      <w:numPr>
        <w:ilvl w:val="0"/>
        <w:numId w:val="27"/>
      </w:numPr>
      <w:pBdr/>
      <w:tabs>
        <w:tab w:val="clear" w:leader="none" w:pos="708"/>
        <w:tab w:val="left" w:leader="none" w:pos="1985"/>
      </w:tabs>
      <w:spacing w:after="120" w:before="240" w:line="240" w:lineRule="auto"/>
      <w:ind w:right="282"/>
      <w:contextualSpacing w:val="false"/>
    </w:pPr>
    <w:rPr>
      <w:rFonts w:ascii="Calibri" w:hAnsi="Calibri" w:eastAsia="Calibri" w:cs="Calibri"/>
      <w:b/>
      <w:bCs/>
      <w:sz w:val="26"/>
      <w:szCs w:val="26"/>
      <w:lang w:val="ru-RU" w:bidi="ar-SA"/>
    </w:rPr>
  </w:style>
  <w:style w:type="paragraph" w:styleId="12281" w:customStyle="1">
    <w:name w:val="_Рисунок"/>
    <w:basedOn w:val="11103"/>
    <w:link w:val="10731"/>
    <w:uiPriority w:val="99"/>
    <w:qFormat/>
    <w:pPr>
      <w:numPr>
        <w:ilvl w:val="0"/>
        <w:numId w:val="28"/>
      </w:numPr>
      <w:pBdr/>
      <w:spacing w:after="200" w:before="0" w:line="276" w:lineRule="auto"/>
      <w:ind/>
      <w:contextualSpacing w:val="false"/>
      <w:jc w:val="center"/>
    </w:pPr>
    <w:rPr>
      <w:rFonts w:ascii="Calibri" w:hAnsi="Calibri" w:eastAsia="Calibri" w:cs="Calibri"/>
      <w:b/>
      <w:bCs/>
      <w:sz w:val="26"/>
      <w:szCs w:val="26"/>
      <w:lang w:val="ru-RU" w:eastAsia="ru-RU" w:bidi="ar-SA"/>
    </w:rPr>
  </w:style>
  <w:style w:type="paragraph" w:styleId="12282" w:customStyle="1">
    <w:name w:val="00_Обычный текст"/>
    <w:basedOn w:val="10533"/>
    <w:link w:val="10732"/>
    <w:qFormat/>
    <w:pPr>
      <w:pBdr/>
      <w:spacing w:line="360" w:lineRule="auto"/>
      <w:ind w:firstLine="709"/>
      <w:jc w:val="both"/>
    </w:pPr>
    <w:rPr>
      <w:sz w:val="26"/>
      <w:szCs w:val="26"/>
      <w:lang w:eastAsia="en-US"/>
    </w:rPr>
  </w:style>
  <w:style w:type="paragraph" w:styleId="12283" w:customStyle="1">
    <w:name w:val="1_1 Список ненумерной"/>
    <w:basedOn w:val="10533"/>
    <w:link w:val="10733"/>
    <w:qFormat/>
    <w:pPr>
      <w:numPr>
        <w:ilvl w:val="0"/>
        <w:numId w:val="29"/>
      </w:numPr>
      <w:pBdr/>
      <w:spacing w:after="40" w:before="0" w:line="360" w:lineRule="auto"/>
      <w:ind/>
      <w:jc w:val="both"/>
    </w:pPr>
    <w:rPr>
      <w:sz w:val="26"/>
      <w:szCs w:val="26"/>
      <w:lang w:eastAsia="en-US"/>
    </w:rPr>
  </w:style>
  <w:style w:type="paragraph" w:styleId="12284" w:customStyle="1">
    <w:name w:val="xl220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285" w:customStyle="1">
    <w:name w:val="xl2202"/>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286" w:customStyle="1">
    <w:name w:val="xl2203"/>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87" w:customStyle="1">
    <w:name w:val="xl2204"/>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288" w:customStyle="1">
    <w:name w:val="xl220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pPr>
    <w:rPr>
      <w:sz w:val="20"/>
      <w:szCs w:val="20"/>
    </w:rPr>
  </w:style>
  <w:style w:type="paragraph" w:styleId="12289" w:customStyle="1">
    <w:name w:val="xl220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90" w:customStyle="1">
    <w:name w:val="xl220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91" w:customStyle="1">
    <w:name w:val="xl2208"/>
    <w:basedOn w:val="10533"/>
    <w:qFormat/>
    <w:pPr>
      <w:pBdr/>
      <w:shd w:val="clear" w:color="000000" w:fill="a6a6a6"/>
      <w:spacing w:afterAutospacing="1" w:beforeAutospacing="1"/>
      <w:ind/>
      <w:jc w:val="center"/>
    </w:pPr>
    <w:rPr>
      <w:b/>
      <w:bCs/>
      <w:sz w:val="28"/>
      <w:szCs w:val="28"/>
    </w:rPr>
  </w:style>
  <w:style w:type="paragraph" w:styleId="12292" w:customStyle="1">
    <w:name w:val="xl2209"/>
    <w:basedOn w:val="10533"/>
    <w:qFormat/>
    <w:pPr>
      <w:pBdr/>
      <w:shd w:val="clear" w:color="000000" w:fill="ffff00"/>
      <w:spacing w:afterAutospacing="1" w:beforeAutospacing="1"/>
      <w:ind/>
      <w:jc w:val="center"/>
    </w:pPr>
    <w:rPr>
      <w:sz w:val="20"/>
      <w:szCs w:val="20"/>
    </w:rPr>
  </w:style>
  <w:style w:type="paragraph" w:styleId="12293" w:customStyle="1">
    <w:name w:val="xl2210"/>
    <w:basedOn w:val="10533"/>
    <w:qFormat/>
    <w:pPr>
      <w:pBdr/>
      <w:shd w:val="clear" w:color="000000" w:fill="a6a6a6"/>
      <w:spacing w:afterAutospacing="1" w:beforeAutospacing="1"/>
      <w:ind/>
      <w:jc w:val="center"/>
    </w:pPr>
    <w:rPr>
      <w:b/>
      <w:bCs/>
      <w:sz w:val="20"/>
      <w:szCs w:val="20"/>
    </w:rPr>
  </w:style>
  <w:style w:type="paragraph" w:styleId="12294" w:customStyle="1">
    <w:name w:val="xl2211"/>
    <w:basedOn w:val="10533"/>
    <w:qFormat/>
    <w:pPr>
      <w:pBdr/>
      <w:shd w:val="clear" w:color="000000" w:fill="ffffff"/>
      <w:spacing w:afterAutospacing="1" w:beforeAutospacing="1"/>
      <w:ind/>
      <w:jc w:val="center"/>
    </w:pPr>
    <w:rPr>
      <w:sz w:val="20"/>
      <w:szCs w:val="20"/>
    </w:rPr>
  </w:style>
  <w:style w:type="paragraph" w:styleId="12295" w:customStyle="1">
    <w:name w:val="xl2212"/>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296" w:customStyle="1">
    <w:name w:val="xl2213"/>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297" w:customStyle="1">
    <w:name w:val="xl2214"/>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98" w:customStyle="1">
    <w:name w:val="xl221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299" w:customStyle="1">
    <w:name w:val="xl221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00" w:customStyle="1">
    <w:name w:val="xl221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01" w:customStyle="1">
    <w:name w:val="xl2218"/>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ind/>
      <w:jc w:val="center"/>
    </w:pPr>
    <w:rPr>
      <w:sz w:val="20"/>
      <w:szCs w:val="20"/>
    </w:rPr>
  </w:style>
  <w:style w:type="paragraph" w:styleId="12302" w:customStyle="1">
    <w:name w:val="xl2219"/>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ind/>
      <w:jc w:val="center"/>
    </w:pPr>
    <w:rPr>
      <w:sz w:val="20"/>
      <w:szCs w:val="20"/>
    </w:rPr>
  </w:style>
  <w:style w:type="paragraph" w:styleId="12303" w:customStyle="1">
    <w:name w:val="xl2220"/>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304" w:customStyle="1">
    <w:name w:val="xl222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305" w:customStyle="1">
    <w:name w:val="xl2222"/>
    <w:basedOn w:val="10533"/>
    <w:qFormat/>
    <w:pPr>
      <w:pBdr/>
      <w:shd w:val="clear" w:color="000000" w:fill="ffffff"/>
      <w:spacing w:afterAutospacing="1" w:beforeAutospacing="1"/>
      <w:ind/>
      <w:jc w:val="center"/>
    </w:pPr>
    <w:rPr>
      <w:sz w:val="20"/>
      <w:szCs w:val="20"/>
    </w:rPr>
  </w:style>
  <w:style w:type="paragraph" w:styleId="12306" w:customStyle="1">
    <w:name w:val="xl2223"/>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ind/>
      <w:jc w:val="center"/>
    </w:pPr>
    <w:rPr>
      <w:sz w:val="20"/>
      <w:szCs w:val="20"/>
    </w:rPr>
  </w:style>
  <w:style w:type="paragraph" w:styleId="12307" w:customStyle="1">
    <w:name w:val="xl2224"/>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ind/>
      <w:jc w:val="center"/>
    </w:pPr>
    <w:rPr>
      <w:sz w:val="20"/>
      <w:szCs w:val="20"/>
    </w:rPr>
  </w:style>
  <w:style w:type="paragraph" w:styleId="12308" w:customStyle="1">
    <w:name w:val="xl2225"/>
    <w:basedOn w:val="10533"/>
    <w:qFormat/>
    <w:pPr>
      <w:pBdr>
        <w:top w:val="single" w:color="000000" w:sz="4" w:space="0"/>
        <w:left w:val="single" w:color="000000" w:sz="4" w:space="0"/>
        <w:bottom w:val="single" w:color="000000" w:sz="4" w:space="0"/>
        <w:right w:val="single" w:color="000000" w:sz="4" w:space="0"/>
      </w:pBdr>
      <w:shd w:val="clear" w:color="000000" w:fill="00b0f0"/>
      <w:spacing w:afterAutospacing="1" w:beforeAutospacing="1"/>
      <w:ind/>
      <w:jc w:val="center"/>
    </w:pPr>
    <w:rPr>
      <w:sz w:val="20"/>
      <w:szCs w:val="20"/>
    </w:rPr>
  </w:style>
  <w:style w:type="paragraph" w:styleId="12309" w:customStyle="1">
    <w:name w:val="xl222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10" w:customStyle="1">
    <w:name w:val="xl222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11" w:customStyle="1">
    <w:name w:val="xl222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12" w:customStyle="1">
    <w:name w:val="xl222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313" w:customStyle="1">
    <w:name w:val="xl223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14" w:customStyle="1">
    <w:name w:val="xl223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color w:val="000000"/>
      <w:sz w:val="20"/>
      <w:szCs w:val="20"/>
    </w:rPr>
  </w:style>
  <w:style w:type="paragraph" w:styleId="12315" w:customStyle="1">
    <w:name w:val="xl223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316" w:customStyle="1">
    <w:name w:val="xl2233"/>
    <w:basedOn w:val="10533"/>
    <w:qFormat/>
    <w:pPr>
      <w:pBdr>
        <w:left w:val="single" w:color="000000" w:sz="4" w:space="0"/>
      </w:pBdr>
      <w:shd w:val="clear" w:color="000000" w:fill="a6a6a6"/>
      <w:spacing w:afterAutospacing="1" w:beforeAutospacing="1"/>
      <w:ind/>
      <w:jc w:val="center"/>
    </w:pPr>
    <w:rPr>
      <w:b/>
      <w:bCs/>
      <w:sz w:val="28"/>
      <w:szCs w:val="28"/>
    </w:rPr>
  </w:style>
  <w:style w:type="paragraph" w:styleId="12317" w:customStyle="1">
    <w:name w:val="xl2234"/>
    <w:basedOn w:val="10533"/>
    <w:qFormat/>
    <w:pPr>
      <w:pBdr>
        <w:top w:val="single" w:color="000000" w:sz="4" w:space="0"/>
        <w:left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318" w:customStyle="1">
    <w:name w:val="xl2235"/>
    <w:basedOn w:val="10533"/>
    <w:qFormat/>
    <w:pPr>
      <w:pBdr>
        <w:top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319" w:customStyle="1">
    <w:name w:val="xl2236"/>
    <w:basedOn w:val="10533"/>
    <w:qFormat/>
    <w:pPr>
      <w:pBdr>
        <w:top w:val="single" w:color="000000" w:sz="4" w:space="0"/>
        <w:bottom w:val="single" w:color="000000" w:sz="4" w:space="0"/>
        <w:right w:val="single" w:color="000000" w:sz="4" w:space="0"/>
      </w:pBdr>
      <w:shd w:val="clear" w:color="000000" w:fill="a6a6a6"/>
      <w:spacing w:afterAutospacing="1" w:beforeAutospacing="1"/>
      <w:ind/>
      <w:jc w:val="center"/>
    </w:pPr>
    <w:rPr>
      <w:b/>
      <w:bCs/>
      <w:sz w:val="28"/>
      <w:szCs w:val="28"/>
    </w:rPr>
  </w:style>
  <w:style w:type="paragraph" w:styleId="12320" w:customStyle="1">
    <w:name w:val="xl2237"/>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2321" w:customStyle="1">
    <w:name w:val="xl2238"/>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2322" w:customStyle="1">
    <w:name w:val="xl2239"/>
    <w:basedOn w:val="10533"/>
    <w:qFormat/>
    <w:pPr>
      <w:pBdr>
        <w:top w:val="single" w:color="000000" w:sz="4" w:space="0"/>
        <w:left w:val="single" w:color="000000" w:sz="4" w:space="0"/>
        <w:bottom w:val="single" w:color="000000" w:sz="4" w:space="0"/>
      </w:pBdr>
      <w:spacing w:afterAutospacing="1" w:beforeAutospacing="1"/>
      <w:ind/>
      <w:jc w:val="right"/>
    </w:pPr>
    <w:rPr>
      <w:sz w:val="20"/>
      <w:szCs w:val="20"/>
    </w:rPr>
  </w:style>
  <w:style w:type="paragraph" w:styleId="12323" w:customStyle="1">
    <w:name w:val="xl2240"/>
    <w:basedOn w:val="10533"/>
    <w:qFormat/>
    <w:pPr>
      <w:pBdr>
        <w:top w:val="single" w:color="000000" w:sz="4" w:space="0"/>
        <w:bottom w:val="single" w:color="000000" w:sz="4" w:space="0"/>
      </w:pBdr>
      <w:spacing w:afterAutospacing="1" w:beforeAutospacing="1"/>
      <w:ind/>
      <w:jc w:val="right"/>
    </w:pPr>
    <w:rPr>
      <w:sz w:val="20"/>
      <w:szCs w:val="20"/>
    </w:rPr>
  </w:style>
  <w:style w:type="paragraph" w:styleId="12324" w:customStyle="1">
    <w:name w:val="xl2241"/>
    <w:basedOn w:val="10533"/>
    <w:qFormat/>
    <w:pPr>
      <w:pBdr>
        <w:top w:val="single" w:color="000000" w:sz="4" w:space="0"/>
        <w:bottom w:val="single" w:color="000000" w:sz="4" w:space="0"/>
        <w:right w:val="single" w:color="000000" w:sz="4" w:space="0"/>
      </w:pBdr>
      <w:spacing w:afterAutospacing="1" w:beforeAutospacing="1"/>
      <w:ind/>
      <w:jc w:val="right"/>
    </w:pPr>
    <w:rPr>
      <w:sz w:val="20"/>
      <w:szCs w:val="20"/>
    </w:rPr>
  </w:style>
  <w:style w:type="paragraph" w:styleId="12325" w:customStyle="1">
    <w:name w:val="xl2242"/>
    <w:basedOn w:val="10533"/>
    <w:qFormat/>
    <w:pPr>
      <w:pBdr>
        <w:left w:val="single" w:color="000000" w:sz="4" w:space="0"/>
        <w:bottom w:val="single" w:color="000000" w:sz="4" w:space="0"/>
      </w:pBdr>
      <w:shd w:val="clear" w:color="000000" w:fill="a6a6a6"/>
      <w:spacing w:afterAutospacing="1" w:beforeAutospacing="1"/>
      <w:ind/>
      <w:jc w:val="center"/>
    </w:pPr>
    <w:rPr>
      <w:b/>
      <w:bCs/>
      <w:sz w:val="28"/>
      <w:szCs w:val="28"/>
    </w:rPr>
  </w:style>
  <w:style w:type="paragraph" w:styleId="12326" w:customStyle="1">
    <w:name w:val="xl2243"/>
    <w:basedOn w:val="10533"/>
    <w:qFormat/>
    <w:pPr>
      <w:pBdr>
        <w:bottom w:val="single" w:color="000000" w:sz="4" w:space="0"/>
      </w:pBdr>
      <w:shd w:val="clear" w:color="000000" w:fill="a6a6a6"/>
      <w:spacing w:afterAutospacing="1" w:beforeAutospacing="1"/>
      <w:ind/>
      <w:jc w:val="center"/>
    </w:pPr>
    <w:rPr>
      <w:b/>
      <w:bCs/>
      <w:sz w:val="28"/>
      <w:szCs w:val="28"/>
    </w:rPr>
  </w:style>
  <w:style w:type="paragraph" w:styleId="12327" w:customStyle="1">
    <w:name w:val="xl2244"/>
    <w:basedOn w:val="10533"/>
    <w:qFormat/>
    <w:pPr>
      <w:pBdr>
        <w:bottom w:val="single" w:color="000000" w:sz="4" w:space="0"/>
        <w:right w:val="single" w:color="000000" w:sz="4" w:space="0"/>
      </w:pBdr>
      <w:shd w:val="clear" w:color="000000" w:fill="a6a6a6"/>
      <w:spacing w:afterAutospacing="1" w:beforeAutospacing="1"/>
      <w:ind/>
      <w:jc w:val="center"/>
    </w:pPr>
    <w:rPr>
      <w:b/>
      <w:bCs/>
      <w:sz w:val="28"/>
      <w:szCs w:val="28"/>
    </w:rPr>
  </w:style>
  <w:style w:type="paragraph" w:styleId="12328" w:customStyle="1">
    <w:name w:val="xl2245"/>
    <w:basedOn w:val="10533"/>
    <w:qFormat/>
    <w:pPr>
      <w:pBdr>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329" w:customStyle="1">
    <w:name w:val="xl2246"/>
    <w:basedOn w:val="10533"/>
    <w:qFormat/>
    <w:pPr>
      <w:pBdr>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330" w:customStyle="1">
    <w:name w:val="xl2247"/>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2331" w:customStyle="1">
    <w:name w:val="xl2248"/>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8"/>
      <w:szCs w:val="28"/>
    </w:rPr>
  </w:style>
  <w:style w:type="paragraph" w:styleId="12332" w:customStyle="1">
    <w:name w:val="xl2249"/>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33" w:customStyle="1">
    <w:name w:val="xl2250"/>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34" w:customStyle="1">
    <w:name w:val="xl225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35" w:customStyle="1">
    <w:name w:val="xl2252"/>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36" w:customStyle="1">
    <w:name w:val="xl2253"/>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37" w:customStyle="1">
    <w:name w:val="xl2254"/>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color w:val="000000"/>
      <w:sz w:val="18"/>
      <w:szCs w:val="18"/>
    </w:rPr>
  </w:style>
  <w:style w:type="paragraph" w:styleId="12338" w:customStyle="1">
    <w:name w:val="xl225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b/>
      <w:bCs/>
      <w:sz w:val="20"/>
      <w:szCs w:val="20"/>
    </w:rPr>
  </w:style>
  <w:style w:type="paragraph" w:styleId="12339" w:customStyle="1">
    <w:name w:val="xl2256"/>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40" w:customStyle="1">
    <w:name w:val="xl2257"/>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41" w:customStyle="1">
    <w:name w:val="xl2258"/>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42" w:customStyle="1">
    <w:name w:val="xl225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43" w:customStyle="1">
    <w:name w:val="xl226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2344" w:customStyle="1">
    <w:name w:val="xl226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345" w:customStyle="1">
    <w:name w:val="xl226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346" w:customStyle="1">
    <w:name w:val="xl2263"/>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sz w:val="20"/>
      <w:szCs w:val="20"/>
    </w:rPr>
  </w:style>
  <w:style w:type="paragraph" w:styleId="12347" w:customStyle="1">
    <w:name w:val="xl2264"/>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sz w:val="20"/>
      <w:szCs w:val="20"/>
    </w:rPr>
  </w:style>
  <w:style w:type="paragraph" w:styleId="12348" w:customStyle="1">
    <w:name w:val="xl2265"/>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349" w:customStyle="1">
    <w:name w:val="xl2266"/>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350" w:customStyle="1">
    <w:name w:val="xl2267"/>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2351" w:customStyle="1">
    <w:name w:val="xl2268"/>
    <w:basedOn w:val="10533"/>
    <w:qFormat/>
    <w:pPr>
      <w:pBdr/>
      <w:shd w:val="clear" w:color="000000" w:fill="538dd5"/>
      <w:spacing w:afterAutospacing="1" w:beforeAutospacing="1"/>
      <w:ind/>
      <w:jc w:val="center"/>
    </w:pPr>
    <w:rPr>
      <w:b/>
      <w:bCs/>
      <w:sz w:val="20"/>
      <w:szCs w:val="20"/>
    </w:rPr>
  </w:style>
  <w:style w:type="paragraph" w:styleId="12352" w:customStyle="1">
    <w:name w:val="xl2269"/>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right"/>
    </w:pPr>
    <w:rPr>
      <w:b/>
      <w:bCs/>
      <w:sz w:val="20"/>
      <w:szCs w:val="20"/>
    </w:rPr>
  </w:style>
  <w:style w:type="paragraph" w:styleId="12353" w:customStyle="1">
    <w:name w:val="xl2270"/>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54" w:customStyle="1">
    <w:name w:val="xl2271"/>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55" w:customStyle="1">
    <w:name w:val="xl2272"/>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56" w:customStyle="1">
    <w:name w:val="xl2273"/>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57" w:customStyle="1">
    <w:name w:val="xl2274"/>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58" w:customStyle="1">
    <w:name w:val="xl2275"/>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59" w:customStyle="1">
    <w:name w:val="xl2276"/>
    <w:basedOn w:val="10533"/>
    <w:qFormat/>
    <w:pPr>
      <w:pBdr/>
      <w:shd w:val="clear" w:color="000000" w:fill="538dd5"/>
      <w:spacing w:afterAutospacing="1" w:beforeAutospacing="1"/>
      <w:ind/>
      <w:jc w:val="center"/>
    </w:pPr>
    <w:rPr>
      <w:b/>
      <w:bCs/>
      <w:sz w:val="20"/>
      <w:szCs w:val="20"/>
    </w:rPr>
  </w:style>
  <w:style w:type="paragraph" w:styleId="12360" w:customStyle="1">
    <w:name w:val="xl2277"/>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sz w:val="20"/>
      <w:szCs w:val="20"/>
    </w:rPr>
  </w:style>
  <w:style w:type="paragraph" w:styleId="12361" w:customStyle="1">
    <w:name w:val="xl2278"/>
    <w:basedOn w:val="10533"/>
    <w:qFormat/>
    <w:pPr>
      <w:pBdr/>
      <w:shd w:val="clear" w:color="000000" w:fill="538dd5"/>
      <w:spacing w:afterAutospacing="1" w:beforeAutospacing="1"/>
      <w:ind/>
      <w:jc w:val="center"/>
    </w:pPr>
    <w:rPr>
      <w:sz w:val="20"/>
      <w:szCs w:val="20"/>
    </w:rPr>
  </w:style>
  <w:style w:type="paragraph" w:styleId="12362" w:customStyle="1">
    <w:name w:val="ТЕКСТ"/>
    <w:basedOn w:val="10533"/>
    <w:link w:val="10734"/>
    <w:qFormat/>
    <w:pPr>
      <w:pBdr/>
      <w:spacing w:after="0" w:before="0" w:line="360" w:lineRule="auto"/>
      <w:ind w:firstLine="567"/>
      <w:contextualSpacing w:val="true"/>
      <w:jc w:val="both"/>
    </w:pPr>
    <w:rPr>
      <w:rFonts w:eastAsia="Calibri"/>
      <w:lang w:eastAsia="en-US"/>
    </w:rPr>
  </w:style>
  <w:style w:type="paragraph" w:styleId="12363" w:customStyle="1">
    <w:name w:val="ТАБЛ"/>
    <w:basedOn w:val="10533"/>
    <w:link w:val="10851"/>
    <w:qFormat/>
    <w:pPr>
      <w:numPr>
        <w:ilvl w:val="0"/>
        <w:numId w:val="30"/>
      </w:numPr>
      <w:pBdr/>
      <w:tabs>
        <w:tab w:val="clear" w:leader="none" w:pos="708"/>
        <w:tab w:val="left" w:leader="none" w:pos="1418"/>
      </w:tabs>
      <w:spacing w:after="120" w:before="120"/>
      <w:ind w:firstLine="0" w:left="0"/>
      <w:contextualSpacing w:val="true"/>
      <w:jc w:val="both"/>
    </w:pPr>
    <w:rPr>
      <w:rFonts w:eastAsia="Calibri"/>
      <w:b/>
      <w:lang w:eastAsia="en-US"/>
    </w:rPr>
  </w:style>
  <w:style w:type="paragraph" w:styleId="12364" w:customStyle="1">
    <w:name w:val="Мой 1"/>
    <w:basedOn w:val="10534"/>
    <w:next w:val="10533"/>
    <w:link w:val="10829"/>
    <w:qFormat/>
    <w:pPr>
      <w:keepNext w:val="true"/>
      <w:keepLines w:val="true"/>
      <w:numPr>
        <w:ilvl w:val="0"/>
        <w:numId w:val="0"/>
      </w:numPr>
      <w:pBdr/>
      <w:spacing w:after="0" w:before="120" w:line="240" w:lineRule="auto"/>
      <w:ind w:hanging="357" w:left="357"/>
      <w:contextualSpacing w:val="false"/>
      <w:jc w:val="both"/>
    </w:pPr>
    <w:rPr>
      <w:rFonts w:eastAsia="TimesNewRomanPSMT"/>
      <w:caps w:val="0"/>
      <w:smallCaps w:val="0"/>
      <w:color w:val="0070c0"/>
      <w:spacing w:val="0"/>
      <w:szCs w:val="20"/>
      <w:lang w:bidi="ar-SA"/>
    </w:rPr>
  </w:style>
  <w:style w:type="paragraph" w:styleId="12366" w:customStyle="1">
    <w:name w:val="Мой Таб"/>
    <w:basedOn w:val="12363"/>
    <w:link w:val="10736"/>
    <w:qFormat/>
    <w:pPr>
      <w:pBdr/>
      <w:spacing/>
      <w:ind/>
    </w:pPr>
  </w:style>
  <w:style w:type="paragraph" w:styleId="12367" w:customStyle="1">
    <w:name w:val="Стиль6"/>
    <w:basedOn w:val="10533"/>
    <w:link w:val="10737"/>
    <w:qFormat/>
    <w:pPr>
      <w:numPr>
        <w:ilvl w:val="0"/>
        <w:numId w:val="31"/>
      </w:numPr>
      <w:pBdr/>
      <w:spacing w:after="0" w:before="0" w:line="360" w:lineRule="auto"/>
      <w:ind w:firstLine="0" w:left="0"/>
      <w:contextualSpacing w:val="true"/>
      <w:jc w:val="center"/>
    </w:pPr>
    <w:rPr>
      <w:rFonts w:eastAsia="Calibri"/>
      <w:b/>
      <w:lang w:eastAsia="en-US"/>
    </w:rPr>
  </w:style>
  <w:style w:type="paragraph" w:styleId="12368" w:customStyle="1">
    <w:name w:val="Мой Рис."/>
    <w:basedOn w:val="10533"/>
    <w:link w:val="10738"/>
    <w:qFormat/>
    <w:pPr>
      <w:pBdr/>
      <w:tabs>
        <w:tab w:val="left" w:leader="none" w:pos="360"/>
        <w:tab w:val="clear" w:leader="none" w:pos="708"/>
        <w:tab w:val="left" w:leader="none" w:pos="1418"/>
      </w:tabs>
      <w:spacing w:after="0" w:before="0"/>
      <w:ind/>
      <w:contextualSpacing w:val="true"/>
      <w:jc w:val="center"/>
    </w:pPr>
    <w:rPr>
      <w:rFonts w:eastAsia="Calibri"/>
      <w:b/>
      <w:lang w:eastAsia="en-US"/>
    </w:rPr>
  </w:style>
  <w:style w:type="paragraph" w:styleId="12369" w:customStyle="1">
    <w:name w:val="Рисунок картинка"/>
    <w:basedOn w:val="11681"/>
    <w:link w:val="10739"/>
    <w:qFormat/>
    <w:pPr>
      <w:pBdr/>
      <w:spacing w:after="0" w:before="120" w:line="300" w:lineRule="auto"/>
      <w:ind w:firstLine="0" w:left="-284"/>
      <w:jc w:val="center"/>
    </w:pPr>
    <w:rPr>
      <w:rFonts w:ascii="Times New Roman" w:hAnsi="Times New Roman" w:cs="Times New Roman"/>
      <w:b/>
    </w:rPr>
  </w:style>
  <w:style w:type="paragraph" w:styleId="12370" w:customStyle="1">
    <w:name w:val="Мой без №"/>
    <w:basedOn w:val="10533"/>
    <w:next w:val="10533"/>
    <w:link w:val="10740"/>
    <w:qFormat/>
    <w:pPr>
      <w:pBdr/>
      <w:spacing w:after="0" w:before="0" w:line="360" w:lineRule="auto"/>
      <w:ind/>
      <w:contextualSpacing w:val="true"/>
    </w:pPr>
    <w:rPr>
      <w:b/>
      <w:sz w:val="28"/>
      <w:szCs w:val="28"/>
    </w:rPr>
  </w:style>
  <w:style w:type="paragraph" w:styleId="12371" w:customStyle="1">
    <w:name w:val="Мой текст книги"/>
    <w:basedOn w:val="11261"/>
    <w:link w:val="10741"/>
    <w:qFormat/>
    <w:pPr>
      <w:pBdr/>
      <w:spacing w:after="0" w:before="0"/>
      <w:ind w:firstLine="851"/>
      <w:contextualSpacing w:val="true"/>
    </w:pPr>
    <w:rPr>
      <w:rFonts w:ascii="Times New Roman" w:hAnsi="Times New Roman" w:eastAsia="宋体" w:eastAsiaTheme="minorEastAsia" w:cstheme="minorBidi"/>
      <w:sz w:val="24"/>
      <w:szCs w:val="24"/>
      <w:lang w:val="ru-RU" w:bidi="ar-SA"/>
    </w:rPr>
  </w:style>
  <w:style w:type="paragraph" w:styleId="12374" w:customStyle="1">
    <w:name w:val="Подпись к таблице"/>
    <w:basedOn w:val="10533"/>
    <w:link w:val="10745"/>
    <w:qFormat/>
    <w:pPr>
      <w:widowControl w:val="false"/>
      <w:pBdr/>
      <w:shd w:val="clear" w:color="auto" w:fill="ffffff"/>
      <w:spacing w:line="0" w:lineRule="atLeast"/>
      <w:ind/>
    </w:pPr>
  </w:style>
  <w:style w:type="paragraph" w:styleId="12376" w:customStyle="1">
    <w:name w:val="Основной текст (97)1"/>
    <w:basedOn w:val="10533"/>
    <w:link w:val="10755"/>
    <w:qFormat/>
    <w:pPr>
      <w:widowControl w:val="false"/>
      <w:pBdr/>
      <w:shd w:val="clear" w:color="auto" w:fill="ffffff"/>
      <w:spacing w:line="112" w:lineRule="exact"/>
      <w:ind/>
    </w:pPr>
    <w:rPr>
      <w:i/>
      <w:iCs/>
      <w:sz w:val="18"/>
      <w:szCs w:val="18"/>
    </w:rPr>
  </w:style>
  <w:style w:type="paragraph" w:styleId="12377" w:customStyle="1">
    <w:name w:val="Основной текст (160)1"/>
    <w:basedOn w:val="10533"/>
    <w:link w:val="13728"/>
    <w:qFormat/>
    <w:pPr>
      <w:widowControl w:val="false"/>
      <w:pBdr/>
      <w:shd w:val="clear" w:color="auto" w:fill="ffffff"/>
      <w:spacing w:after="120" w:before="0" w:line="0" w:lineRule="atLeast"/>
      <w:ind w:hanging="1540"/>
    </w:pPr>
    <w:rPr>
      <w:b/>
      <w:bCs/>
      <w:i/>
      <w:iCs/>
    </w:rPr>
  </w:style>
  <w:style w:type="paragraph" w:styleId="12380" w:customStyle="1">
    <w:name w:val="Основной текст (159)1"/>
    <w:basedOn w:val="10533"/>
    <w:link w:val="10762"/>
    <w:qFormat/>
    <w:pPr>
      <w:widowControl w:val="false"/>
      <w:pBdr/>
      <w:shd w:val="clear" w:color="auto" w:fill="ffffff"/>
      <w:spacing w:line="320" w:lineRule="exact"/>
      <w:ind w:hanging="460"/>
      <w:jc w:val="both"/>
    </w:pPr>
  </w:style>
  <w:style w:type="paragraph" w:styleId="12384" w:customStyle="1">
    <w:name w:val="Заголовок №7 (2)"/>
    <w:basedOn w:val="10533"/>
    <w:link w:val="10775"/>
    <w:qFormat/>
    <w:pPr>
      <w:widowControl w:val="false"/>
      <w:pBdr/>
      <w:shd w:val="clear" w:color="auto" w:fill="ffffff"/>
      <w:spacing w:line="0" w:lineRule="atLeast"/>
      <w:ind/>
      <w:outlineLvl w:val="6"/>
    </w:pPr>
    <w:rPr>
      <w:sz w:val="28"/>
      <w:szCs w:val="28"/>
    </w:rPr>
  </w:style>
  <w:style w:type="paragraph" w:styleId="12385" w:customStyle="1">
    <w:name w:val="!!_1.для Таблиц"/>
    <w:basedOn w:val="12279"/>
    <w:next w:val="10533"/>
    <w:link w:val="10789"/>
    <w:qFormat/>
    <w:pPr>
      <w:widowControl w:val="false"/>
      <w:pBdr/>
      <w:spacing w:line="240" w:lineRule="auto"/>
      <w:ind w:firstLine="0"/>
      <w:jc w:val="center"/>
    </w:pPr>
    <w:rPr>
      <w:rFonts w:ascii="Times New Roman" w:hAnsi="Times New Roman"/>
      <w:bCs/>
      <w:sz w:val="20"/>
      <w:lang w:eastAsia="ru-RU"/>
    </w:rPr>
  </w:style>
  <w:style w:type="paragraph" w:styleId="12388" w:customStyle="1">
    <w:name w:val="Оглавление 21"/>
    <w:basedOn w:val="10533"/>
    <w:uiPriority w:val="1"/>
    <w:qFormat/>
    <w:pPr>
      <w:widowControl w:val="false"/>
      <w:pBdr/>
      <w:spacing/>
      <w:ind w:left="382"/>
    </w:pPr>
    <w:rPr>
      <w:rFonts w:ascii="Arial" w:hAnsi="Arial" w:eastAsia="Arial" w:cs="Arial"/>
      <w:sz w:val="20"/>
      <w:szCs w:val="20"/>
      <w:lang w:val="en-US" w:eastAsia="en-US"/>
    </w:rPr>
  </w:style>
  <w:style w:type="paragraph" w:styleId="12391" w:customStyle="1">
    <w:name w:val="Заголовок 21"/>
    <w:basedOn w:val="10533"/>
    <w:uiPriority w:val="1"/>
    <w:qFormat/>
    <w:pPr>
      <w:widowControl w:val="false"/>
      <w:pBdr/>
      <w:spacing/>
      <w:ind/>
      <w:outlineLvl w:val="2"/>
    </w:pPr>
    <w:rPr>
      <w:sz w:val="26"/>
      <w:szCs w:val="26"/>
      <w:lang w:val="en-US" w:eastAsia="en-US"/>
    </w:rPr>
  </w:style>
  <w:style w:type="paragraph" w:styleId="12394" w:customStyle="1">
    <w:name w:val="Table Paragraph"/>
    <w:basedOn w:val="10533"/>
    <w:uiPriority w:val="1"/>
    <w:qFormat/>
    <w:pPr>
      <w:widowControl w:val="false"/>
      <w:pBdr/>
      <w:spacing/>
      <w:ind/>
      <w:jc w:val="center"/>
    </w:pPr>
    <w:rPr>
      <w:rFonts w:ascii="Arial" w:hAnsi="Arial" w:eastAsia="Arial" w:cs="Arial"/>
      <w:lang w:val="en-US" w:eastAsia="en-US"/>
    </w:rPr>
  </w:style>
  <w:style w:type="paragraph" w:styleId="12395" w:customStyle="1">
    <w:name w:val="number-facts"/>
    <w:basedOn w:val="10533"/>
    <w:qFormat/>
    <w:pPr>
      <w:pBdr/>
      <w:spacing w:afterAutospacing="1" w:beforeAutospacing="1"/>
      <w:ind/>
    </w:pPr>
  </w:style>
  <w:style w:type="paragraph" w:styleId="12398" w:customStyle="1">
    <w:name w:val="Основной текст (15)"/>
    <w:basedOn w:val="10533"/>
    <w:qFormat/>
    <w:pPr>
      <w:widowControl w:val="false"/>
      <w:pBdr/>
      <w:shd w:val="clear" w:color="auto" w:fill="ffffff"/>
      <w:spacing w:after="60" w:before="0" w:line="104" w:lineRule="exact"/>
      <w:ind/>
    </w:pPr>
    <w:rPr>
      <w:sz w:val="18"/>
      <w:szCs w:val="18"/>
      <w:lang w:val="en-US" w:eastAsia="en-US"/>
    </w:rPr>
  </w:style>
  <w:style w:type="paragraph" w:styleId="12401" w:customStyle="1">
    <w:name w:val="Подпись к картинке"/>
    <w:basedOn w:val="10533"/>
    <w:link w:val="10791"/>
    <w:qFormat/>
    <w:pPr>
      <w:widowControl w:val="false"/>
      <w:pBdr/>
      <w:shd w:val="clear" w:color="auto" w:fill="ffffff"/>
      <w:spacing w:line="0" w:lineRule="atLeast"/>
      <w:ind/>
    </w:pPr>
  </w:style>
  <w:style w:type="paragraph" w:styleId="12403" w:customStyle="1">
    <w:name w:val="msonormal"/>
    <w:basedOn w:val="10533"/>
    <w:qFormat/>
    <w:pPr>
      <w:pBdr/>
      <w:spacing w:afterAutospacing="1" w:beforeAutospacing="1"/>
      <w:ind/>
    </w:pPr>
  </w:style>
  <w:style w:type="paragraph" w:styleId="12404" w:customStyle="1">
    <w:name w:val="Заголовок №7 (9)"/>
    <w:basedOn w:val="10533"/>
    <w:link w:val="10798"/>
    <w:qFormat/>
    <w:pPr>
      <w:widowControl w:val="false"/>
      <w:pBdr/>
      <w:shd w:val="clear" w:color="auto" w:fill="ffffff"/>
      <w:spacing w:line="0" w:lineRule="atLeast"/>
      <w:ind/>
      <w:outlineLvl w:val="6"/>
    </w:pPr>
    <w:rPr>
      <w:b/>
      <w:bCs/>
    </w:rPr>
  </w:style>
  <w:style w:type="paragraph" w:styleId="12405" w:customStyle="1">
    <w:name w:val="Основной текст (73)"/>
    <w:basedOn w:val="10533"/>
    <w:link w:val="10802"/>
    <w:qFormat/>
    <w:pPr>
      <w:widowControl w:val="false"/>
      <w:pBdr/>
      <w:shd w:val="clear" w:color="auto" w:fill="ffffff"/>
      <w:spacing w:after="0" w:before="60" w:line="0" w:lineRule="atLeast"/>
      <w:ind w:hanging="240"/>
    </w:pPr>
    <w:rPr>
      <w:rFonts w:ascii="Arial Narrow" w:hAnsi="Arial Narrow" w:eastAsia="Arial Narrow" w:cs="Arial Narrow"/>
      <w:spacing w:val="-20"/>
      <w:sz w:val="16"/>
      <w:szCs w:val="16"/>
    </w:rPr>
  </w:style>
  <w:style w:type="paragraph" w:styleId="12406" w:customStyle="1">
    <w:name w:val="Заголовок №6"/>
    <w:basedOn w:val="10533"/>
    <w:link w:val="10803"/>
    <w:qFormat/>
    <w:pPr>
      <w:widowControl w:val="false"/>
      <w:pBdr/>
      <w:shd w:val="clear" w:color="auto" w:fill="ffffff"/>
      <w:spacing w:line="0" w:lineRule="atLeast"/>
      <w:ind/>
      <w:outlineLvl w:val="5"/>
    </w:pPr>
  </w:style>
  <w:style w:type="paragraph" w:styleId="12407" w:customStyle="1">
    <w:name w:val="Основной текст (36)"/>
    <w:basedOn w:val="10533"/>
    <w:link w:val="10804"/>
    <w:qFormat/>
    <w:pPr>
      <w:widowControl w:val="false"/>
      <w:pBdr/>
      <w:shd w:val="clear" w:color="auto" w:fill="ffffff"/>
      <w:spacing w:line="252" w:lineRule="exact"/>
      <w:ind/>
      <w:jc w:val="both"/>
    </w:pPr>
    <w:rPr>
      <w:b/>
      <w:bCs/>
      <w:sz w:val="21"/>
      <w:szCs w:val="21"/>
    </w:rPr>
  </w:style>
  <w:style w:type="paragraph" w:styleId="12408" w:customStyle="1">
    <w:name w:val="Основной текст (96)"/>
    <w:basedOn w:val="10533"/>
    <w:link w:val="10807"/>
    <w:qFormat/>
    <w:pPr>
      <w:widowControl w:val="false"/>
      <w:pBdr/>
      <w:shd w:val="clear" w:color="auto" w:fill="ffffff"/>
      <w:spacing w:line="212" w:lineRule="exact"/>
      <w:ind w:hanging="2140"/>
    </w:pPr>
    <w:rPr>
      <w:sz w:val="15"/>
      <w:szCs w:val="15"/>
    </w:rPr>
  </w:style>
  <w:style w:type="paragraph" w:styleId="12409" w:customStyle="1">
    <w:name w:val="Основной текст (47)"/>
    <w:basedOn w:val="10533"/>
    <w:link w:val="10808"/>
    <w:qFormat/>
    <w:pPr>
      <w:widowControl w:val="false"/>
      <w:pBdr/>
      <w:shd w:val="clear" w:color="auto" w:fill="ffffff"/>
      <w:spacing w:line="370" w:lineRule="exact"/>
      <w:ind/>
      <w:jc w:val="both"/>
    </w:pPr>
    <w:rPr>
      <w:sz w:val="28"/>
      <w:szCs w:val="28"/>
    </w:rPr>
  </w:style>
  <w:style w:type="paragraph" w:styleId="12410" w:customStyle="1">
    <w:name w:val="Основной текст (155)"/>
    <w:basedOn w:val="10533"/>
    <w:link w:val="10810"/>
    <w:qFormat/>
    <w:pPr>
      <w:widowControl w:val="false"/>
      <w:pBdr/>
      <w:shd w:val="clear" w:color="auto" w:fill="ffffff"/>
      <w:spacing w:line="0" w:lineRule="atLeast"/>
      <w:ind/>
    </w:pPr>
    <w:rPr>
      <w:rFonts w:ascii="Arial" w:hAnsi="Arial" w:eastAsia="Arial" w:cs="Arial"/>
      <w:sz w:val="14"/>
      <w:szCs w:val="14"/>
    </w:rPr>
  </w:style>
  <w:style w:type="paragraph" w:styleId="12411" w:customStyle="1">
    <w:name w:val="Основной текст (159)"/>
    <w:basedOn w:val="10533"/>
    <w:qFormat/>
    <w:pPr>
      <w:widowControl w:val="false"/>
      <w:pBdr/>
      <w:shd w:val="clear" w:color="auto" w:fill="ffffff"/>
      <w:spacing w:line="320" w:lineRule="exact"/>
      <w:ind w:hanging="460"/>
      <w:jc w:val="both"/>
    </w:pPr>
    <w:rPr>
      <w:color w:val="000000"/>
      <w:lang w:bidi="ru-RU"/>
    </w:rPr>
  </w:style>
  <w:style w:type="paragraph" w:styleId="12413" w:customStyle="1">
    <w:name w:val="Текст титула"/>
    <w:link w:val="10815"/>
    <w:qFormat/>
    <w:pPr>
      <w:widowControl w:val="true"/>
      <w:pBdr/>
      <w:bidi w:val="false"/>
      <w:spacing w:after="120" w:before="0" w:line="240" w:lineRule="auto"/>
      <w:ind/>
      <w:jc w:val="center"/>
    </w:pPr>
    <w:rPr>
      <w:rFonts w:ascii="Times New Roman" w:hAnsi="Times New Roman" w:eastAsia="Times New Roman" w:cs="Times New Roman"/>
      <w:b/>
      <w:color w:val="auto"/>
      <w:sz w:val="24"/>
      <w:szCs w:val="20"/>
      <w:lang w:val="ru-RU" w:eastAsia="en-US" w:bidi="ar-SA"/>
    </w:rPr>
  </w:style>
  <w:style w:type="paragraph" w:styleId="12414" w:customStyle="1">
    <w:name w:val="Текст титула 2"/>
    <w:basedOn w:val="10533"/>
    <w:qFormat/>
    <w:pPr>
      <w:widowControl w:val="false"/>
      <w:pBdr/>
      <w:spacing w:after="0" w:before="4800" w:line="300" w:lineRule="auto"/>
      <w:ind/>
      <w:contextualSpacing w:val="true"/>
      <w:jc w:val="center"/>
    </w:pPr>
    <w:rPr>
      <w:rFonts w:cs="Arial"/>
      <w:b/>
      <w:lang w:eastAsia="en-US"/>
    </w:rPr>
  </w:style>
  <w:style w:type="paragraph" w:styleId="12415" w:customStyle="1">
    <w:name w:val="0.0 Текст"/>
    <w:basedOn w:val="10533"/>
    <w:link w:val="10816"/>
    <w:qFormat/>
    <w:pPr>
      <w:pBdr/>
      <w:spacing w:after="400" w:before="40" w:line="300" w:lineRule="auto"/>
      <w:ind w:firstLine="709"/>
      <w:contextualSpacing w:val="true"/>
      <w:jc w:val="both"/>
    </w:pPr>
    <w:rPr>
      <w:rFonts w:cs="Arial"/>
      <w:sz w:val="28"/>
      <w:lang w:eastAsia="en-US"/>
    </w:rPr>
  </w:style>
  <w:style w:type="paragraph" w:styleId="12416" w:customStyle="1">
    <w:name w:val="formattext"/>
    <w:basedOn w:val="10533"/>
    <w:qFormat/>
    <w:pPr>
      <w:pBdr/>
      <w:spacing w:afterAutospacing="1" w:beforeAutospacing="1"/>
      <w:ind/>
    </w:pPr>
  </w:style>
  <w:style w:type="paragraph" w:styleId="12417" w:customStyle="1">
    <w:name w:val="font17"/>
    <w:basedOn w:val="10533"/>
    <w:uiPriority w:val="99"/>
    <w:qFormat/>
    <w:pPr>
      <w:pBdr/>
      <w:spacing w:afterAutospacing="1" w:beforeAutospacing="1"/>
      <w:ind/>
    </w:pPr>
    <w:rPr>
      <w:rFonts w:ascii="Calibri" w:hAnsi="Calibri" w:cs="Calibri"/>
      <w:b/>
      <w:bCs/>
      <w:color w:val="000000"/>
      <w:sz w:val="18"/>
      <w:szCs w:val="18"/>
    </w:rPr>
  </w:style>
  <w:style w:type="paragraph" w:styleId="12418" w:customStyle="1">
    <w:name w:val="font18"/>
    <w:basedOn w:val="10533"/>
    <w:uiPriority w:val="99"/>
    <w:qFormat/>
    <w:pPr>
      <w:pBdr/>
      <w:spacing w:afterAutospacing="1" w:beforeAutospacing="1"/>
      <w:ind/>
    </w:pPr>
    <w:rPr>
      <w:b/>
      <w:bCs/>
      <w:color w:val="000000"/>
      <w:sz w:val="18"/>
      <w:szCs w:val="18"/>
    </w:rPr>
  </w:style>
  <w:style w:type="paragraph" w:styleId="12419" w:customStyle="1">
    <w:name w:val="S_Обычный"/>
    <w:basedOn w:val="10533"/>
    <w:qFormat/>
    <w:pPr>
      <w:pBdr/>
      <w:spacing/>
      <w:ind w:firstLine="709"/>
      <w:jc w:val="both"/>
    </w:pPr>
    <w:rPr>
      <w:lang w:eastAsia="ar-SA"/>
    </w:rPr>
  </w:style>
  <w:style w:type="paragraph" w:styleId="12420" w:customStyle="1">
    <w:name w:val="! AAA !"/>
    <w:link w:val="10819"/>
    <w:uiPriority w:val="99"/>
    <w:qFormat/>
    <w:pPr>
      <w:widowControl w:val="true"/>
      <w:pBdr/>
      <w:bidi w:val="false"/>
      <w:spacing w:after="120" w:before="0" w:line="240" w:lineRule="auto"/>
      <w:ind/>
      <w:jc w:val="both"/>
    </w:pPr>
    <w:rPr>
      <w:rFonts w:ascii="Calibri" w:hAnsi="Calibri" w:eastAsia="宋体" w:asciiTheme="minorHAnsi" w:hAnsiTheme="minorHAnsi" w:eastAsiaTheme="minorEastAsia" w:cstheme="minorBidi"/>
      <w:color w:val="auto"/>
      <w:sz w:val="24"/>
      <w:szCs w:val="16"/>
      <w:lang w:val="ru-RU" w:eastAsia="ru-RU" w:bidi="ar-SA"/>
    </w:rPr>
  </w:style>
  <w:style w:type="paragraph" w:styleId="12422" w:customStyle="1">
    <w:name w:val="Заголовок 61"/>
    <w:basedOn w:val="10533"/>
    <w:next w:val="10533"/>
    <w:unhideWhenUsed/>
    <w:qFormat/>
    <w:pPr>
      <w:pBdr/>
      <w:shd w:val="clear" w:color="auto" w:fill="ffffff"/>
      <w:spacing w:line="271" w:lineRule="auto"/>
      <w:ind w:firstLine="680"/>
      <w:jc w:val="both"/>
      <w:outlineLvl w:val="5"/>
    </w:pPr>
    <w:rPr>
      <w:rFonts w:ascii="Cambria" w:hAnsi="Cambria"/>
      <w:b/>
      <w:bCs/>
      <w:color w:val="595959"/>
      <w:spacing w:val="5"/>
      <w:lang w:val="en-US" w:eastAsia="en-US" w:bidi="en-US"/>
    </w:rPr>
  </w:style>
  <w:style w:type="paragraph" w:styleId="12423" w:customStyle="1">
    <w:name w:val="Заголовок 71"/>
    <w:basedOn w:val="10533"/>
    <w:next w:val="10533"/>
    <w:unhideWhenUsed/>
    <w:qFormat/>
    <w:pPr>
      <w:pBdr/>
      <w:spacing w:line="360" w:lineRule="auto"/>
      <w:ind w:firstLine="680"/>
      <w:jc w:val="both"/>
      <w:outlineLvl w:val="6"/>
    </w:pPr>
    <w:rPr>
      <w:rFonts w:ascii="Cambria" w:hAnsi="Cambria"/>
      <w:b/>
      <w:bCs/>
      <w:i/>
      <w:iCs/>
      <w:color w:val="5a5a5a"/>
      <w:sz w:val="20"/>
      <w:szCs w:val="20"/>
      <w:lang w:val="en-US" w:eastAsia="en-US" w:bidi="en-US"/>
    </w:rPr>
  </w:style>
  <w:style w:type="paragraph" w:styleId="12424" w:customStyle="1">
    <w:name w:val="Заголовок 81"/>
    <w:basedOn w:val="10533"/>
    <w:next w:val="10533"/>
    <w:unhideWhenUsed/>
    <w:qFormat/>
    <w:pPr>
      <w:pBdr/>
      <w:spacing w:line="360" w:lineRule="auto"/>
      <w:ind w:firstLine="680"/>
      <w:jc w:val="both"/>
      <w:outlineLvl w:val="7"/>
    </w:pPr>
    <w:rPr>
      <w:rFonts w:ascii="Cambria" w:hAnsi="Cambria"/>
      <w:b/>
      <w:bCs/>
      <w:color w:val="7f7f7f"/>
      <w:sz w:val="20"/>
      <w:szCs w:val="20"/>
      <w:lang w:val="en-US" w:eastAsia="en-US" w:bidi="en-US"/>
    </w:rPr>
  </w:style>
  <w:style w:type="paragraph" w:styleId="12427" w:customStyle="1">
    <w:name w:val="Подзаголовок1"/>
    <w:basedOn w:val="10533"/>
    <w:next w:val="10533"/>
    <w:uiPriority w:val="99"/>
    <w:qFormat/>
    <w:pPr>
      <w:pBdr/>
      <w:spacing w:line="360" w:lineRule="auto"/>
      <w:ind w:firstLine="680"/>
      <w:jc w:val="both"/>
    </w:pPr>
    <w:rPr>
      <w:rFonts w:ascii="Cambria" w:hAnsi="Cambria"/>
      <w:i/>
      <w:iCs/>
      <w:smallCaps/>
      <w:spacing w:val="10"/>
      <w:sz w:val="28"/>
      <w:szCs w:val="28"/>
      <w:lang w:val="en-US" w:eastAsia="en-US" w:bidi="en-US"/>
    </w:rPr>
  </w:style>
  <w:style w:type="paragraph" w:styleId="12430" w:customStyle="1">
    <w:name w:val="Выделенная цитата1"/>
    <w:basedOn w:val="10533"/>
    <w:next w:val="10533"/>
    <w:uiPriority w:val="30"/>
    <w:qFormat/>
    <w:pPr>
      <w:pBdr>
        <w:top w:val="single" w:color="000000" w:sz="4" w:space="10"/>
        <w:bottom w:val="single" w:color="000000" w:sz="4" w:space="10"/>
      </w:pBdr>
      <w:spacing w:after="240" w:before="240" w:line="300" w:lineRule="auto"/>
      <w:ind w:right="1152" w:firstLine="680" w:left="1152"/>
      <w:jc w:val="both"/>
    </w:pPr>
    <w:rPr>
      <w:rFonts w:ascii="Cambria" w:hAnsi="Cambria"/>
      <w:i/>
      <w:iCs/>
      <w:lang w:val="en-US" w:eastAsia="en-US" w:bidi="en-US"/>
    </w:rPr>
  </w:style>
  <w:style w:type="paragraph" w:styleId="12431" w:customStyle="1">
    <w:name w:val="Таблицы (моноширинный)"/>
    <w:basedOn w:val="10533"/>
    <w:next w:val="10533"/>
    <w:uiPriority w:val="99"/>
    <w:qFormat/>
    <w:pPr>
      <w:widowControl w:val="false"/>
      <w:pBdr/>
      <w:spacing/>
      <w:ind/>
      <w:jc w:val="both"/>
    </w:pPr>
    <w:rPr>
      <w:rFonts w:ascii="Courier New" w:hAnsi="Courier New" w:cs="Courier New"/>
      <w:sz w:val="26"/>
      <w:szCs w:val="26"/>
    </w:rPr>
  </w:style>
  <w:style w:type="paragraph" w:styleId="12432" w:customStyle="1">
    <w:name w:val="Мой 111"/>
    <w:basedOn w:val="10536"/>
    <w:qFormat/>
    <w:pPr>
      <w:keepLines w:val="true"/>
      <w:numPr>
        <w:ilvl w:val="0"/>
        <w:numId w:val="0"/>
      </w:numPr>
      <w:pBdr/>
      <w:tabs>
        <w:tab w:val="clear" w:leader="none" w:pos="708"/>
        <w:tab w:val="left" w:leader="none" w:pos="907"/>
      </w:tabs>
      <w:spacing w:after="280" w:before="280" w:line="240" w:lineRule="auto"/>
      <w:ind w:firstLine="851"/>
      <w:jc w:val="both"/>
    </w:pPr>
    <w:rPr>
      <w:rFonts w:eastAsia="TimesNewRomanPSMT" w:cs="Times New Roman"/>
      <w:i/>
      <w:iCs w:val="0"/>
      <w:sz w:val="24"/>
      <w:lang w:bidi="ar-SA"/>
    </w:rPr>
  </w:style>
  <w:style w:type="paragraph" w:styleId="12433" w:customStyle="1">
    <w:name w:val="Мой 1111"/>
    <w:basedOn w:val="10537"/>
    <w:link w:val="13608"/>
    <w:qFormat/>
    <w:pPr>
      <w:keepNext w:val="true"/>
      <w:pBdr/>
      <w:spacing w:after="240" w:before="360" w:line="240" w:lineRule="auto"/>
      <w:ind w:right="-108" w:hanging="862" w:left="862"/>
      <w:jc w:val="left"/>
    </w:pPr>
    <w:rPr>
      <w:rFonts w:ascii="Times New Roman" w:hAnsi="Times New Roman" w:eastAsia="Calibri"/>
      <w:spacing w:val="0"/>
      <w:lang w:val="ru-RU" w:eastAsia="ar-SA" w:bidi="ar-SA"/>
    </w:rPr>
  </w:style>
  <w:style w:type="paragraph" w:styleId="12434" w:customStyle="1">
    <w:name w:val="в таблицу"/>
    <w:basedOn w:val="10533"/>
    <w:link w:val="10831"/>
    <w:qFormat/>
    <w:pPr>
      <w:pBdr/>
      <w:spacing/>
      <w:ind/>
      <w:jc w:val="center"/>
    </w:pPr>
    <w:rPr>
      <w:sz w:val="20"/>
      <w:szCs w:val="20"/>
    </w:rPr>
  </w:style>
  <w:style w:type="paragraph" w:styleId="12435" w:customStyle="1">
    <w:name w:val="мой для рисунка"/>
    <w:basedOn w:val="10533"/>
    <w:link w:val="10832"/>
    <w:qFormat/>
    <w:pPr>
      <w:pBdr/>
      <w:spacing w:after="0" w:before="120" w:line="300" w:lineRule="auto"/>
      <w:ind w:left="-284"/>
      <w:jc w:val="center"/>
    </w:pPr>
    <w:rPr>
      <w:rFonts w:eastAsia="Calibri"/>
      <w:b/>
      <w:szCs w:val="28"/>
    </w:rPr>
  </w:style>
  <w:style w:type="paragraph" w:styleId="12436" w:customStyle="1">
    <w:name w:val="Мой Рисунок"/>
    <w:basedOn w:val="10533"/>
    <w:link w:val="10834"/>
    <w:qFormat/>
    <w:pPr>
      <w:pBdr/>
      <w:spacing w:line="360" w:lineRule="auto"/>
      <w:ind/>
      <w:jc w:val="center"/>
    </w:pPr>
    <w:rPr>
      <w:rFonts w:ascii="Arial" w:hAnsi="Arial" w:cs="Arial"/>
      <w:szCs w:val="20"/>
    </w:rPr>
  </w:style>
  <w:style w:type="paragraph" w:styleId="12437" w:customStyle="1">
    <w:name w:val="Стиль №3"/>
    <w:basedOn w:val="10533"/>
    <w:link w:val="10835"/>
    <w:qFormat/>
    <w:pPr>
      <w:pBdr/>
      <w:spacing w:line="360" w:lineRule="auto"/>
      <w:ind w:firstLine="709"/>
      <w:jc w:val="both"/>
    </w:pPr>
    <w:rPr>
      <w:rFonts w:ascii="Arial" w:hAnsi="Arial" w:cs="Arial"/>
      <w:szCs w:val="20"/>
    </w:rPr>
  </w:style>
  <w:style w:type="paragraph" w:styleId="12438" w:customStyle="1">
    <w:name w:val="Стиль №7"/>
    <w:basedOn w:val="12437"/>
    <w:link w:val="13714"/>
    <w:uiPriority w:val="99"/>
    <w:qFormat/>
    <w:pPr>
      <w:numPr>
        <w:ilvl w:val="0"/>
        <w:numId w:val="33"/>
      </w:numPr>
      <w:pBdr/>
      <w:spacing/>
      <w:ind w:hanging="360" w:left="927"/>
    </w:pPr>
  </w:style>
  <w:style w:type="paragraph" w:styleId="12439" w:customStyle="1">
    <w:name w:val="Стиль №6"/>
    <w:basedOn w:val="10533"/>
    <w:link w:val="10837"/>
    <w:qFormat/>
    <w:pPr>
      <w:pBdr/>
      <w:spacing/>
      <w:ind/>
      <w:jc w:val="center"/>
    </w:pPr>
    <w:rPr>
      <w:rFonts w:ascii="Arial" w:hAnsi="Arial"/>
      <w:sz w:val="20"/>
      <w:szCs w:val="28"/>
    </w:rPr>
  </w:style>
  <w:style w:type="paragraph" w:styleId="12440" w:customStyle="1">
    <w:name w:val="Стиль №5"/>
    <w:basedOn w:val="10533"/>
    <w:link w:val="10838"/>
    <w:qFormat/>
    <w:pPr>
      <w:pBdr/>
      <w:spacing w:line="360" w:lineRule="auto"/>
      <w:ind/>
      <w:jc w:val="center"/>
    </w:pPr>
    <w:rPr>
      <w:rFonts w:cs="Arial"/>
      <w:szCs w:val="20"/>
    </w:rPr>
  </w:style>
  <w:style w:type="paragraph" w:styleId="12442" w:customStyle="1">
    <w:name w:val="Стиль №8"/>
    <w:basedOn w:val="10536"/>
    <w:next w:val="10533"/>
    <w:link w:val="10840"/>
    <w:qFormat/>
    <w:pPr>
      <w:keepLines w:val="true"/>
      <w:numPr>
        <w:ilvl w:val="0"/>
        <w:numId w:val="0"/>
      </w:numPr>
      <w:pBdr/>
      <w:spacing w:after="0" w:before="0" w:line="360" w:lineRule="auto"/>
      <w:ind/>
    </w:pPr>
    <w:rPr>
      <w:rFonts w:cs="Times New Roman"/>
      <w:i/>
      <w:iCs w:val="0"/>
      <w:sz w:val="24"/>
      <w:szCs w:val="24"/>
      <w:lang w:eastAsia="ru-RU" w:bidi="ar-SA"/>
    </w:rPr>
  </w:style>
  <w:style w:type="paragraph" w:styleId="12443" w:customStyle="1">
    <w:name w:val="Стиль №12"/>
    <w:basedOn w:val="10533"/>
    <w:link w:val="10841"/>
    <w:qFormat/>
    <w:pPr>
      <w:pBdr/>
      <w:tabs>
        <w:tab w:val="clear" w:leader="none" w:pos="708"/>
        <w:tab w:val="left" w:leader="none" w:pos="720"/>
      </w:tabs>
      <w:spacing w:line="360" w:lineRule="auto"/>
      <w:ind w:firstLine="709" w:left="720"/>
      <w:jc w:val="both"/>
    </w:pPr>
    <w:rPr>
      <w:rFonts w:eastAsia="Calibri"/>
      <w:i/>
    </w:rPr>
  </w:style>
  <w:style w:type="paragraph" w:styleId="12445" w:customStyle="1">
    <w:name w:val="Стиль №10"/>
    <w:basedOn w:val="12437"/>
    <w:link w:val="10843"/>
    <w:qFormat/>
    <w:pPr>
      <w:pBdr/>
      <w:spacing/>
      <w:ind/>
    </w:pPr>
    <w:rPr>
      <w:i/>
    </w:rPr>
  </w:style>
  <w:style w:type="paragraph" w:styleId="12447" w:customStyle="1">
    <w:name w:val="МОЯ ТАБЛИЦА"/>
    <w:basedOn w:val="10533"/>
    <w:link w:val="10845"/>
    <w:qFormat/>
    <w:pPr>
      <w:pBdr/>
      <w:spacing w:line="360" w:lineRule="auto"/>
      <w:ind/>
      <w:jc w:val="both"/>
    </w:pPr>
    <w:rPr>
      <w:rFonts w:ascii="Arial" w:hAnsi="Arial"/>
      <w:bCs/>
      <w:szCs w:val="28"/>
    </w:rPr>
  </w:style>
  <w:style w:type="paragraph" w:styleId="12448" w:customStyle="1">
    <w:name w:val="таблица новая"/>
    <w:basedOn w:val="10533"/>
    <w:link w:val="10846"/>
    <w:qFormat/>
    <w:pPr>
      <w:pBdr/>
      <w:spacing/>
      <w:ind w:right="-57" w:left="-57"/>
      <w:jc w:val="center"/>
    </w:pPr>
    <w:rPr>
      <w:rFonts w:ascii="Arial" w:hAnsi="Arial"/>
      <w:sz w:val="20"/>
      <w:szCs w:val="28"/>
    </w:rPr>
  </w:style>
  <w:style w:type="paragraph" w:styleId="12449" w:customStyle="1">
    <w:name w:val="текст"/>
    <w:basedOn w:val="10533"/>
    <w:link w:val="10847"/>
    <w:qFormat/>
    <w:pPr>
      <w:pBdr/>
      <w:spacing w:line="360" w:lineRule="auto"/>
      <w:ind w:right="50" w:firstLine="851" w:left="102"/>
      <w:jc w:val="both"/>
    </w:pPr>
    <w:rPr>
      <w:rFonts w:ascii="Arial" w:hAnsi="Arial" w:cs="Arial"/>
      <w:bCs/>
    </w:rPr>
  </w:style>
  <w:style w:type="paragraph" w:styleId="12450" w:customStyle="1">
    <w:name w:val="xl63492"/>
    <w:basedOn w:val="10533"/>
    <w:uiPriority w:val="99"/>
    <w:qFormat/>
    <w:pPr>
      <w:pBdr>
        <w:bottom w:val="single" w:color="000000" w:sz="8" w:space="0"/>
        <w:right w:val="single" w:color="000000" w:sz="8" w:space="0"/>
      </w:pBdr>
      <w:spacing w:afterAutospacing="1" w:beforeAutospacing="1"/>
      <w:ind/>
      <w:jc w:val="center"/>
    </w:pPr>
    <w:rPr>
      <w:rFonts w:ascii="Arial" w:hAnsi="Arial" w:cs="Arial"/>
      <w:b/>
      <w:bCs/>
      <w:color w:val="000000"/>
      <w:sz w:val="20"/>
      <w:szCs w:val="20"/>
    </w:rPr>
  </w:style>
  <w:style w:type="paragraph" w:styleId="12451" w:customStyle="1">
    <w:name w:val="xl63493"/>
    <w:basedOn w:val="10533"/>
    <w:uiPriority w:val="99"/>
    <w:qFormat/>
    <w:pPr>
      <w:pBdr>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52" w:customStyle="1">
    <w:name w:val="xl63494"/>
    <w:basedOn w:val="10533"/>
    <w:uiPriority w:val="99"/>
    <w:qFormat/>
    <w:pPr>
      <w:pBdr>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53" w:customStyle="1">
    <w:name w:val="xl63495"/>
    <w:basedOn w:val="10533"/>
    <w:uiPriority w:val="99"/>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rFonts w:ascii="Arial" w:hAnsi="Arial" w:cs="Arial"/>
      <w:b/>
      <w:bCs/>
      <w:color w:val="000000"/>
      <w:sz w:val="20"/>
      <w:szCs w:val="20"/>
    </w:rPr>
  </w:style>
  <w:style w:type="paragraph" w:styleId="12454" w:customStyle="1">
    <w:name w:val="xl63496"/>
    <w:basedOn w:val="10533"/>
    <w:uiPriority w:val="99"/>
    <w:qFormat/>
    <w:pPr>
      <w:pBdr>
        <w:top w:val="single" w:color="000000" w:sz="8" w:space="0"/>
        <w:left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55" w:customStyle="1">
    <w:name w:val="xl63497"/>
    <w:basedOn w:val="10533"/>
    <w:uiPriority w:val="99"/>
    <w:qFormat/>
    <w:pPr>
      <w:pBdr>
        <w:left w:val="single" w:color="000000" w:sz="8" w:space="0"/>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56" w:customStyle="1">
    <w:name w:val="xl63498"/>
    <w:basedOn w:val="10533"/>
    <w:uiPriority w:val="99"/>
    <w:qFormat/>
    <w:pPr>
      <w:pBdr>
        <w:top w:val="single" w:color="000000" w:sz="8" w:space="0"/>
        <w:left w:val="single" w:color="000000" w:sz="8" w:space="0"/>
        <w:bottom w:val="single" w:color="000000" w:sz="8" w:space="0"/>
      </w:pBdr>
      <w:spacing w:afterAutospacing="1" w:beforeAutospacing="1"/>
      <w:ind/>
      <w:jc w:val="center"/>
    </w:pPr>
    <w:rPr>
      <w:rFonts w:ascii="Arial" w:hAnsi="Arial" w:cs="Arial"/>
      <w:b/>
      <w:bCs/>
      <w:color w:val="000000"/>
      <w:sz w:val="20"/>
      <w:szCs w:val="20"/>
    </w:rPr>
  </w:style>
  <w:style w:type="paragraph" w:styleId="12457" w:customStyle="1">
    <w:name w:val="xl63499"/>
    <w:basedOn w:val="10533"/>
    <w:uiPriority w:val="99"/>
    <w:qFormat/>
    <w:pPr>
      <w:pBdr>
        <w:top w:val="single" w:color="000000" w:sz="8" w:space="0"/>
        <w:bottom w:val="single" w:color="000000" w:sz="8" w:space="0"/>
      </w:pBdr>
      <w:spacing w:afterAutospacing="1" w:beforeAutospacing="1"/>
      <w:ind/>
      <w:jc w:val="center"/>
    </w:pPr>
    <w:rPr>
      <w:rFonts w:ascii="Arial" w:hAnsi="Arial" w:cs="Arial"/>
      <w:b/>
      <w:bCs/>
      <w:color w:val="000000"/>
      <w:sz w:val="20"/>
      <w:szCs w:val="20"/>
    </w:rPr>
  </w:style>
  <w:style w:type="paragraph" w:styleId="12458" w:customStyle="1">
    <w:name w:val="xl63500"/>
    <w:basedOn w:val="10533"/>
    <w:uiPriority w:val="99"/>
    <w:qFormat/>
    <w:pPr>
      <w:pBdr>
        <w:top w:val="single" w:color="000000" w:sz="8" w:space="0"/>
        <w:bottom w:val="single" w:color="000000" w:sz="8" w:space="0"/>
        <w:right w:val="single" w:color="000000" w:sz="8" w:space="0"/>
      </w:pBdr>
      <w:spacing w:afterAutospacing="1" w:beforeAutospacing="1"/>
      <w:ind/>
      <w:jc w:val="center"/>
    </w:pPr>
    <w:rPr>
      <w:rFonts w:ascii="Arial" w:hAnsi="Arial" w:cs="Arial"/>
      <w:b/>
      <w:bCs/>
      <w:color w:val="000000"/>
      <w:sz w:val="20"/>
      <w:szCs w:val="20"/>
    </w:rPr>
  </w:style>
  <w:style w:type="paragraph" w:styleId="12459" w:customStyle="1">
    <w:name w:val="xl63501"/>
    <w:basedOn w:val="10533"/>
    <w:uiPriority w:val="99"/>
    <w:qFormat/>
    <w:pPr>
      <w:pBdr>
        <w:right w:val="single" w:color="000000" w:sz="8" w:space="0"/>
      </w:pBdr>
      <w:spacing w:afterAutospacing="1" w:beforeAutospacing="1"/>
      <w:ind/>
      <w:jc w:val="center"/>
    </w:pPr>
    <w:rPr>
      <w:rFonts w:ascii="Arial" w:hAnsi="Arial" w:cs="Arial"/>
      <w:color w:val="000000"/>
      <w:sz w:val="20"/>
      <w:szCs w:val="20"/>
    </w:rPr>
  </w:style>
  <w:style w:type="paragraph" w:styleId="12460" w:customStyle="1">
    <w:name w:val="xl63502"/>
    <w:basedOn w:val="10533"/>
    <w:uiPriority w:val="99"/>
    <w:qFormat/>
    <w:pPr>
      <w:pBdr>
        <w:top w:val="single" w:color="000000" w:sz="8" w:space="0"/>
        <w:left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61" w:customStyle="1">
    <w:name w:val="xl63503"/>
    <w:basedOn w:val="10533"/>
    <w:uiPriority w:val="99"/>
    <w:qFormat/>
    <w:pPr>
      <w:pBdr>
        <w:top w:val="single" w:color="000000" w:sz="8" w:space="0"/>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62" w:customStyle="1">
    <w:name w:val="xl63504"/>
    <w:basedOn w:val="10533"/>
    <w:uiPriority w:val="99"/>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463" w:customStyle="1">
    <w:name w:val="xl63505"/>
    <w:basedOn w:val="10533"/>
    <w:uiPriority w:val="99"/>
    <w:qFormat/>
    <w:pPr>
      <w:pBdr>
        <w:bottom w:val="single" w:color="000000" w:sz="8" w:space="0"/>
      </w:pBdr>
      <w:spacing w:afterAutospacing="1" w:beforeAutospacing="1"/>
      <w:ind/>
      <w:jc w:val="center"/>
    </w:pPr>
    <w:rPr>
      <w:rFonts w:ascii="Arial" w:hAnsi="Arial" w:cs="Arial"/>
      <w:color w:val="000000"/>
      <w:sz w:val="20"/>
      <w:szCs w:val="20"/>
    </w:rPr>
  </w:style>
  <w:style w:type="paragraph" w:styleId="12464" w:customStyle="1">
    <w:name w:val="xl63506"/>
    <w:basedOn w:val="10533"/>
    <w:uiPriority w:val="99"/>
    <w:qFormat/>
    <w:pPr>
      <w:pBdr>
        <w:left w:val="single" w:color="000000" w:sz="8" w:space="0"/>
      </w:pBdr>
      <w:spacing w:afterAutospacing="1" w:beforeAutospacing="1"/>
      <w:ind/>
      <w:jc w:val="center"/>
    </w:pPr>
    <w:rPr>
      <w:rFonts w:ascii="Arial" w:hAnsi="Arial" w:cs="Arial"/>
      <w:b/>
      <w:bCs/>
      <w:color w:val="000000"/>
      <w:sz w:val="20"/>
      <w:szCs w:val="20"/>
    </w:rPr>
  </w:style>
  <w:style w:type="paragraph" w:styleId="12465" w:customStyle="1">
    <w:name w:val="xl63507"/>
    <w:basedOn w:val="10533"/>
    <w:uiPriority w:val="99"/>
    <w:qFormat/>
    <w:pPr>
      <w:pBdr>
        <w:right w:val="single" w:color="000000" w:sz="8" w:space="0"/>
      </w:pBdr>
      <w:spacing w:afterAutospacing="1" w:beforeAutospacing="1"/>
      <w:ind/>
      <w:jc w:val="center"/>
    </w:pPr>
    <w:rPr>
      <w:rFonts w:ascii="Arial" w:hAnsi="Arial" w:cs="Arial"/>
      <w:b/>
      <w:bCs/>
      <w:color w:val="000000"/>
      <w:sz w:val="20"/>
      <w:szCs w:val="20"/>
    </w:rPr>
  </w:style>
  <w:style w:type="paragraph" w:styleId="12466" w:customStyle="1">
    <w:name w:val="xl63508"/>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rFonts w:ascii="Arial" w:hAnsi="Arial" w:cs="Arial"/>
      <w:color w:val="000000"/>
      <w:sz w:val="20"/>
      <w:szCs w:val="20"/>
    </w:rPr>
  </w:style>
  <w:style w:type="paragraph" w:styleId="12467" w:customStyle="1">
    <w:name w:val="xl63509"/>
    <w:basedOn w:val="10533"/>
    <w:uiPriority w:val="99"/>
    <w:qFormat/>
    <w:pPr>
      <w:pBdr>
        <w:bottom w:val="single" w:color="000000" w:sz="8" w:space="0"/>
        <w:right w:val="single" w:color="000000" w:sz="8" w:space="0"/>
      </w:pBdr>
      <w:shd w:val="clear" w:color="000000" w:fill="ffffff"/>
      <w:spacing w:afterAutospacing="1" w:beforeAutospacing="1"/>
      <w:ind/>
      <w:jc w:val="center"/>
    </w:pPr>
    <w:rPr>
      <w:rFonts w:ascii="Arial" w:hAnsi="Arial" w:cs="Arial"/>
      <w:color w:val="000000"/>
      <w:sz w:val="20"/>
      <w:szCs w:val="20"/>
    </w:rPr>
  </w:style>
  <w:style w:type="paragraph" w:styleId="12468" w:customStyle="1">
    <w:name w:val="xl63510"/>
    <w:basedOn w:val="10533"/>
    <w:uiPriority w:val="99"/>
    <w:qFormat/>
    <w:pPr>
      <w:pBdr>
        <w:right w:val="single" w:color="000000" w:sz="8" w:space="0"/>
      </w:pBdr>
      <w:spacing w:afterAutospacing="1" w:beforeAutospacing="1"/>
      <w:ind/>
      <w:jc w:val="center"/>
    </w:pPr>
    <w:rPr>
      <w:rFonts w:ascii="Arial" w:hAnsi="Arial" w:cs="Arial"/>
      <w:b/>
      <w:bCs/>
      <w:color w:val="000000"/>
      <w:sz w:val="20"/>
      <w:szCs w:val="20"/>
    </w:rPr>
  </w:style>
  <w:style w:type="paragraph" w:styleId="12469" w:customStyle="1">
    <w:name w:val="xl63511"/>
    <w:basedOn w:val="10533"/>
    <w:uiPriority w:val="99"/>
    <w:qFormat/>
    <w:pPr>
      <w:pBdr>
        <w:left w:val="single" w:color="000000" w:sz="8" w:space="0"/>
        <w:bottom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0" w:customStyle="1">
    <w:name w:val="xl63512"/>
    <w:basedOn w:val="10533"/>
    <w:uiPriority w:val="99"/>
    <w:qFormat/>
    <w:pPr>
      <w:pBdr>
        <w:top w:val="single" w:color="000000" w:sz="8" w:space="0"/>
        <w:left w:val="single" w:color="000000" w:sz="8" w:space="0"/>
        <w:bottom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1" w:customStyle="1">
    <w:name w:val="xl63513"/>
    <w:basedOn w:val="10533"/>
    <w:uiPriority w:val="99"/>
    <w:qFormat/>
    <w:pPr>
      <w:pBdr>
        <w:top w:val="single" w:color="000000" w:sz="8" w:space="0"/>
        <w:bottom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2" w:customStyle="1">
    <w:name w:val="xl63514"/>
    <w:basedOn w:val="10533"/>
    <w:uiPriority w:val="99"/>
    <w:qFormat/>
    <w:pPr>
      <w:pBdr>
        <w:top w:val="single" w:color="000000" w:sz="8" w:space="0"/>
        <w:bottom w:val="single" w:color="000000" w:sz="8" w:space="0"/>
        <w:right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3" w:customStyle="1">
    <w:name w:val="xl63515"/>
    <w:basedOn w:val="10533"/>
    <w:uiPriority w:val="99"/>
    <w:qFormat/>
    <w:pPr>
      <w:pBdr>
        <w:top w:val="single" w:color="000000" w:sz="8" w:space="0"/>
        <w:left w:val="single" w:color="000000" w:sz="8" w:space="0"/>
      </w:pBdr>
      <w:shd w:val="clear" w:color="000000" w:fill="ffffff"/>
      <w:spacing w:afterAutospacing="1" w:beforeAutospacing="1"/>
      <w:ind/>
      <w:jc w:val="center"/>
    </w:pPr>
    <w:rPr>
      <w:rFonts w:ascii="Arial" w:hAnsi="Arial" w:cs="Arial"/>
      <w:color w:val="000000"/>
      <w:sz w:val="20"/>
      <w:szCs w:val="20"/>
    </w:rPr>
  </w:style>
  <w:style w:type="paragraph" w:styleId="12474" w:customStyle="1">
    <w:name w:val="xl63516"/>
    <w:basedOn w:val="10533"/>
    <w:uiPriority w:val="99"/>
    <w:qFormat/>
    <w:pPr>
      <w:pBdr>
        <w:top w:val="single" w:color="000000" w:sz="8" w:space="0"/>
        <w:right w:val="single" w:color="000000" w:sz="8" w:space="0"/>
      </w:pBdr>
      <w:shd w:val="clear" w:color="000000" w:fill="ffffff"/>
      <w:spacing w:afterAutospacing="1" w:beforeAutospacing="1"/>
      <w:ind/>
      <w:jc w:val="center"/>
    </w:pPr>
    <w:rPr>
      <w:rFonts w:ascii="Arial" w:hAnsi="Arial" w:cs="Arial"/>
      <w:color w:val="000000"/>
      <w:sz w:val="20"/>
      <w:szCs w:val="20"/>
    </w:rPr>
  </w:style>
  <w:style w:type="paragraph" w:styleId="12475" w:customStyle="1">
    <w:name w:val="xl63517"/>
    <w:basedOn w:val="10533"/>
    <w:uiPriority w:val="99"/>
    <w:qFormat/>
    <w:pPr>
      <w:pBdr>
        <w:left w:val="single" w:color="000000" w:sz="8" w:space="0"/>
        <w:bottom w:val="single" w:color="000000" w:sz="8" w:space="0"/>
      </w:pBdr>
      <w:shd w:val="clear" w:color="000000" w:fill="ffffff"/>
      <w:spacing w:afterAutospacing="1" w:beforeAutospacing="1"/>
      <w:ind/>
      <w:jc w:val="center"/>
    </w:pPr>
    <w:rPr>
      <w:rFonts w:ascii="Arial" w:hAnsi="Arial" w:cs="Arial"/>
      <w:color w:val="000000"/>
      <w:sz w:val="20"/>
      <w:szCs w:val="20"/>
    </w:rPr>
  </w:style>
  <w:style w:type="paragraph" w:styleId="12476" w:customStyle="1">
    <w:name w:val="xl63518"/>
    <w:basedOn w:val="10533"/>
    <w:uiPriority w:val="99"/>
    <w:qFormat/>
    <w:pPr>
      <w:pBdr>
        <w:bottom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7" w:customStyle="1">
    <w:name w:val="xl63519"/>
    <w:basedOn w:val="10533"/>
    <w:uiPriority w:val="99"/>
    <w:qFormat/>
    <w:pPr>
      <w:pBdr>
        <w:bottom w:val="single" w:color="000000" w:sz="8" w:space="0"/>
        <w:right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8" w:customStyle="1">
    <w:name w:val="xl63520"/>
    <w:basedOn w:val="10533"/>
    <w:uiPriority w:val="99"/>
    <w:qFormat/>
    <w:pPr>
      <w:pBdr>
        <w:top w:val="single" w:color="000000" w:sz="8" w:space="0"/>
        <w:left w:val="single" w:color="000000" w:sz="8" w:space="0"/>
        <w:bottom w:val="single" w:color="000000" w:sz="8" w:space="0"/>
        <w:right w:val="single" w:color="000000" w:sz="8" w:space="0"/>
      </w:pBdr>
      <w:shd w:val="clear" w:color="000000" w:fill="ffffff"/>
      <w:spacing w:afterAutospacing="1" w:beforeAutospacing="1"/>
      <w:ind/>
      <w:jc w:val="center"/>
    </w:pPr>
    <w:rPr>
      <w:rFonts w:ascii="Arial" w:hAnsi="Arial" w:cs="Arial"/>
      <w:b/>
      <w:bCs/>
      <w:color w:val="000000"/>
      <w:sz w:val="20"/>
      <w:szCs w:val="20"/>
    </w:rPr>
  </w:style>
  <w:style w:type="paragraph" w:styleId="12479" w:customStyle="1">
    <w:name w:val="xl63521"/>
    <w:basedOn w:val="10533"/>
    <w:uiPriority w:val="99"/>
    <w:qFormat/>
    <w:pPr>
      <w:pBdr>
        <w:bottom w:val="single" w:color="000000" w:sz="8" w:space="0"/>
      </w:pBdr>
      <w:spacing w:afterAutospacing="1" w:beforeAutospacing="1"/>
      <w:ind/>
      <w:jc w:val="center"/>
    </w:pPr>
    <w:rPr>
      <w:rFonts w:ascii="Arial" w:hAnsi="Arial" w:cs="Arial"/>
      <w:b/>
      <w:bCs/>
      <w:color w:val="000000"/>
      <w:sz w:val="20"/>
      <w:szCs w:val="20"/>
    </w:rPr>
  </w:style>
  <w:style w:type="paragraph" w:styleId="12480" w:customStyle="1">
    <w:name w:val="xl63522"/>
    <w:basedOn w:val="10533"/>
    <w:uiPriority w:val="99"/>
    <w:qFormat/>
    <w:pPr>
      <w:pBdr/>
      <w:spacing w:afterAutospacing="1" w:beforeAutospacing="1"/>
      <w:ind/>
      <w:jc w:val="center"/>
    </w:pPr>
    <w:rPr>
      <w:rFonts w:ascii="Arial" w:hAnsi="Arial" w:cs="Arial"/>
      <w:b/>
      <w:bCs/>
      <w:color w:val="000000"/>
      <w:sz w:val="20"/>
      <w:szCs w:val="20"/>
    </w:rPr>
  </w:style>
  <w:style w:type="paragraph" w:styleId="12481" w:customStyle="1">
    <w:name w:val="xl63523"/>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rFonts w:ascii="Arial" w:hAnsi="Arial" w:cs="Arial"/>
      <w:b/>
      <w:bCs/>
      <w:color w:val="000000"/>
      <w:sz w:val="20"/>
      <w:szCs w:val="20"/>
    </w:rPr>
  </w:style>
  <w:style w:type="paragraph" w:styleId="12483" w:customStyle="1">
    <w:name w:val="ТАБЛ."/>
    <w:basedOn w:val="12101"/>
    <w:next w:val="12101"/>
    <w:link w:val="10850"/>
    <w:qFormat/>
    <w:pPr>
      <w:keepNext w:val="false"/>
      <w:keepLines w:val="false"/>
      <w:numPr>
        <w:ilvl w:val="0"/>
        <w:numId w:val="35"/>
      </w:numPr>
      <w:suppressLineNumbers w:val="false"/>
      <w:pBdr/>
      <w:tabs>
        <w:tab w:val="clear" w:leader="none" w:pos="540"/>
      </w:tabs>
      <w:spacing w:after="0" w:before="0" w:line="360" w:lineRule="auto"/>
      <w:ind/>
      <w:contextualSpacing w:val="true"/>
    </w:pPr>
    <w:rPr>
      <w:rFonts w:ascii="Times New Roman" w:hAnsi="Times New Roman" w:eastAsia="Calibri" w:cs="Times New Roman"/>
      <w:lang w:eastAsia="en-US"/>
    </w:rPr>
  </w:style>
  <w:style w:type="paragraph" w:styleId="12484" w:customStyle="1">
    <w:name w:val="ТАБ 10 Текст"/>
    <w:basedOn w:val="13740"/>
    <w:qFormat/>
    <w:pPr>
      <w:pBdr/>
      <w:spacing/>
      <w:ind/>
    </w:pPr>
    <w:rPr>
      <w:sz w:val="20"/>
    </w:rPr>
  </w:style>
  <w:style w:type="paragraph" w:styleId="12485" w:customStyle="1">
    <w:name w:val="Рис-Т"/>
    <w:basedOn w:val="12101"/>
    <w:qFormat/>
    <w:pPr>
      <w:keepNext w:val="false"/>
      <w:keepLines w:val="false"/>
      <w:suppressLineNumbers w:val="false"/>
      <w:pBdr/>
      <w:tabs>
        <w:tab w:val="clear" w:leader="none" w:pos="540"/>
      </w:tabs>
      <w:spacing w:after="0" w:before="0"/>
      <w:ind w:firstLine="0" w:left="-709"/>
      <w:contextualSpacing w:val="true"/>
      <w:jc w:val="center"/>
    </w:pPr>
    <w:rPr>
      <w:rFonts w:ascii="Times New Roman" w:hAnsi="Times New Roman" w:eastAsia="Calibri" w:cs="Times New Roman"/>
      <w:b w:val="0"/>
      <w:lang w:eastAsia="en-US"/>
    </w:rPr>
  </w:style>
  <w:style w:type="paragraph" w:styleId="12486" w:customStyle="1">
    <w:name w:val="Текст Табл"/>
    <w:basedOn w:val="10533"/>
    <w:link w:val="10852"/>
    <w:qFormat/>
    <w:pPr>
      <w:keepNext w:val="true"/>
      <w:keepLines w:val="true"/>
      <w:pBdr/>
      <w:spacing/>
      <w:ind/>
      <w:jc w:val="center"/>
    </w:pPr>
    <w:rPr>
      <w:color w:val="000000"/>
      <w:sz w:val="20"/>
      <w:lang w:eastAsia="en-US"/>
    </w:rPr>
  </w:style>
  <w:style w:type="paragraph" w:styleId="12487" w:customStyle="1">
    <w:name w:val="Текст Табл-"/>
    <w:basedOn w:val="12486"/>
    <w:link w:val="10853"/>
    <w:qFormat/>
    <w:pPr>
      <w:pBdr/>
      <w:spacing/>
      <w:ind w:right="-113" w:left="-113"/>
    </w:pPr>
  </w:style>
  <w:style w:type="paragraph" w:styleId="12488" w:customStyle="1">
    <w:name w:val="Приложение (user)"/>
    <w:basedOn w:val="10533"/>
    <w:link w:val="10854"/>
    <w:qFormat/>
    <w:pPr>
      <w:pBdr/>
      <w:spacing/>
      <w:ind/>
      <w:jc w:val="center"/>
    </w:pPr>
    <w:rPr>
      <w:b/>
      <w:caps/>
      <w:lang w:eastAsia="en-US"/>
    </w:rPr>
  </w:style>
  <w:style w:type="paragraph" w:styleId="12490" w:customStyle="1">
    <w:name w:val="Список-1"/>
    <w:basedOn w:val="12116"/>
    <w:link w:val="10856"/>
    <w:qFormat/>
    <w:pPr>
      <w:keepNext w:val="false"/>
      <w:keepLines w:val="false"/>
      <w:widowControl w:val="false"/>
      <w:numPr>
        <w:ilvl w:val="0"/>
        <w:numId w:val="34"/>
      </w:numPr>
      <w:pBdr/>
      <w:tabs>
        <w:tab w:val="clear" w:leader="none" w:pos="708"/>
        <w:tab w:val="left" w:leader="none" w:pos="851"/>
      </w:tabs>
      <w:spacing w:after="120" w:before="120" w:line="240" w:lineRule="auto"/>
      <w:ind w:right="57" w:firstLine="0" w:left="567"/>
    </w:pPr>
    <w:rPr>
      <w:sz w:val="24"/>
      <w:lang w:eastAsia="en-US"/>
    </w:rPr>
  </w:style>
  <w:style w:type="paragraph" w:styleId="12491" w:customStyle="1">
    <w:name w:val="Список-2"/>
    <w:basedOn w:val="12490"/>
    <w:link w:val="13534"/>
    <w:qFormat/>
    <w:pPr>
      <w:numPr>
        <w:ilvl w:val="0"/>
        <w:numId w:val="36"/>
      </w:numPr>
      <w:pBdr/>
      <w:tabs>
        <w:tab w:val="left" w:leader="none" w:pos="851"/>
        <w:tab w:val="left" w:leader="none" w:pos="1134"/>
        <w:tab w:val="left" w:leader="none" w:pos="1440"/>
      </w:tabs>
      <w:spacing/>
      <w:ind/>
    </w:pPr>
  </w:style>
  <w:style w:type="paragraph" w:styleId="12492" w:customStyle="1">
    <w:name w:val="Заголовок-4"/>
    <w:basedOn w:val="10536"/>
    <w:link w:val="10859"/>
    <w:qFormat/>
    <w:pPr>
      <w:numPr>
        <w:ilvl w:val="0"/>
        <w:numId w:val="0"/>
      </w:numPr>
      <w:pBdr/>
      <w:tabs>
        <w:tab w:val="clear" w:leader="none" w:pos="708"/>
        <w:tab w:val="left" w:leader="none" w:pos="864"/>
      </w:tabs>
      <w:spacing w:after="120" w:before="0" w:line="360" w:lineRule="auto"/>
      <w:ind w:right="-108" w:hanging="864" w:left="864"/>
    </w:pPr>
    <w:rPr>
      <w:rFonts w:eastAsia="TimesNewRomanPSMT" w:cs="Times New Roman"/>
      <w:iCs w:val="0"/>
      <w:lang w:bidi="ar-SA"/>
    </w:rPr>
  </w:style>
  <w:style w:type="paragraph" w:styleId="12493" w:customStyle="1">
    <w:name w:val="Рисунок (user)"/>
    <w:basedOn w:val="11055"/>
    <w:link w:val="10860"/>
    <w:qFormat/>
    <w:pPr>
      <w:pBdr/>
      <w:spacing w:after="120" w:before="0" w:line="240" w:lineRule="auto"/>
      <w:ind w:firstLine="0"/>
      <w:jc w:val="center"/>
    </w:pPr>
    <w:rPr>
      <w:rFonts w:ascii="Calibri" w:hAnsi="Calibri" w:eastAsia="宋体" w:asciiTheme="minorHAnsi" w:hAnsiTheme="minorHAnsi" w:eastAsiaTheme="minorEastAsia" w:cstheme="minorBidi"/>
      <w:b/>
      <w:bCs/>
      <w:i/>
      <w:lang w:val="ru-RU" w:eastAsia="ru-RU" w:bidi="ar-SA"/>
    </w:rPr>
  </w:style>
  <w:style w:type="paragraph" w:styleId="12494" w:customStyle="1">
    <w:name w:val="Рисунок Знак Знак"/>
    <w:basedOn w:val="11055"/>
    <w:link w:val="10861"/>
    <w:qFormat/>
    <w:pPr>
      <w:pBdr/>
      <w:spacing w:after="120" w:before="0" w:line="240" w:lineRule="auto"/>
      <w:ind w:firstLine="0"/>
      <w:jc w:val="center"/>
    </w:pPr>
    <w:rPr>
      <w:rFonts w:ascii="Times New Roman" w:hAnsi="Times New Roman"/>
      <w:b/>
      <w:bCs/>
      <w:i/>
      <w:lang w:val="ru-RU" w:bidi="ar-SA"/>
    </w:rPr>
  </w:style>
  <w:style w:type="paragraph" w:styleId="12495" w:customStyle="1">
    <w:name w:val="абзац"/>
    <w:basedOn w:val="10533"/>
    <w:link w:val="13599"/>
    <w:qFormat/>
    <w:pPr>
      <w:pBdr/>
      <w:spacing w:line="360" w:lineRule="auto"/>
      <w:ind w:firstLine="851"/>
      <w:jc w:val="both"/>
    </w:pPr>
    <w:rPr>
      <w:szCs w:val="20"/>
      <w:lang w:eastAsia="en-US"/>
    </w:rPr>
  </w:style>
  <w:style w:type="paragraph" w:styleId="12496" w:customStyle="1">
    <w:name w:val="в табл"/>
    <w:basedOn w:val="10533"/>
    <w:next w:val="12495"/>
    <w:link w:val="10863"/>
    <w:qFormat/>
    <w:pPr>
      <w:keepNext w:val="true"/>
      <w:pBdr/>
      <w:spacing/>
      <w:ind/>
    </w:pPr>
    <w:rPr>
      <w:szCs w:val="20"/>
      <w:lang w:eastAsia="en-US"/>
    </w:rPr>
  </w:style>
  <w:style w:type="paragraph" w:styleId="12497" w:customStyle="1">
    <w:name w:val="Жирный текст"/>
    <w:basedOn w:val="12362"/>
    <w:link w:val="10864"/>
    <w:qFormat/>
    <w:pPr>
      <w:pBdr/>
      <w:spacing/>
      <w:ind/>
    </w:pPr>
    <w:rPr>
      <w:b/>
    </w:rPr>
  </w:style>
  <w:style w:type="paragraph" w:styleId="12498" w:customStyle="1">
    <w:name w:val="Заг. без №"/>
    <w:basedOn w:val="12362"/>
    <w:next w:val="12362"/>
    <w:link w:val="10867"/>
    <w:qFormat/>
    <w:pPr>
      <w:pBdr/>
      <w:spacing/>
      <w:ind w:firstLine="0"/>
      <w:jc w:val="left"/>
    </w:pPr>
    <w:rPr>
      <w:b/>
      <w:i/>
    </w:rPr>
  </w:style>
  <w:style w:type="paragraph" w:styleId="12499" w:customStyle="1">
    <w:name w:val="Нумерация М"/>
    <w:basedOn w:val="12498"/>
    <w:link w:val="10868"/>
    <w:qFormat/>
    <w:pPr>
      <w:numPr>
        <w:ilvl w:val="0"/>
        <w:numId w:val="37"/>
      </w:numPr>
      <w:pBdr/>
      <w:spacing/>
      <w:ind/>
    </w:pPr>
  </w:style>
  <w:style w:type="paragraph" w:styleId="12500" w:customStyle="1">
    <w:name w:val="Стиль4"/>
    <w:basedOn w:val="11450"/>
    <w:link w:val="10872"/>
    <w:qFormat/>
    <w:pPr>
      <w:widowControl w:val="true"/>
      <w:pBdr/>
      <w:tabs>
        <w:tab w:val="clear" w:leader="none" w:pos="708"/>
        <w:tab w:val="left" w:leader="none" w:pos="864"/>
      </w:tabs>
      <w:spacing w:after="120" w:before="240" w:line="360" w:lineRule="auto"/>
      <w:ind w:hanging="862" w:left="862"/>
    </w:pPr>
    <w:rPr>
      <w:rFonts w:ascii="Times New Roman" w:hAnsi="Times New Roman" w:eastAsia="Calibri" w:cs="Times New Roman"/>
      <w:sz w:val="24"/>
      <w:szCs w:val="24"/>
      <w:lang w:val="ru-RU" w:eastAsia="ar-SA" w:bidi="ar-SA"/>
    </w:rPr>
  </w:style>
  <w:style w:type="paragraph" w:styleId="12501" w:customStyle="1">
    <w:name w:val="Список 10"/>
    <w:basedOn w:val="12101"/>
    <w:link w:val="13724"/>
    <w:qFormat/>
    <w:pPr>
      <w:keepNext w:val="false"/>
      <w:keepLines w:val="false"/>
      <w:numPr>
        <w:ilvl w:val="0"/>
        <w:numId w:val="38"/>
      </w:numPr>
      <w:suppressLineNumbers w:val="false"/>
      <w:pBdr/>
      <w:tabs>
        <w:tab w:val="clear" w:leader="none" w:pos="540"/>
      </w:tabs>
      <w:spacing w:after="0" w:before="0" w:line="360" w:lineRule="auto"/>
      <w:ind/>
      <w:contextualSpacing w:val="true"/>
      <w:jc w:val="both"/>
    </w:pPr>
    <w:rPr>
      <w:rFonts w:ascii="Times New Roman" w:hAnsi="Times New Roman" w:eastAsia="Calibri" w:cs="Times New Roman"/>
      <w:b w:val="0"/>
      <w:lang w:eastAsia="en-US"/>
    </w:rPr>
  </w:style>
  <w:style w:type="paragraph" w:styleId="12502" w:customStyle="1">
    <w:name w:val="ТАБ 12-Заг."/>
    <w:basedOn w:val="13740"/>
    <w:qFormat/>
    <w:pPr>
      <w:pBdr/>
      <w:spacing/>
      <w:ind/>
    </w:pPr>
    <w:rPr>
      <w:b/>
    </w:rPr>
  </w:style>
  <w:style w:type="paragraph" w:styleId="12503" w:customStyle="1">
    <w:name w:val="ТАБ 10-Заг."/>
    <w:basedOn w:val="12502"/>
    <w:qFormat/>
    <w:pPr>
      <w:pBdr/>
      <w:spacing/>
      <w:ind/>
    </w:pPr>
    <w:rPr>
      <w:sz w:val="20"/>
    </w:rPr>
  </w:style>
  <w:style w:type="paragraph" w:styleId="12504" w:customStyle="1">
    <w:name w:val="çàãîëîâîê 3"/>
    <w:basedOn w:val="10533"/>
    <w:next w:val="10533"/>
    <w:qFormat/>
    <w:pPr>
      <w:keepNext w:val="true"/>
      <w:widowControl w:val="false"/>
      <w:pBdr/>
      <w:spacing/>
      <w:ind w:right="-108"/>
      <w:jc w:val="center"/>
    </w:pPr>
    <w:rPr>
      <w:b/>
      <w:bCs/>
      <w:sz w:val="28"/>
      <w:szCs w:val="28"/>
      <w:lang w:eastAsia="en-US"/>
    </w:rPr>
  </w:style>
  <w:style w:type="paragraph" w:styleId="12507" w:customStyle="1">
    <w:name w:val="заголовок 5"/>
    <w:basedOn w:val="10533"/>
    <w:next w:val="10533"/>
    <w:qFormat/>
    <w:pPr>
      <w:pBdr/>
      <w:spacing w:after="60" w:before="240"/>
      <w:ind/>
      <w:jc w:val="both"/>
    </w:pPr>
    <w:rPr>
      <w:rFonts w:ascii="Arial" w:hAnsi="Arial"/>
      <w:szCs w:val="20"/>
      <w:lang w:val="en-US" w:eastAsia="en-US"/>
    </w:rPr>
  </w:style>
  <w:style w:type="paragraph" w:styleId="12508" w:customStyle="1">
    <w:name w:val="заголовок 6"/>
    <w:basedOn w:val="10533"/>
    <w:next w:val="10533"/>
    <w:qFormat/>
    <w:pPr>
      <w:pBdr/>
      <w:spacing w:after="60" w:before="240"/>
      <w:ind/>
      <w:jc w:val="both"/>
    </w:pPr>
    <w:rPr>
      <w:i/>
      <w:szCs w:val="20"/>
      <w:lang w:val="en-US" w:eastAsia="en-US"/>
    </w:rPr>
  </w:style>
  <w:style w:type="paragraph" w:styleId="12509" w:customStyle="1">
    <w:name w:val="Рис.-2"/>
    <w:qFormat/>
    <w:pPr>
      <w:widowControl w:val="true"/>
      <w:pBdr/>
      <w:bidi w:val="false"/>
      <w:spacing w:after="0" w:before="0" w:line="240" w:lineRule="auto"/>
      <w:ind w:hanging="360" w:left="717"/>
      <w:contextualSpacing w:val="true"/>
      <w:jc w:val="left"/>
    </w:pPr>
    <w:rPr>
      <w:rFonts w:ascii="Calibri" w:hAnsi="Calibri" w:eastAsia="Calibri" w:cs="Times New Roman" w:asciiTheme="minorHAnsi" w:hAnsiTheme="minorHAnsi"/>
      <w:color w:val="auto"/>
      <w:sz w:val="20"/>
      <w:szCs w:val="20"/>
      <w:lang w:val="ru-RU" w:eastAsia="en-US" w:bidi="ar-SA"/>
    </w:rPr>
  </w:style>
  <w:style w:type="paragraph" w:styleId="12510" w:customStyle="1">
    <w:name w:val="Табл.-2"/>
    <w:basedOn w:val="12363"/>
    <w:qFormat/>
    <w:pPr>
      <w:numPr>
        <w:ilvl w:val="0"/>
        <w:numId w:val="0"/>
      </w:numPr>
      <w:pBdr/>
      <w:spacing/>
      <w:ind w:firstLine="0" w:left="0"/>
    </w:pPr>
  </w:style>
  <w:style w:type="paragraph" w:styleId="12511" w:customStyle="1">
    <w:name w:val="Style171"/>
    <w:basedOn w:val="10533"/>
    <w:uiPriority w:val="99"/>
    <w:qFormat/>
    <w:pPr>
      <w:widowControl w:val="false"/>
      <w:pBdr/>
      <w:spacing w:line="490" w:lineRule="exact"/>
      <w:ind w:firstLine="720"/>
      <w:jc w:val="both"/>
    </w:pPr>
    <w:rPr>
      <w:rFonts w:ascii="Arial Narrow" w:hAnsi="Arial Narrow"/>
      <w:lang w:eastAsia="en-US"/>
    </w:rPr>
  </w:style>
  <w:style w:type="paragraph" w:styleId="12512" w:customStyle="1">
    <w:name w:val="Style53"/>
    <w:basedOn w:val="10533"/>
    <w:uiPriority w:val="99"/>
    <w:qFormat/>
    <w:pPr>
      <w:widowControl w:val="false"/>
      <w:pBdr/>
      <w:spacing w:line="274" w:lineRule="exact"/>
      <w:ind/>
      <w:jc w:val="center"/>
    </w:pPr>
    <w:rPr>
      <w:rFonts w:ascii="Arial Narrow" w:hAnsi="Arial Narrow"/>
      <w:lang w:eastAsia="en-US"/>
    </w:rPr>
  </w:style>
  <w:style w:type="paragraph" w:styleId="12513" w:customStyle="1">
    <w:name w:val="Style136"/>
    <w:basedOn w:val="10533"/>
    <w:uiPriority w:val="99"/>
    <w:qFormat/>
    <w:pPr>
      <w:widowControl w:val="false"/>
      <w:pBdr/>
      <w:spacing w:line="497" w:lineRule="exact"/>
      <w:ind w:firstLine="706"/>
    </w:pPr>
    <w:rPr>
      <w:rFonts w:ascii="Arial Narrow" w:hAnsi="Arial Narrow"/>
      <w:lang w:eastAsia="en-US"/>
    </w:rPr>
  </w:style>
  <w:style w:type="paragraph" w:styleId="12514" w:customStyle="1">
    <w:name w:val="Style153"/>
    <w:basedOn w:val="10533"/>
    <w:uiPriority w:val="99"/>
    <w:qFormat/>
    <w:pPr>
      <w:widowControl w:val="false"/>
      <w:pBdr/>
      <w:spacing/>
      <w:ind/>
    </w:pPr>
    <w:rPr>
      <w:rFonts w:ascii="Arial Narrow" w:hAnsi="Arial Narrow"/>
      <w:lang w:eastAsia="en-US"/>
    </w:rPr>
  </w:style>
  <w:style w:type="paragraph" w:styleId="12515" w:customStyle="1">
    <w:name w:val="Style189"/>
    <w:basedOn w:val="10533"/>
    <w:uiPriority w:val="99"/>
    <w:qFormat/>
    <w:pPr>
      <w:widowControl w:val="false"/>
      <w:pBdr/>
      <w:spacing w:line="490" w:lineRule="exact"/>
      <w:ind w:firstLine="144"/>
    </w:pPr>
    <w:rPr>
      <w:rFonts w:ascii="Arial Narrow" w:hAnsi="Arial Narrow"/>
      <w:lang w:eastAsia="en-US"/>
    </w:rPr>
  </w:style>
  <w:style w:type="paragraph" w:styleId="12516" w:customStyle="1">
    <w:name w:val="Style28"/>
    <w:basedOn w:val="10533"/>
    <w:uiPriority w:val="99"/>
    <w:qFormat/>
    <w:pPr>
      <w:widowControl w:val="false"/>
      <w:pBdr/>
      <w:spacing/>
      <w:ind/>
    </w:pPr>
    <w:rPr>
      <w:rFonts w:ascii="Arial Narrow" w:hAnsi="Arial Narrow"/>
      <w:lang w:eastAsia="en-US"/>
    </w:rPr>
  </w:style>
  <w:style w:type="paragraph" w:styleId="12517" w:customStyle="1">
    <w:name w:val="Style143"/>
    <w:basedOn w:val="10533"/>
    <w:uiPriority w:val="99"/>
    <w:qFormat/>
    <w:pPr>
      <w:widowControl w:val="false"/>
      <w:pBdr/>
      <w:spacing/>
      <w:ind/>
    </w:pPr>
    <w:rPr>
      <w:rFonts w:ascii="Arial Narrow" w:hAnsi="Arial Narrow"/>
      <w:lang w:eastAsia="en-US"/>
    </w:rPr>
  </w:style>
  <w:style w:type="paragraph" w:styleId="12518" w:customStyle="1">
    <w:name w:val="Style255"/>
    <w:basedOn w:val="10533"/>
    <w:uiPriority w:val="99"/>
    <w:qFormat/>
    <w:pPr>
      <w:widowControl w:val="false"/>
      <w:pBdr/>
      <w:spacing/>
      <w:ind/>
    </w:pPr>
    <w:rPr>
      <w:rFonts w:ascii="Arial Narrow" w:hAnsi="Arial Narrow"/>
      <w:lang w:eastAsia="en-US"/>
    </w:rPr>
  </w:style>
  <w:style w:type="paragraph" w:styleId="12519" w:customStyle="1">
    <w:name w:val="Style123"/>
    <w:basedOn w:val="10533"/>
    <w:uiPriority w:val="99"/>
    <w:qFormat/>
    <w:pPr>
      <w:widowControl w:val="false"/>
      <w:pBdr/>
      <w:spacing w:line="482" w:lineRule="exact"/>
      <w:ind w:firstLine="720"/>
      <w:jc w:val="both"/>
    </w:pPr>
    <w:rPr>
      <w:lang w:eastAsia="en-US"/>
    </w:rPr>
  </w:style>
  <w:style w:type="paragraph" w:styleId="12520" w:customStyle="1">
    <w:name w:val="Style125"/>
    <w:basedOn w:val="10533"/>
    <w:uiPriority w:val="99"/>
    <w:qFormat/>
    <w:pPr>
      <w:widowControl w:val="false"/>
      <w:pBdr/>
      <w:spacing w:line="482" w:lineRule="exact"/>
      <w:ind w:firstLine="713"/>
      <w:jc w:val="both"/>
    </w:pPr>
    <w:rPr>
      <w:lang w:eastAsia="en-US"/>
    </w:rPr>
  </w:style>
  <w:style w:type="paragraph" w:styleId="12521" w:customStyle="1">
    <w:name w:val="Style152"/>
    <w:basedOn w:val="10533"/>
    <w:uiPriority w:val="99"/>
    <w:qFormat/>
    <w:pPr>
      <w:widowControl w:val="false"/>
      <w:pBdr/>
      <w:spacing w:line="511" w:lineRule="exact"/>
      <w:ind w:hanging="1008"/>
    </w:pPr>
    <w:rPr>
      <w:lang w:eastAsia="en-US"/>
    </w:rPr>
  </w:style>
  <w:style w:type="paragraph" w:styleId="12522" w:customStyle="1">
    <w:name w:val="Style199"/>
    <w:basedOn w:val="10533"/>
    <w:uiPriority w:val="99"/>
    <w:qFormat/>
    <w:pPr>
      <w:widowControl w:val="false"/>
      <w:pBdr/>
      <w:spacing w:line="482" w:lineRule="exact"/>
      <w:ind w:firstLine="720"/>
      <w:jc w:val="both"/>
    </w:pPr>
    <w:rPr>
      <w:rFonts w:ascii="Arial Narrow" w:hAnsi="Arial Narrow"/>
      <w:lang w:eastAsia="en-US"/>
    </w:rPr>
  </w:style>
  <w:style w:type="paragraph" w:styleId="12523" w:customStyle="1">
    <w:name w:val="Style12"/>
    <w:basedOn w:val="10533"/>
    <w:qFormat/>
    <w:pPr>
      <w:widowControl w:val="false"/>
      <w:pBdr/>
      <w:spacing/>
      <w:ind/>
    </w:pPr>
    <w:rPr>
      <w:rFonts w:ascii="Arial Narrow" w:hAnsi="Arial Narrow"/>
      <w:lang w:eastAsia="en-US"/>
    </w:rPr>
  </w:style>
  <w:style w:type="paragraph" w:styleId="12524" w:customStyle="1">
    <w:name w:val="Style47"/>
    <w:basedOn w:val="10533"/>
    <w:uiPriority w:val="99"/>
    <w:qFormat/>
    <w:pPr>
      <w:widowControl w:val="false"/>
      <w:pBdr/>
      <w:spacing/>
      <w:ind/>
      <w:jc w:val="both"/>
    </w:pPr>
    <w:rPr>
      <w:rFonts w:ascii="Arial Narrow" w:hAnsi="Arial Narrow"/>
      <w:lang w:eastAsia="en-US"/>
    </w:rPr>
  </w:style>
  <w:style w:type="paragraph" w:styleId="12525" w:customStyle="1">
    <w:name w:val="Style121"/>
    <w:basedOn w:val="10533"/>
    <w:uiPriority w:val="99"/>
    <w:qFormat/>
    <w:pPr>
      <w:widowControl w:val="false"/>
      <w:pBdr/>
      <w:spacing w:line="461" w:lineRule="exact"/>
      <w:ind/>
      <w:jc w:val="both"/>
    </w:pPr>
    <w:rPr>
      <w:rFonts w:ascii="Arial Narrow" w:hAnsi="Arial Narrow"/>
      <w:lang w:eastAsia="en-US"/>
    </w:rPr>
  </w:style>
  <w:style w:type="paragraph" w:styleId="12526" w:customStyle="1">
    <w:name w:val="Style212"/>
    <w:basedOn w:val="10533"/>
    <w:uiPriority w:val="99"/>
    <w:qFormat/>
    <w:pPr>
      <w:widowControl w:val="false"/>
      <w:pBdr/>
      <w:spacing/>
      <w:ind/>
    </w:pPr>
    <w:rPr>
      <w:rFonts w:ascii="Arial Narrow" w:hAnsi="Arial Narrow"/>
      <w:lang w:eastAsia="en-US"/>
    </w:rPr>
  </w:style>
  <w:style w:type="paragraph" w:styleId="12527" w:customStyle="1">
    <w:name w:val="Style9"/>
    <w:basedOn w:val="10533"/>
    <w:uiPriority w:val="99"/>
    <w:qFormat/>
    <w:pPr>
      <w:widowControl w:val="false"/>
      <w:pBdr/>
      <w:spacing w:line="259" w:lineRule="exact"/>
      <w:ind/>
    </w:pPr>
    <w:rPr>
      <w:rFonts w:ascii="Microsoft Sans Serif" w:hAnsi="Microsoft Sans Serif" w:cs="Microsoft Sans Serif"/>
      <w:lang w:eastAsia="en-US"/>
    </w:rPr>
  </w:style>
  <w:style w:type="paragraph" w:styleId="12528" w:customStyle="1">
    <w:name w:val="Style36"/>
    <w:basedOn w:val="10533"/>
    <w:uiPriority w:val="99"/>
    <w:qFormat/>
    <w:pPr>
      <w:widowControl w:val="false"/>
      <w:pBdr/>
      <w:spacing/>
      <w:ind/>
    </w:pPr>
    <w:rPr>
      <w:rFonts w:ascii="Microsoft Sans Serif" w:hAnsi="Microsoft Sans Serif" w:cs="Microsoft Sans Serif"/>
      <w:lang w:eastAsia="en-US"/>
    </w:rPr>
  </w:style>
  <w:style w:type="paragraph" w:styleId="12529" w:customStyle="1">
    <w:name w:val="Style3"/>
    <w:basedOn w:val="10533"/>
    <w:qFormat/>
    <w:pPr>
      <w:widowControl w:val="false"/>
      <w:pBdr/>
      <w:spacing w:line="211" w:lineRule="exact"/>
      <w:ind w:firstLine="278"/>
    </w:pPr>
    <w:rPr>
      <w:rFonts w:ascii="Microsoft Sans Serif" w:hAnsi="Microsoft Sans Serif" w:cs="Microsoft Sans Serif"/>
      <w:lang w:eastAsia="en-US"/>
    </w:rPr>
  </w:style>
  <w:style w:type="paragraph" w:styleId="12530" w:customStyle="1">
    <w:name w:val="Style10"/>
    <w:basedOn w:val="10533"/>
    <w:uiPriority w:val="99"/>
    <w:qFormat/>
    <w:pPr>
      <w:widowControl w:val="false"/>
      <w:pBdr/>
      <w:spacing/>
      <w:ind/>
      <w:jc w:val="both"/>
    </w:pPr>
    <w:rPr>
      <w:rFonts w:ascii="Microsoft Sans Serif" w:hAnsi="Microsoft Sans Serif" w:cs="Microsoft Sans Serif"/>
      <w:lang w:eastAsia="en-US"/>
    </w:rPr>
  </w:style>
  <w:style w:type="paragraph" w:styleId="12531" w:customStyle="1">
    <w:name w:val="Style21"/>
    <w:basedOn w:val="10533"/>
    <w:uiPriority w:val="99"/>
    <w:qFormat/>
    <w:pPr>
      <w:widowControl w:val="false"/>
      <w:pBdr/>
      <w:spacing w:line="269" w:lineRule="exact"/>
      <w:ind w:firstLine="86"/>
    </w:pPr>
    <w:rPr>
      <w:rFonts w:ascii="Microsoft Sans Serif" w:hAnsi="Microsoft Sans Serif" w:cs="Microsoft Sans Serif"/>
      <w:lang w:eastAsia="en-US"/>
    </w:rPr>
  </w:style>
  <w:style w:type="paragraph" w:styleId="12532" w:customStyle="1">
    <w:name w:val="Style31"/>
    <w:basedOn w:val="10533"/>
    <w:uiPriority w:val="99"/>
    <w:qFormat/>
    <w:pPr>
      <w:widowControl w:val="false"/>
      <w:pBdr/>
      <w:spacing w:line="278" w:lineRule="exact"/>
      <w:ind w:firstLine="605"/>
    </w:pPr>
    <w:rPr>
      <w:rFonts w:ascii="Microsoft Sans Serif" w:hAnsi="Microsoft Sans Serif" w:cs="Microsoft Sans Serif"/>
      <w:lang w:eastAsia="en-US"/>
    </w:rPr>
  </w:style>
  <w:style w:type="paragraph" w:styleId="12533" w:customStyle="1">
    <w:name w:val="Style22"/>
    <w:basedOn w:val="10533"/>
    <w:uiPriority w:val="99"/>
    <w:qFormat/>
    <w:pPr>
      <w:widowControl w:val="false"/>
      <w:pBdr/>
      <w:spacing/>
      <w:ind/>
      <w:jc w:val="both"/>
    </w:pPr>
    <w:rPr>
      <w:rFonts w:ascii="Microsoft Sans Serif" w:hAnsi="Microsoft Sans Serif" w:cs="Microsoft Sans Serif"/>
      <w:lang w:eastAsia="en-US"/>
    </w:rPr>
  </w:style>
  <w:style w:type="paragraph" w:styleId="12534" w:customStyle="1">
    <w:name w:val="Style105"/>
    <w:basedOn w:val="10533"/>
    <w:uiPriority w:val="99"/>
    <w:qFormat/>
    <w:pPr>
      <w:widowControl w:val="false"/>
      <w:pBdr/>
      <w:spacing w:line="281" w:lineRule="exact"/>
      <w:ind w:firstLine="562"/>
      <w:jc w:val="both"/>
    </w:pPr>
    <w:rPr>
      <w:rFonts w:ascii="Trebuchet MS" w:hAnsi="Trebuchet MS"/>
      <w:lang w:eastAsia="en-US"/>
    </w:rPr>
  </w:style>
  <w:style w:type="paragraph" w:styleId="12535" w:customStyle="1">
    <w:name w:val="Style139"/>
    <w:basedOn w:val="10533"/>
    <w:uiPriority w:val="99"/>
    <w:qFormat/>
    <w:pPr>
      <w:widowControl w:val="false"/>
      <w:pBdr/>
      <w:spacing/>
      <w:ind/>
    </w:pPr>
    <w:rPr>
      <w:rFonts w:ascii="Trebuchet MS" w:hAnsi="Trebuchet MS"/>
      <w:lang w:eastAsia="en-US"/>
    </w:rPr>
  </w:style>
  <w:style w:type="paragraph" w:styleId="12536" w:customStyle="1">
    <w:name w:val="Style104"/>
    <w:basedOn w:val="10533"/>
    <w:uiPriority w:val="99"/>
    <w:qFormat/>
    <w:pPr>
      <w:widowControl w:val="false"/>
      <w:pBdr/>
      <w:spacing/>
      <w:ind/>
      <w:jc w:val="right"/>
    </w:pPr>
    <w:rPr>
      <w:rFonts w:ascii="Trebuchet MS" w:hAnsi="Trebuchet MS"/>
      <w:lang w:eastAsia="en-US"/>
    </w:rPr>
  </w:style>
  <w:style w:type="paragraph" w:styleId="12537" w:customStyle="1">
    <w:name w:val="Style114"/>
    <w:basedOn w:val="10533"/>
    <w:uiPriority w:val="99"/>
    <w:qFormat/>
    <w:pPr>
      <w:widowControl w:val="false"/>
      <w:pBdr/>
      <w:spacing/>
      <w:ind/>
    </w:pPr>
    <w:rPr>
      <w:rFonts w:ascii="Trebuchet MS" w:hAnsi="Trebuchet MS"/>
      <w:lang w:eastAsia="en-US"/>
    </w:rPr>
  </w:style>
  <w:style w:type="paragraph" w:styleId="12538" w:customStyle="1">
    <w:name w:val="Style215"/>
    <w:basedOn w:val="10533"/>
    <w:uiPriority w:val="99"/>
    <w:qFormat/>
    <w:pPr>
      <w:widowControl w:val="false"/>
      <w:pBdr/>
      <w:spacing w:line="234" w:lineRule="exact"/>
      <w:ind/>
    </w:pPr>
    <w:rPr>
      <w:rFonts w:ascii="Trebuchet MS" w:hAnsi="Trebuchet MS"/>
      <w:lang w:eastAsia="en-US"/>
    </w:rPr>
  </w:style>
  <w:style w:type="paragraph" w:styleId="12539" w:customStyle="1">
    <w:name w:val="Style233"/>
    <w:basedOn w:val="10533"/>
    <w:uiPriority w:val="99"/>
    <w:qFormat/>
    <w:pPr>
      <w:widowControl w:val="false"/>
      <w:pBdr/>
      <w:spacing/>
      <w:ind/>
    </w:pPr>
    <w:rPr>
      <w:rFonts w:ascii="Trebuchet MS" w:hAnsi="Trebuchet MS"/>
      <w:lang w:eastAsia="en-US"/>
    </w:rPr>
  </w:style>
  <w:style w:type="paragraph" w:styleId="12540" w:customStyle="1">
    <w:name w:val="Style236"/>
    <w:basedOn w:val="10533"/>
    <w:uiPriority w:val="99"/>
    <w:qFormat/>
    <w:pPr>
      <w:widowControl w:val="false"/>
      <w:pBdr/>
      <w:spacing w:line="209" w:lineRule="exact"/>
      <w:ind/>
      <w:jc w:val="both"/>
    </w:pPr>
    <w:rPr>
      <w:rFonts w:ascii="Trebuchet MS" w:hAnsi="Trebuchet MS"/>
      <w:lang w:eastAsia="en-US"/>
    </w:rPr>
  </w:style>
  <w:style w:type="paragraph" w:styleId="12541" w:customStyle="1">
    <w:name w:val="Style247"/>
    <w:basedOn w:val="10533"/>
    <w:uiPriority w:val="99"/>
    <w:qFormat/>
    <w:pPr>
      <w:widowControl w:val="false"/>
      <w:pBdr/>
      <w:spacing/>
      <w:ind/>
    </w:pPr>
    <w:rPr>
      <w:rFonts w:ascii="Trebuchet MS" w:hAnsi="Trebuchet MS"/>
      <w:lang w:eastAsia="en-US"/>
    </w:rPr>
  </w:style>
  <w:style w:type="paragraph" w:styleId="12542" w:customStyle="1">
    <w:name w:val="Style272"/>
    <w:basedOn w:val="10533"/>
    <w:uiPriority w:val="99"/>
    <w:qFormat/>
    <w:pPr>
      <w:widowControl w:val="false"/>
      <w:pBdr/>
      <w:spacing w:line="396" w:lineRule="exact"/>
      <w:ind w:firstLine="554"/>
    </w:pPr>
    <w:rPr>
      <w:rFonts w:ascii="Trebuchet MS" w:hAnsi="Trebuchet MS"/>
      <w:lang w:eastAsia="en-US"/>
    </w:rPr>
  </w:style>
  <w:style w:type="paragraph" w:styleId="12543" w:customStyle="1">
    <w:name w:val="Style284"/>
    <w:basedOn w:val="10533"/>
    <w:uiPriority w:val="99"/>
    <w:qFormat/>
    <w:pPr>
      <w:widowControl w:val="false"/>
      <w:pBdr/>
      <w:spacing w:line="367" w:lineRule="exact"/>
      <w:ind/>
    </w:pPr>
    <w:rPr>
      <w:rFonts w:ascii="Trebuchet MS" w:hAnsi="Trebuchet MS"/>
      <w:lang w:eastAsia="en-US"/>
    </w:rPr>
  </w:style>
  <w:style w:type="paragraph" w:styleId="12544" w:customStyle="1">
    <w:name w:val="Style288"/>
    <w:basedOn w:val="10533"/>
    <w:uiPriority w:val="99"/>
    <w:qFormat/>
    <w:pPr>
      <w:widowControl w:val="false"/>
      <w:pBdr/>
      <w:spacing w:line="252" w:lineRule="exact"/>
      <w:ind/>
      <w:jc w:val="both"/>
    </w:pPr>
    <w:rPr>
      <w:rFonts w:ascii="Trebuchet MS" w:hAnsi="Trebuchet MS"/>
      <w:lang w:eastAsia="en-US"/>
    </w:rPr>
  </w:style>
  <w:style w:type="paragraph" w:styleId="12545" w:customStyle="1">
    <w:name w:val="Style144"/>
    <w:basedOn w:val="10533"/>
    <w:uiPriority w:val="99"/>
    <w:qFormat/>
    <w:pPr>
      <w:widowControl w:val="false"/>
      <w:pBdr/>
      <w:spacing w:line="482" w:lineRule="exact"/>
      <w:ind w:firstLine="713"/>
      <w:jc w:val="both"/>
    </w:pPr>
    <w:rPr>
      <w:rFonts w:ascii="Franklin Gothic Demi Cond" w:hAnsi="Franklin Gothic Demi Cond"/>
      <w:lang w:eastAsia="en-US"/>
    </w:rPr>
  </w:style>
  <w:style w:type="paragraph" w:styleId="12546" w:customStyle="1">
    <w:name w:val="Style200"/>
    <w:basedOn w:val="10533"/>
    <w:uiPriority w:val="99"/>
    <w:qFormat/>
    <w:pPr>
      <w:widowControl w:val="false"/>
      <w:pBdr/>
      <w:spacing w:line="482" w:lineRule="exact"/>
      <w:ind w:firstLine="706"/>
      <w:jc w:val="both"/>
    </w:pPr>
    <w:rPr>
      <w:rFonts w:ascii="Franklin Gothic Demi Cond" w:hAnsi="Franklin Gothic Demi Cond"/>
      <w:lang w:eastAsia="en-US"/>
    </w:rPr>
  </w:style>
  <w:style w:type="paragraph" w:styleId="12547" w:customStyle="1">
    <w:name w:val="Style66"/>
    <w:basedOn w:val="10533"/>
    <w:uiPriority w:val="99"/>
    <w:qFormat/>
    <w:pPr>
      <w:widowControl w:val="false"/>
      <w:pBdr/>
      <w:spacing w:line="497" w:lineRule="exact"/>
      <w:ind w:firstLine="706"/>
      <w:jc w:val="both"/>
    </w:pPr>
    <w:rPr>
      <w:rFonts w:ascii="Franklin Gothic Demi Cond" w:hAnsi="Franklin Gothic Demi Cond"/>
      <w:lang w:eastAsia="en-US"/>
    </w:rPr>
  </w:style>
  <w:style w:type="paragraph" w:styleId="12548" w:customStyle="1">
    <w:name w:val="Style24"/>
    <w:basedOn w:val="10533"/>
    <w:uiPriority w:val="99"/>
    <w:qFormat/>
    <w:pPr>
      <w:widowControl w:val="false"/>
      <w:pBdr/>
      <w:spacing/>
      <w:ind/>
    </w:pPr>
    <w:rPr>
      <w:rFonts w:ascii="Franklin Gothic Demi Cond" w:hAnsi="Franklin Gothic Demi Cond"/>
      <w:lang w:eastAsia="en-US"/>
    </w:rPr>
  </w:style>
  <w:style w:type="paragraph" w:styleId="12549" w:customStyle="1">
    <w:name w:val="Style315"/>
    <w:basedOn w:val="10533"/>
    <w:uiPriority w:val="99"/>
    <w:qFormat/>
    <w:pPr>
      <w:widowControl w:val="false"/>
      <w:pBdr/>
      <w:spacing/>
      <w:ind/>
    </w:pPr>
    <w:rPr>
      <w:rFonts w:ascii="Franklin Gothic Demi Cond" w:hAnsi="Franklin Gothic Demi Cond"/>
      <w:lang w:eastAsia="en-US"/>
    </w:rPr>
  </w:style>
  <w:style w:type="paragraph" w:styleId="12550" w:customStyle="1">
    <w:name w:val="Style316"/>
    <w:basedOn w:val="10533"/>
    <w:uiPriority w:val="99"/>
    <w:qFormat/>
    <w:pPr>
      <w:widowControl w:val="false"/>
      <w:pBdr/>
      <w:spacing/>
      <w:ind/>
      <w:jc w:val="right"/>
    </w:pPr>
    <w:rPr>
      <w:rFonts w:ascii="Franklin Gothic Demi Cond" w:hAnsi="Franklin Gothic Demi Cond"/>
      <w:lang w:eastAsia="en-US"/>
    </w:rPr>
  </w:style>
  <w:style w:type="paragraph" w:styleId="12551" w:customStyle="1">
    <w:name w:val="Style322"/>
    <w:basedOn w:val="10533"/>
    <w:uiPriority w:val="99"/>
    <w:qFormat/>
    <w:pPr>
      <w:widowControl w:val="false"/>
      <w:pBdr/>
      <w:spacing/>
      <w:ind/>
    </w:pPr>
    <w:rPr>
      <w:rFonts w:ascii="Franklin Gothic Demi Cond" w:hAnsi="Franklin Gothic Demi Cond"/>
      <w:lang w:eastAsia="en-US"/>
    </w:rPr>
  </w:style>
  <w:style w:type="paragraph" w:styleId="12552" w:customStyle="1">
    <w:name w:val="Style323"/>
    <w:basedOn w:val="10533"/>
    <w:uiPriority w:val="99"/>
    <w:qFormat/>
    <w:pPr>
      <w:widowControl w:val="false"/>
      <w:pBdr/>
      <w:spacing/>
      <w:ind/>
    </w:pPr>
    <w:rPr>
      <w:rFonts w:ascii="Franklin Gothic Demi Cond" w:hAnsi="Franklin Gothic Demi Cond"/>
      <w:lang w:eastAsia="en-US"/>
    </w:rPr>
  </w:style>
  <w:style w:type="paragraph" w:styleId="12553" w:customStyle="1">
    <w:name w:val="Style324"/>
    <w:basedOn w:val="10533"/>
    <w:uiPriority w:val="99"/>
    <w:qFormat/>
    <w:pPr>
      <w:widowControl w:val="false"/>
      <w:pBdr/>
      <w:spacing/>
      <w:ind/>
    </w:pPr>
    <w:rPr>
      <w:rFonts w:ascii="Franklin Gothic Demi Cond" w:hAnsi="Franklin Gothic Demi Cond"/>
      <w:lang w:eastAsia="en-US"/>
    </w:rPr>
  </w:style>
  <w:style w:type="paragraph" w:styleId="12554" w:customStyle="1">
    <w:name w:val="Style325"/>
    <w:basedOn w:val="10533"/>
    <w:uiPriority w:val="99"/>
    <w:qFormat/>
    <w:pPr>
      <w:widowControl w:val="false"/>
      <w:pBdr/>
      <w:spacing w:line="259" w:lineRule="exact"/>
      <w:ind/>
    </w:pPr>
    <w:rPr>
      <w:rFonts w:ascii="Franklin Gothic Demi Cond" w:hAnsi="Franklin Gothic Demi Cond"/>
      <w:lang w:eastAsia="en-US"/>
    </w:rPr>
  </w:style>
  <w:style w:type="paragraph" w:styleId="12555" w:customStyle="1">
    <w:name w:val="Style326"/>
    <w:basedOn w:val="10533"/>
    <w:uiPriority w:val="99"/>
    <w:qFormat/>
    <w:pPr>
      <w:widowControl w:val="false"/>
      <w:pBdr/>
      <w:spacing/>
      <w:ind/>
    </w:pPr>
    <w:rPr>
      <w:rFonts w:ascii="Franklin Gothic Demi Cond" w:hAnsi="Franklin Gothic Demi Cond"/>
      <w:lang w:eastAsia="en-US"/>
    </w:rPr>
  </w:style>
  <w:style w:type="paragraph" w:styleId="12556" w:customStyle="1">
    <w:name w:val="Style328"/>
    <w:basedOn w:val="10533"/>
    <w:uiPriority w:val="99"/>
    <w:qFormat/>
    <w:pPr>
      <w:widowControl w:val="false"/>
      <w:pBdr/>
      <w:spacing/>
      <w:ind/>
      <w:jc w:val="center"/>
    </w:pPr>
    <w:rPr>
      <w:rFonts w:ascii="Franklin Gothic Demi Cond" w:hAnsi="Franklin Gothic Demi Cond"/>
      <w:lang w:eastAsia="en-US"/>
    </w:rPr>
  </w:style>
  <w:style w:type="paragraph" w:styleId="12557" w:customStyle="1">
    <w:name w:val="Style329"/>
    <w:basedOn w:val="10533"/>
    <w:uiPriority w:val="99"/>
    <w:qFormat/>
    <w:pPr>
      <w:widowControl w:val="false"/>
      <w:pBdr/>
      <w:spacing/>
      <w:ind/>
    </w:pPr>
    <w:rPr>
      <w:rFonts w:ascii="Franklin Gothic Demi Cond" w:hAnsi="Franklin Gothic Demi Cond"/>
      <w:lang w:eastAsia="en-US"/>
    </w:rPr>
  </w:style>
  <w:style w:type="paragraph" w:styleId="12558" w:customStyle="1">
    <w:name w:val="Style330"/>
    <w:basedOn w:val="10533"/>
    <w:uiPriority w:val="99"/>
    <w:qFormat/>
    <w:pPr>
      <w:widowControl w:val="false"/>
      <w:pBdr/>
      <w:spacing w:line="216" w:lineRule="exact"/>
      <w:ind/>
      <w:jc w:val="center"/>
    </w:pPr>
    <w:rPr>
      <w:rFonts w:ascii="Franklin Gothic Demi Cond" w:hAnsi="Franklin Gothic Demi Cond"/>
      <w:lang w:eastAsia="en-US"/>
    </w:rPr>
  </w:style>
  <w:style w:type="paragraph" w:styleId="12559" w:customStyle="1">
    <w:name w:val="Style137"/>
    <w:basedOn w:val="10533"/>
    <w:uiPriority w:val="99"/>
    <w:qFormat/>
    <w:pPr>
      <w:widowControl w:val="false"/>
      <w:pBdr/>
      <w:spacing/>
      <w:ind/>
    </w:pPr>
    <w:rPr>
      <w:rFonts w:ascii="Franklin Gothic Demi Cond" w:hAnsi="Franklin Gothic Demi Cond"/>
      <w:lang w:eastAsia="en-US"/>
    </w:rPr>
  </w:style>
  <w:style w:type="paragraph" w:styleId="12560" w:customStyle="1">
    <w:name w:val="Style224"/>
    <w:basedOn w:val="10533"/>
    <w:uiPriority w:val="99"/>
    <w:qFormat/>
    <w:pPr>
      <w:widowControl w:val="false"/>
      <w:pBdr/>
      <w:spacing/>
      <w:ind/>
    </w:pPr>
    <w:rPr>
      <w:rFonts w:ascii="Franklin Gothic Demi Cond" w:hAnsi="Franklin Gothic Demi Cond"/>
      <w:lang w:eastAsia="en-US"/>
    </w:rPr>
  </w:style>
  <w:style w:type="paragraph" w:styleId="12561" w:customStyle="1">
    <w:name w:val="Style339"/>
    <w:basedOn w:val="10533"/>
    <w:uiPriority w:val="99"/>
    <w:qFormat/>
    <w:pPr>
      <w:widowControl w:val="false"/>
      <w:pBdr/>
      <w:spacing/>
      <w:ind/>
    </w:pPr>
    <w:rPr>
      <w:rFonts w:ascii="Franklin Gothic Demi Cond" w:hAnsi="Franklin Gothic Demi Cond"/>
      <w:lang w:eastAsia="en-US"/>
    </w:rPr>
  </w:style>
  <w:style w:type="paragraph" w:styleId="12562" w:customStyle="1">
    <w:name w:val="Style348"/>
    <w:basedOn w:val="10533"/>
    <w:uiPriority w:val="99"/>
    <w:qFormat/>
    <w:pPr>
      <w:widowControl w:val="false"/>
      <w:pBdr/>
      <w:spacing w:line="205" w:lineRule="exact"/>
      <w:ind w:firstLine="108"/>
    </w:pPr>
    <w:rPr>
      <w:rFonts w:ascii="Franklin Gothic Demi Cond" w:hAnsi="Franklin Gothic Demi Cond"/>
      <w:lang w:eastAsia="en-US"/>
    </w:rPr>
  </w:style>
  <w:style w:type="paragraph" w:styleId="12563" w:customStyle="1">
    <w:name w:val="Style350"/>
    <w:basedOn w:val="10533"/>
    <w:uiPriority w:val="99"/>
    <w:qFormat/>
    <w:pPr>
      <w:widowControl w:val="false"/>
      <w:pBdr/>
      <w:spacing/>
      <w:ind/>
    </w:pPr>
    <w:rPr>
      <w:rFonts w:ascii="Franklin Gothic Demi Cond" w:hAnsi="Franklin Gothic Demi Cond"/>
      <w:lang w:eastAsia="en-US"/>
    </w:rPr>
  </w:style>
  <w:style w:type="paragraph" w:styleId="12564" w:customStyle="1">
    <w:name w:val="Style351"/>
    <w:basedOn w:val="10533"/>
    <w:uiPriority w:val="99"/>
    <w:qFormat/>
    <w:pPr>
      <w:widowControl w:val="false"/>
      <w:pBdr/>
      <w:spacing/>
      <w:ind/>
    </w:pPr>
    <w:rPr>
      <w:rFonts w:ascii="Franklin Gothic Demi Cond" w:hAnsi="Franklin Gothic Demi Cond"/>
      <w:lang w:eastAsia="en-US"/>
    </w:rPr>
  </w:style>
  <w:style w:type="paragraph" w:styleId="12565" w:customStyle="1">
    <w:name w:val="Style352"/>
    <w:basedOn w:val="10533"/>
    <w:uiPriority w:val="99"/>
    <w:qFormat/>
    <w:pPr>
      <w:widowControl w:val="false"/>
      <w:pBdr/>
      <w:spacing/>
      <w:ind/>
    </w:pPr>
    <w:rPr>
      <w:rFonts w:ascii="Franklin Gothic Demi Cond" w:hAnsi="Franklin Gothic Demi Cond"/>
      <w:lang w:eastAsia="en-US"/>
    </w:rPr>
  </w:style>
  <w:style w:type="paragraph" w:styleId="12566" w:customStyle="1">
    <w:name w:val="Style353"/>
    <w:basedOn w:val="10533"/>
    <w:uiPriority w:val="99"/>
    <w:qFormat/>
    <w:pPr>
      <w:widowControl w:val="false"/>
      <w:pBdr/>
      <w:spacing/>
      <w:ind/>
    </w:pPr>
    <w:rPr>
      <w:rFonts w:ascii="Franklin Gothic Demi Cond" w:hAnsi="Franklin Gothic Demi Cond"/>
      <w:lang w:eastAsia="en-US"/>
    </w:rPr>
  </w:style>
  <w:style w:type="paragraph" w:styleId="12567" w:customStyle="1">
    <w:name w:val="Style2"/>
    <w:basedOn w:val="10533"/>
    <w:qFormat/>
    <w:pPr>
      <w:widowControl w:val="false"/>
      <w:pBdr/>
      <w:spacing/>
      <w:ind/>
    </w:pPr>
    <w:rPr>
      <w:rFonts w:ascii="Franklin Gothic Demi Cond" w:hAnsi="Franklin Gothic Demi Cond"/>
      <w:lang w:eastAsia="en-US"/>
    </w:rPr>
  </w:style>
  <w:style w:type="paragraph" w:styleId="12568" w:customStyle="1">
    <w:name w:val="Style286"/>
    <w:basedOn w:val="10533"/>
    <w:uiPriority w:val="99"/>
    <w:qFormat/>
    <w:pPr>
      <w:widowControl w:val="false"/>
      <w:pBdr/>
      <w:spacing w:line="504" w:lineRule="exact"/>
      <w:ind w:hanging="1015"/>
    </w:pPr>
    <w:rPr>
      <w:rFonts w:ascii="Franklin Gothic Demi Cond" w:hAnsi="Franklin Gothic Demi Cond"/>
      <w:lang w:eastAsia="en-US"/>
    </w:rPr>
  </w:style>
  <w:style w:type="paragraph" w:styleId="12569" w:customStyle="1">
    <w:name w:val="Style54"/>
    <w:basedOn w:val="10533"/>
    <w:uiPriority w:val="99"/>
    <w:qFormat/>
    <w:pPr>
      <w:widowControl w:val="false"/>
      <w:pBdr/>
      <w:spacing/>
      <w:ind/>
      <w:jc w:val="both"/>
    </w:pPr>
    <w:rPr>
      <w:rFonts w:ascii="Franklin Gothic Demi Cond" w:hAnsi="Franklin Gothic Demi Cond"/>
      <w:lang w:eastAsia="en-US"/>
    </w:rPr>
  </w:style>
  <w:style w:type="paragraph" w:styleId="12570" w:customStyle="1">
    <w:name w:val="Style142"/>
    <w:basedOn w:val="10533"/>
    <w:uiPriority w:val="99"/>
    <w:qFormat/>
    <w:pPr>
      <w:widowControl w:val="false"/>
      <w:pBdr/>
      <w:spacing w:line="497" w:lineRule="exact"/>
      <w:ind/>
    </w:pPr>
    <w:rPr>
      <w:rFonts w:ascii="Franklin Gothic Demi Cond" w:hAnsi="Franklin Gothic Demi Cond"/>
      <w:lang w:eastAsia="en-US"/>
    </w:rPr>
  </w:style>
  <w:style w:type="paragraph" w:styleId="12571" w:customStyle="1">
    <w:name w:val="Style235"/>
    <w:basedOn w:val="10533"/>
    <w:uiPriority w:val="99"/>
    <w:qFormat/>
    <w:pPr>
      <w:widowControl w:val="false"/>
      <w:pBdr/>
      <w:spacing/>
      <w:ind/>
    </w:pPr>
    <w:rPr>
      <w:rFonts w:ascii="Franklin Gothic Demi Cond" w:hAnsi="Franklin Gothic Demi Cond"/>
      <w:lang w:eastAsia="en-US"/>
    </w:rPr>
  </w:style>
  <w:style w:type="paragraph" w:styleId="12572" w:customStyle="1">
    <w:name w:val="Style41"/>
    <w:basedOn w:val="10533"/>
    <w:uiPriority w:val="99"/>
    <w:qFormat/>
    <w:pPr>
      <w:widowControl w:val="false"/>
      <w:pBdr/>
      <w:spacing/>
      <w:ind/>
    </w:pPr>
    <w:rPr>
      <w:rFonts w:ascii="Franklin Gothic Demi Cond" w:hAnsi="Franklin Gothic Demi Cond"/>
      <w:lang w:eastAsia="en-US"/>
    </w:rPr>
  </w:style>
  <w:style w:type="paragraph" w:styleId="12573" w:customStyle="1">
    <w:name w:val="Style119"/>
    <w:basedOn w:val="10533"/>
    <w:uiPriority w:val="99"/>
    <w:qFormat/>
    <w:pPr>
      <w:widowControl w:val="false"/>
      <w:pBdr/>
      <w:spacing w:line="274" w:lineRule="exact"/>
      <w:ind/>
      <w:jc w:val="center"/>
    </w:pPr>
    <w:rPr>
      <w:rFonts w:ascii="Franklin Gothic Demi Cond" w:hAnsi="Franklin Gothic Demi Cond"/>
      <w:lang w:eastAsia="en-US"/>
    </w:rPr>
  </w:style>
  <w:style w:type="paragraph" w:styleId="12574" w:customStyle="1">
    <w:name w:val="Style128"/>
    <w:basedOn w:val="10533"/>
    <w:uiPriority w:val="99"/>
    <w:qFormat/>
    <w:pPr>
      <w:widowControl w:val="false"/>
      <w:pBdr/>
      <w:spacing/>
      <w:ind/>
    </w:pPr>
    <w:rPr>
      <w:rFonts w:ascii="Franklin Gothic Demi Cond" w:hAnsi="Franklin Gothic Demi Cond"/>
      <w:lang w:eastAsia="en-US"/>
    </w:rPr>
  </w:style>
  <w:style w:type="paragraph" w:styleId="12575" w:customStyle="1">
    <w:name w:val="Style149"/>
    <w:basedOn w:val="10533"/>
    <w:uiPriority w:val="99"/>
    <w:qFormat/>
    <w:pPr>
      <w:widowControl w:val="false"/>
      <w:pBdr/>
      <w:spacing w:line="482" w:lineRule="exact"/>
      <w:ind w:firstLine="713"/>
    </w:pPr>
    <w:rPr>
      <w:rFonts w:ascii="Franklin Gothic Demi Cond" w:hAnsi="Franklin Gothic Demi Cond"/>
      <w:lang w:eastAsia="en-US"/>
    </w:rPr>
  </w:style>
  <w:style w:type="paragraph" w:styleId="12576" w:customStyle="1">
    <w:name w:val="Style162"/>
    <w:basedOn w:val="10533"/>
    <w:uiPriority w:val="99"/>
    <w:qFormat/>
    <w:pPr>
      <w:widowControl w:val="false"/>
      <w:pBdr/>
      <w:spacing/>
      <w:ind/>
    </w:pPr>
    <w:rPr>
      <w:rFonts w:ascii="Franklin Gothic Demi Cond" w:hAnsi="Franklin Gothic Demi Cond"/>
      <w:lang w:eastAsia="en-US"/>
    </w:rPr>
  </w:style>
  <w:style w:type="paragraph" w:styleId="12577" w:customStyle="1">
    <w:name w:val="Style164"/>
    <w:basedOn w:val="10533"/>
    <w:uiPriority w:val="99"/>
    <w:qFormat/>
    <w:pPr>
      <w:widowControl w:val="false"/>
      <w:pBdr/>
      <w:spacing w:line="691" w:lineRule="exact"/>
      <w:ind/>
    </w:pPr>
    <w:rPr>
      <w:rFonts w:ascii="Franklin Gothic Demi Cond" w:hAnsi="Franklin Gothic Demi Cond"/>
      <w:lang w:eastAsia="en-US"/>
    </w:rPr>
  </w:style>
  <w:style w:type="paragraph" w:styleId="12578" w:customStyle="1">
    <w:name w:val="Style176"/>
    <w:basedOn w:val="10533"/>
    <w:uiPriority w:val="99"/>
    <w:qFormat/>
    <w:pPr>
      <w:widowControl w:val="false"/>
      <w:pBdr/>
      <w:spacing/>
      <w:ind/>
    </w:pPr>
    <w:rPr>
      <w:rFonts w:ascii="Franklin Gothic Demi Cond" w:hAnsi="Franklin Gothic Demi Cond"/>
      <w:lang w:eastAsia="en-US"/>
    </w:rPr>
  </w:style>
  <w:style w:type="paragraph" w:styleId="12579" w:customStyle="1">
    <w:name w:val="Style188"/>
    <w:basedOn w:val="10533"/>
    <w:uiPriority w:val="99"/>
    <w:qFormat/>
    <w:pPr>
      <w:widowControl w:val="false"/>
      <w:pBdr/>
      <w:spacing/>
      <w:ind/>
    </w:pPr>
    <w:rPr>
      <w:rFonts w:ascii="Franklin Gothic Demi Cond" w:hAnsi="Franklin Gothic Demi Cond"/>
      <w:lang w:eastAsia="en-US"/>
    </w:rPr>
  </w:style>
  <w:style w:type="paragraph" w:styleId="12580" w:customStyle="1">
    <w:name w:val="Style274"/>
    <w:basedOn w:val="10533"/>
    <w:uiPriority w:val="99"/>
    <w:qFormat/>
    <w:pPr>
      <w:widowControl w:val="false"/>
      <w:pBdr/>
      <w:spacing/>
      <w:ind/>
    </w:pPr>
    <w:rPr>
      <w:rFonts w:ascii="Franklin Gothic Demi Cond" w:hAnsi="Franklin Gothic Demi Cond"/>
      <w:lang w:eastAsia="en-US"/>
    </w:rPr>
  </w:style>
  <w:style w:type="paragraph" w:styleId="12581" w:customStyle="1">
    <w:name w:val="Style358"/>
    <w:basedOn w:val="10533"/>
    <w:uiPriority w:val="99"/>
    <w:qFormat/>
    <w:pPr>
      <w:widowControl w:val="false"/>
      <w:pBdr/>
      <w:spacing/>
      <w:ind/>
    </w:pPr>
    <w:rPr>
      <w:rFonts w:ascii="Franklin Gothic Demi Cond" w:hAnsi="Franklin Gothic Demi Cond"/>
      <w:lang w:eastAsia="en-US"/>
    </w:rPr>
  </w:style>
  <w:style w:type="paragraph" w:styleId="12582" w:customStyle="1">
    <w:name w:val="Style360"/>
    <w:basedOn w:val="10533"/>
    <w:uiPriority w:val="99"/>
    <w:qFormat/>
    <w:pPr>
      <w:widowControl w:val="false"/>
      <w:pBdr/>
      <w:spacing/>
      <w:ind/>
    </w:pPr>
    <w:rPr>
      <w:rFonts w:ascii="Franklin Gothic Demi Cond" w:hAnsi="Franklin Gothic Demi Cond"/>
      <w:lang w:eastAsia="en-US"/>
    </w:rPr>
  </w:style>
  <w:style w:type="paragraph" w:styleId="12583" w:customStyle="1">
    <w:name w:val="Style419"/>
    <w:basedOn w:val="10533"/>
    <w:uiPriority w:val="99"/>
    <w:qFormat/>
    <w:pPr>
      <w:widowControl w:val="false"/>
      <w:pBdr/>
      <w:spacing/>
      <w:ind/>
    </w:pPr>
    <w:rPr>
      <w:rFonts w:ascii="Franklin Gothic Demi Cond" w:hAnsi="Franklin Gothic Demi Cond"/>
      <w:lang w:eastAsia="en-US"/>
    </w:rPr>
  </w:style>
  <w:style w:type="paragraph" w:styleId="12584" w:customStyle="1">
    <w:name w:val="Style27"/>
    <w:basedOn w:val="10533"/>
    <w:uiPriority w:val="99"/>
    <w:qFormat/>
    <w:pPr>
      <w:widowControl w:val="false"/>
      <w:pBdr/>
      <w:spacing w:line="322" w:lineRule="exact"/>
      <w:ind w:firstLine="710"/>
      <w:jc w:val="both"/>
    </w:pPr>
    <w:rPr>
      <w:lang w:eastAsia="en-US"/>
    </w:rPr>
  </w:style>
  <w:style w:type="paragraph" w:styleId="12585" w:customStyle="1">
    <w:name w:val="Style48"/>
    <w:basedOn w:val="10533"/>
    <w:uiPriority w:val="99"/>
    <w:qFormat/>
    <w:pPr>
      <w:widowControl w:val="false"/>
      <w:pBdr/>
      <w:spacing w:line="322" w:lineRule="exact"/>
      <w:ind w:firstLine="845"/>
    </w:pPr>
    <w:rPr>
      <w:lang w:eastAsia="en-US"/>
    </w:rPr>
  </w:style>
  <w:style w:type="paragraph" w:styleId="12586" w:customStyle="1">
    <w:name w:val="Style59"/>
    <w:basedOn w:val="10533"/>
    <w:uiPriority w:val="99"/>
    <w:qFormat/>
    <w:pPr>
      <w:widowControl w:val="false"/>
      <w:pBdr/>
      <w:spacing/>
      <w:ind/>
      <w:jc w:val="both"/>
    </w:pPr>
    <w:rPr>
      <w:lang w:eastAsia="en-US"/>
    </w:rPr>
  </w:style>
  <w:style w:type="paragraph" w:styleId="12587" w:customStyle="1">
    <w:name w:val="Style74"/>
    <w:basedOn w:val="10533"/>
    <w:uiPriority w:val="99"/>
    <w:qFormat/>
    <w:pPr>
      <w:widowControl w:val="false"/>
      <w:pBdr/>
      <w:spacing w:line="269" w:lineRule="exact"/>
      <w:ind/>
      <w:jc w:val="center"/>
    </w:pPr>
    <w:rPr>
      <w:lang w:eastAsia="en-US"/>
    </w:rPr>
  </w:style>
  <w:style w:type="paragraph" w:styleId="12588" w:customStyle="1">
    <w:name w:val="Заголовок оглавления1"/>
    <w:basedOn w:val="10534"/>
    <w:next w:val="10533"/>
    <w:qFormat/>
    <w:pPr>
      <w:keepNext w:val="true"/>
      <w:keepLines w:val="true"/>
      <w:numPr>
        <w:ilvl w:val="0"/>
        <w:numId w:val="0"/>
      </w:numPr>
      <w:pBdr/>
      <w:spacing w:after="0" w:before="480" w:line="276" w:lineRule="auto"/>
      <w:ind w:right="-108" w:hanging="680" w:left="680"/>
      <w:contextualSpacing w:val="false"/>
      <w:jc w:val="both"/>
      <w:outlineLvl w:val="9"/>
    </w:pPr>
    <w:rPr>
      <w:rFonts w:ascii="Cambria" w:hAnsi="Cambria"/>
      <w:bCs/>
      <w:caps/>
      <w:color w:val="365f91"/>
      <w:spacing w:val="0"/>
      <w:szCs w:val="28"/>
      <w:lang w:bidi="ar-SA"/>
    </w:rPr>
  </w:style>
  <w:style w:type="paragraph" w:styleId="12589" w:customStyle="1">
    <w:name w:val="Style56"/>
    <w:basedOn w:val="10533"/>
    <w:qFormat/>
    <w:pPr>
      <w:widowControl w:val="false"/>
      <w:pBdr/>
      <w:spacing w:line="482" w:lineRule="exact"/>
      <w:ind w:firstLine="713"/>
      <w:jc w:val="both"/>
    </w:pPr>
    <w:rPr>
      <w:rFonts w:ascii="Arial Narrow" w:hAnsi="Arial Narrow"/>
      <w:lang w:eastAsia="en-US"/>
    </w:rPr>
  </w:style>
  <w:style w:type="paragraph" w:styleId="12590" w:customStyle="1">
    <w:name w:val="Style84"/>
    <w:basedOn w:val="10533"/>
    <w:qFormat/>
    <w:pPr>
      <w:widowControl w:val="false"/>
      <w:pBdr/>
      <w:spacing w:line="497" w:lineRule="exact"/>
      <w:ind w:firstLine="706"/>
      <w:jc w:val="both"/>
    </w:pPr>
    <w:rPr>
      <w:rFonts w:ascii="Arial Narrow" w:hAnsi="Arial Narrow"/>
      <w:lang w:eastAsia="en-US"/>
    </w:rPr>
  </w:style>
  <w:style w:type="paragraph" w:styleId="12591" w:customStyle="1">
    <w:name w:val="Style37"/>
    <w:basedOn w:val="10533"/>
    <w:uiPriority w:val="99"/>
    <w:qFormat/>
    <w:pPr>
      <w:widowControl w:val="false"/>
      <w:pBdr/>
      <w:spacing/>
      <w:ind/>
    </w:pPr>
    <w:rPr>
      <w:lang w:eastAsia="en-US"/>
    </w:rPr>
  </w:style>
  <w:style w:type="paragraph" w:styleId="12592" w:customStyle="1">
    <w:name w:val="Style75"/>
    <w:basedOn w:val="10533"/>
    <w:uiPriority w:val="99"/>
    <w:qFormat/>
    <w:pPr>
      <w:widowControl w:val="false"/>
      <w:pBdr/>
      <w:spacing w:line="269" w:lineRule="exact"/>
      <w:ind/>
      <w:jc w:val="center"/>
    </w:pPr>
    <w:rPr>
      <w:lang w:eastAsia="en-US"/>
    </w:rPr>
  </w:style>
  <w:style w:type="paragraph" w:styleId="12593" w:customStyle="1">
    <w:name w:val="Style76"/>
    <w:basedOn w:val="10533"/>
    <w:uiPriority w:val="99"/>
    <w:qFormat/>
    <w:pPr>
      <w:widowControl w:val="false"/>
      <w:pBdr/>
      <w:spacing/>
      <w:ind/>
    </w:pPr>
    <w:rPr>
      <w:lang w:eastAsia="en-US"/>
    </w:rPr>
  </w:style>
  <w:style w:type="paragraph" w:styleId="12594" w:customStyle="1">
    <w:name w:val="Style154"/>
    <w:basedOn w:val="10533"/>
    <w:uiPriority w:val="99"/>
    <w:qFormat/>
    <w:pPr>
      <w:widowControl w:val="false"/>
      <w:pBdr/>
      <w:spacing w:line="274" w:lineRule="exact"/>
      <w:ind w:firstLine="288"/>
    </w:pPr>
    <w:rPr>
      <w:lang w:eastAsia="en-US"/>
    </w:rPr>
  </w:style>
  <w:style w:type="paragraph" w:styleId="12595" w:customStyle="1">
    <w:name w:val="Style29"/>
    <w:basedOn w:val="10533"/>
    <w:uiPriority w:val="99"/>
    <w:qFormat/>
    <w:pPr>
      <w:widowControl w:val="false"/>
      <w:pBdr/>
      <w:spacing w:line="322" w:lineRule="exact"/>
      <w:ind w:firstLine="686"/>
      <w:jc w:val="both"/>
    </w:pPr>
    <w:rPr>
      <w:lang w:eastAsia="en-US"/>
    </w:rPr>
  </w:style>
  <w:style w:type="paragraph" w:styleId="12598" w:customStyle="1">
    <w:name w:val="Стиль ТАБЛ. + 10 пт"/>
    <w:basedOn w:val="12483"/>
    <w:qFormat/>
    <w:pPr>
      <w:numPr>
        <w:ilvl w:val="0"/>
        <w:numId w:val="0"/>
      </w:numPr>
      <w:pBdr/>
      <w:tabs>
        <w:tab w:val="left" w:leader="none" w:pos="1440"/>
      </w:tabs>
      <w:spacing/>
      <w:ind w:hanging="360" w:left="786"/>
    </w:pPr>
    <w:rPr>
      <w:bCs/>
    </w:rPr>
  </w:style>
  <w:style w:type="paragraph" w:styleId="12599" w:customStyle="1">
    <w:name w:val="Style299"/>
    <w:basedOn w:val="10533"/>
    <w:qFormat/>
    <w:pPr>
      <w:widowControl w:val="false"/>
      <w:pBdr/>
      <w:spacing/>
      <w:ind/>
    </w:pPr>
    <w:rPr>
      <w:lang w:eastAsia="en-US"/>
    </w:rPr>
  </w:style>
  <w:style w:type="paragraph" w:styleId="12600" w:customStyle="1">
    <w:name w:val="Style58"/>
    <w:basedOn w:val="10533"/>
    <w:uiPriority w:val="99"/>
    <w:qFormat/>
    <w:pPr>
      <w:widowControl w:val="false"/>
      <w:pBdr/>
      <w:spacing w:line="233" w:lineRule="exact"/>
      <w:ind/>
      <w:jc w:val="center"/>
    </w:pPr>
    <w:rPr>
      <w:lang w:eastAsia="en-US"/>
    </w:rPr>
  </w:style>
  <w:style w:type="paragraph" w:styleId="12601" w:customStyle="1">
    <w:name w:val="Заголовок оглавления3"/>
    <w:basedOn w:val="10534"/>
    <w:next w:val="10533"/>
    <w:qFormat/>
    <w:pPr>
      <w:keepNext w:val="true"/>
      <w:keepLines w:val="true"/>
      <w:numPr>
        <w:ilvl w:val="0"/>
        <w:numId w:val="0"/>
      </w:numPr>
      <w:pBdr/>
      <w:spacing w:after="0" w:before="480" w:line="276" w:lineRule="auto"/>
      <w:ind w:right="-108" w:hanging="680" w:left="680"/>
      <w:contextualSpacing w:val="false"/>
      <w:jc w:val="both"/>
      <w:outlineLvl w:val="9"/>
    </w:pPr>
    <w:rPr>
      <w:rFonts w:ascii="Cambria" w:hAnsi="Cambria"/>
      <w:bCs/>
      <w:caps/>
      <w:color w:val="365f91"/>
      <w:spacing w:val="0"/>
      <w:szCs w:val="28"/>
      <w:lang w:bidi="ar-SA"/>
    </w:rPr>
  </w:style>
  <w:style w:type="paragraph" w:styleId="12602" w:customStyle="1">
    <w:name w:val="Без интервала3"/>
    <w:uiPriority w:val="1"/>
    <w:qFormat/>
    <w:pPr>
      <w:widowControl w:val="true"/>
      <w:pBdr/>
      <w:bidi w:val="false"/>
      <w:spacing w:after="0" w:before="0" w:line="240" w:lineRule="auto"/>
      <w:ind w:right="-108"/>
      <w:jc w:val="center"/>
    </w:pPr>
    <w:rPr>
      <w:rFonts w:ascii="Times New Roman" w:hAnsi="Times New Roman" w:eastAsia="Times New Roman" w:cs="Times New Roman"/>
      <w:color w:val="auto"/>
      <w:sz w:val="28"/>
      <w:szCs w:val="20"/>
      <w:lang w:val="ru-RU" w:eastAsia="en-US" w:bidi="ar-SA"/>
    </w:rPr>
  </w:style>
  <w:style w:type="paragraph" w:styleId="12603" w:customStyle="1">
    <w:name w:val="Абзац списка3"/>
    <w:basedOn w:val="10533"/>
    <w:qFormat/>
    <w:pPr>
      <w:pBdr/>
      <w:spacing w:after="0" w:before="0"/>
      <w:ind w:left="720"/>
      <w:contextualSpacing w:val="true"/>
    </w:pPr>
    <w:rPr>
      <w:rFonts w:eastAsia="Calibri"/>
      <w:spacing w:val="37"/>
      <w:sz w:val="28"/>
      <w:szCs w:val="28"/>
      <w:lang w:eastAsia="en-US"/>
    </w:rPr>
  </w:style>
  <w:style w:type="paragraph" w:styleId="12604">
    <w:name w:val="Body Text First Indent"/>
    <w:basedOn w:val="11055"/>
    <w:link w:val="10940"/>
    <w:pPr>
      <w:pBdr/>
      <w:spacing w:after="120" w:before="0"/>
      <w:ind w:firstLine="210"/>
      <w:jc w:val="left"/>
    </w:pPr>
    <w:rPr>
      <w:rFonts w:ascii="Times New Roman" w:hAnsi="Times New Roman"/>
      <w:lang w:val="ru-RU" w:bidi="ar-SA"/>
    </w:rPr>
  </w:style>
  <w:style w:type="paragraph" w:styleId="12605">
    <w:name w:val="Body Text First Indent 2"/>
    <w:basedOn w:val="11110"/>
    <w:link w:val="13623"/>
    <w:qFormat/>
    <w:pPr>
      <w:pBdr/>
      <w:spacing w:after="120" w:before="0" w:line="360" w:lineRule="auto"/>
      <w:ind w:firstLine="210"/>
    </w:pPr>
    <w:rPr>
      <w:rFonts w:ascii="Times New Roman" w:hAnsi="Times New Roman" w:eastAsia="Times New Roman"/>
      <w:lang w:val="ru-RU" w:bidi="ar-SA"/>
    </w:rPr>
  </w:style>
  <w:style w:type="paragraph" w:styleId="12606" w:customStyle="1">
    <w:name w:val="Формула"/>
    <w:basedOn w:val="10533"/>
    <w:qFormat/>
    <w:pPr>
      <w:pBdr/>
      <w:spacing w:after="120" w:before="0" w:line="360" w:lineRule="auto"/>
      <w:ind w:firstLine="684"/>
      <w:jc w:val="center"/>
    </w:pPr>
    <w:rPr>
      <w:sz w:val="28"/>
      <w:szCs w:val="28"/>
      <w:lang w:eastAsia="en-US"/>
    </w:rPr>
  </w:style>
  <w:style w:type="paragraph" w:styleId="12607" w:customStyle="1">
    <w:name w:val="Style4"/>
    <w:basedOn w:val="10533"/>
    <w:qFormat/>
    <w:pPr>
      <w:widowControl w:val="false"/>
      <w:pBdr/>
      <w:spacing w:after="120" w:before="0" w:line="276" w:lineRule="exact"/>
      <w:ind w:hanging="430"/>
    </w:pPr>
    <w:rPr>
      <w:lang w:eastAsia="en-US"/>
    </w:rPr>
  </w:style>
  <w:style w:type="paragraph" w:styleId="12608" w:customStyle="1">
    <w:name w:val="Style5"/>
    <w:basedOn w:val="10533"/>
    <w:qFormat/>
    <w:pPr>
      <w:widowControl w:val="false"/>
      <w:pBdr/>
      <w:spacing w:after="120" w:before="0" w:line="278" w:lineRule="exact"/>
      <w:ind w:firstLine="567"/>
      <w:jc w:val="both"/>
    </w:pPr>
    <w:rPr>
      <w:lang w:eastAsia="en-US"/>
    </w:rPr>
  </w:style>
  <w:style w:type="paragraph" w:styleId="12609" w:customStyle="1">
    <w:name w:val="Таблица (user)"/>
    <w:basedOn w:val="12038"/>
    <w:link w:val="10946"/>
    <w:qFormat/>
    <w:pPr>
      <w:widowControl w:val="false"/>
      <w:pBdr/>
      <w:tabs>
        <w:tab w:val="right" w:leader="none" w:pos="-3969"/>
        <w:tab w:val="left" w:leader="none" w:pos="432"/>
        <w:tab w:val="left" w:leader="none" w:pos="567"/>
        <w:tab w:val="clear" w:leader="none" w:pos="1440"/>
        <w:tab w:val="left" w:leader="none" w:pos="1560"/>
        <w:tab w:val="left" w:leader="none" w:pos="3686"/>
        <w:tab w:val="left" w:leader="none" w:pos="5387"/>
        <w:tab w:val="left" w:leader="none" w:pos="5670"/>
        <w:tab w:val="clear" w:leader="none" w:pos="9356"/>
      </w:tabs>
      <w:spacing/>
      <w:ind w:hanging="432" w:left="432"/>
      <w:jc w:val="left"/>
    </w:pPr>
    <w:rPr>
      <w:bCs w:val="0"/>
      <w:sz w:val="22"/>
      <w:szCs w:val="20"/>
      <w:lang w:eastAsia="en-US"/>
    </w:rPr>
  </w:style>
  <w:style w:type="paragraph" w:styleId="12610" w:customStyle="1">
    <w:name w:val="Рисунок подпись"/>
    <w:basedOn w:val="12044"/>
    <w:link w:val="10948"/>
    <w:qFormat/>
    <w:pPr>
      <w:widowControl w:val="true"/>
      <w:numPr>
        <w:ilvl w:val="0"/>
        <w:numId w:val="41"/>
      </w:numPr>
      <w:pBdr/>
      <w:tabs>
        <w:tab w:val="left" w:leader="none" w:pos="851"/>
        <w:tab w:val="clear" w:leader="none" w:pos="900"/>
        <w:tab w:val="clear" w:leader="none" w:pos="1134"/>
        <w:tab w:val="left" w:leader="none" w:pos="1276"/>
        <w:tab w:val="left" w:leader="none" w:pos="1701"/>
        <w:tab w:val="left" w:leader="none" w:pos="1843"/>
        <w:tab w:val="left" w:leader="none" w:pos="2552"/>
        <w:tab w:val="left" w:leader="dot" w:pos="9356"/>
      </w:tabs>
      <w:spacing/>
      <w:ind w:left="717"/>
    </w:pPr>
    <w:rPr>
      <w:sz w:val="22"/>
      <w:lang w:eastAsia="en-US"/>
    </w:rPr>
  </w:style>
  <w:style w:type="paragraph" w:styleId="12612" w:customStyle="1">
    <w:name w:val="Стиль №1"/>
    <w:basedOn w:val="10533"/>
    <w:qFormat/>
    <w:pPr>
      <w:keepNext w:val="true"/>
      <w:keepLines w:val="true"/>
      <w:numPr>
        <w:ilvl w:val="0"/>
        <w:numId w:val="40"/>
      </w:numPr>
      <w:pBdr/>
      <w:spacing/>
      <w:ind/>
      <w:jc w:val="center"/>
    </w:pPr>
    <w:rPr>
      <w:b/>
      <w:lang w:eastAsia="en-US"/>
    </w:rPr>
  </w:style>
  <w:style w:type="paragraph" w:styleId="12613" w:customStyle="1">
    <w:name w:val="1"/>
    <w:basedOn w:val="10533"/>
    <w:next w:val="10533"/>
    <w:link w:val="13628"/>
    <w:qFormat/>
    <w:pPr>
      <w:keepNext w:val="true"/>
      <w:keepLines w:val="true"/>
      <w:numPr>
        <w:ilvl w:val="0"/>
        <w:numId w:val="42"/>
      </w:numPr>
      <w:pBdr/>
      <w:spacing w:after="280" w:before="280"/>
      <w:ind w:firstLine="851" w:left="0"/>
    </w:pPr>
    <w:rPr>
      <w:b/>
      <w:sz w:val="28"/>
      <w:szCs w:val="20"/>
      <w:lang w:eastAsia="en-US"/>
    </w:rPr>
  </w:style>
  <w:style w:type="paragraph" w:styleId="12614" w:customStyle="1">
    <w:name w:val="Мой рис."/>
    <w:basedOn w:val="12367"/>
    <w:link w:val="10951"/>
    <w:qFormat/>
    <w:pPr>
      <w:numPr>
        <w:ilvl w:val="0"/>
        <w:numId w:val="0"/>
      </w:numPr>
      <w:pBdr/>
      <w:tabs>
        <w:tab w:val="clear" w:leader="none" w:pos="708"/>
        <w:tab w:val="left" w:leader="none" w:pos="1418"/>
      </w:tabs>
      <w:spacing/>
      <w:ind w:firstLine="0" w:left="0"/>
    </w:pPr>
  </w:style>
  <w:style w:type="paragraph" w:styleId="12615" w:customStyle="1">
    <w:name w:val="Body Text 22"/>
    <w:basedOn w:val="10533"/>
    <w:qFormat/>
    <w:pPr>
      <w:widowControl w:val="false"/>
      <w:pBdr/>
      <w:spacing/>
      <w:ind w:left="1080"/>
    </w:pPr>
    <w:rPr>
      <w:sz w:val="28"/>
      <w:szCs w:val="20"/>
    </w:rPr>
  </w:style>
  <w:style w:type="paragraph" w:styleId="12616" w:customStyle="1">
    <w:name w:val="0 Основной текст"/>
    <w:basedOn w:val="10533"/>
    <w:link w:val="10952"/>
    <w:qFormat/>
    <w:pPr>
      <w:pBdr/>
      <w:spacing/>
      <w:ind w:right="284" w:firstLine="709" w:left="284"/>
      <w:jc w:val="both"/>
    </w:pPr>
    <w:rPr>
      <w:rFonts w:eastAsia="Batang"/>
      <w:color w:val="000000"/>
      <w:sz w:val="28"/>
      <w:szCs w:val="28"/>
    </w:rPr>
  </w:style>
  <w:style w:type="paragraph" w:styleId="12618" w:customStyle="1">
    <w:name w:val="МГП Обычный"/>
    <w:basedOn w:val="10533"/>
    <w:qFormat/>
    <w:pPr>
      <w:pBdr/>
      <w:spacing/>
      <w:ind w:right="284" w:firstLine="851"/>
      <w:jc w:val="both"/>
    </w:pPr>
    <w:rPr>
      <w:rFonts w:eastAsia="Batang"/>
      <w:color w:val="000000"/>
      <w:sz w:val="28"/>
      <w:szCs w:val="28"/>
    </w:rPr>
  </w:style>
  <w:style w:type="paragraph" w:styleId="12619" w:customStyle="1">
    <w:name w:val="подпись Знак"/>
    <w:basedOn w:val="10533"/>
    <w:qFormat/>
    <w:pPr>
      <w:suppressLineNumbers w:val="true"/>
      <w:pBdr/>
      <w:tabs>
        <w:tab w:val="clear" w:leader="none" w:pos="708"/>
        <w:tab w:val="right" w:leader="none" w:pos="9072"/>
      </w:tabs>
      <w:spacing w:after="0" w:before="840"/>
      <w:ind/>
    </w:pPr>
    <w:rPr>
      <w:szCs w:val="20"/>
    </w:rPr>
  </w:style>
  <w:style w:type="paragraph" w:styleId="12620" w:customStyle="1">
    <w:name w:val="Iacaaiea"/>
    <w:basedOn w:val="10533"/>
    <w:qFormat/>
    <w:pPr>
      <w:pBdr/>
      <w:spacing/>
      <w:ind/>
      <w:jc w:val="center"/>
    </w:pPr>
    <w:rPr>
      <w:szCs w:val="20"/>
    </w:rPr>
  </w:style>
  <w:style w:type="paragraph" w:styleId="12621" w:customStyle="1">
    <w:name w:val="Стиль7"/>
    <w:basedOn w:val="11681"/>
    <w:link w:val="10954"/>
    <w:qFormat/>
    <w:pPr>
      <w:pBdr/>
      <w:spacing w:after="0" w:before="120" w:line="300" w:lineRule="auto"/>
      <w:ind/>
    </w:pPr>
    <w:rPr>
      <w:rFonts w:ascii="Times New Roman" w:hAnsi="Times New Roman"/>
      <w:color w:val="00b050"/>
    </w:rPr>
  </w:style>
  <w:style w:type="paragraph" w:styleId="12622" w:customStyle="1">
    <w:name w:val="Style565"/>
    <w:basedOn w:val="10533"/>
    <w:uiPriority w:val="99"/>
    <w:qFormat/>
    <w:pPr>
      <w:widowControl w:val="false"/>
      <w:pBdr/>
      <w:spacing/>
      <w:ind/>
    </w:pPr>
  </w:style>
  <w:style w:type="paragraph" w:styleId="12623" w:customStyle="1">
    <w:name w:val="western"/>
    <w:basedOn w:val="10533"/>
    <w:qFormat/>
    <w:pPr>
      <w:pBdr/>
      <w:spacing w:afterAutospacing="1" w:beforeAutospacing="1"/>
      <w:ind/>
    </w:pPr>
  </w:style>
  <w:style w:type="paragraph" w:styleId="12624" w:customStyle="1">
    <w:name w:val="xl1894"/>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25" w:customStyle="1">
    <w:name w:val="xl1895"/>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26" w:customStyle="1">
    <w:name w:val="xl1896"/>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27" w:customStyle="1">
    <w:name w:val="xl1897"/>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28" w:customStyle="1">
    <w:name w:val="xl1898"/>
    <w:basedOn w:val="10533"/>
    <w:qFormat/>
    <w:pPr>
      <w:pBdr>
        <w:top w:val="single" w:color="000000" w:sz="4" w:space="0"/>
        <w:left w:val="single" w:color="000000" w:sz="4" w:space="0"/>
        <w:bottom w:val="single" w:color="000000" w:sz="4" w:space="0"/>
      </w:pBdr>
      <w:shd w:val="clear" w:color="000000" w:fill="ffff00"/>
      <w:spacing w:afterAutospacing="1" w:beforeAutospacing="1"/>
      <w:ind/>
    </w:pPr>
    <w:rPr>
      <w:rFonts w:ascii="Tahoma" w:hAnsi="Tahoma" w:cs="Tahoma"/>
      <w:color w:val="00b050"/>
      <w:sz w:val="18"/>
      <w:szCs w:val="18"/>
    </w:rPr>
  </w:style>
  <w:style w:type="paragraph" w:styleId="12629" w:customStyle="1">
    <w:name w:val="xl1899"/>
    <w:basedOn w:val="10533"/>
    <w:qFormat/>
    <w:pPr>
      <w:pBdr>
        <w:top w:val="single" w:color="000000" w:sz="4" w:space="0"/>
        <w:bottom w:val="single" w:color="000000" w:sz="4" w:space="0"/>
        <w:right w:val="single" w:color="000000" w:sz="4" w:space="0"/>
      </w:pBdr>
      <w:shd w:val="clear" w:color="000000" w:fill="ffff00"/>
      <w:spacing w:afterAutospacing="1" w:beforeAutospacing="1"/>
      <w:ind/>
    </w:pPr>
    <w:rPr>
      <w:rFonts w:ascii="Tahoma" w:hAnsi="Tahoma" w:cs="Tahoma"/>
      <w:color w:val="00b050"/>
      <w:sz w:val="18"/>
      <w:szCs w:val="18"/>
    </w:rPr>
  </w:style>
  <w:style w:type="paragraph" w:styleId="12630" w:customStyle="1">
    <w:name w:val="xl1900"/>
    <w:basedOn w:val="10533"/>
    <w:qFormat/>
    <w:pPr>
      <w:pBdr>
        <w:top w:val="single" w:color="000000" w:sz="4" w:space="0"/>
        <w:left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631" w:customStyle="1">
    <w:name w:val="xl1901"/>
    <w:basedOn w:val="10533"/>
    <w:qFormat/>
    <w:pPr>
      <w:pBdr>
        <w:top w:val="single" w:color="000000" w:sz="4" w:space="0"/>
        <w:left w:val="single" w:color="000000" w:sz="4" w:space="0"/>
        <w:bottom w:val="single" w:color="000000" w:sz="4" w:space="0"/>
        <w:right w:val="single" w:color="000000" w:sz="4" w:space="0"/>
      </w:pBdr>
      <w:shd w:val="clear" w:color="000000" w:fill="00b050"/>
      <w:spacing w:afterAutospacing="1" w:beforeAutospacing="1"/>
      <w:ind/>
      <w:jc w:val="center"/>
    </w:pPr>
    <w:rPr>
      <w:rFonts w:ascii="Tahoma" w:hAnsi="Tahoma" w:cs="Tahoma"/>
      <w:color w:val="ff0000"/>
      <w:sz w:val="18"/>
      <w:szCs w:val="18"/>
    </w:rPr>
  </w:style>
  <w:style w:type="paragraph" w:styleId="12632" w:customStyle="1">
    <w:name w:val="xl1902"/>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33" w:customStyle="1">
    <w:name w:val="xl1903"/>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34" w:customStyle="1">
    <w:name w:val="xl1904"/>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35" w:customStyle="1">
    <w:name w:val="xl190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36" w:customStyle="1">
    <w:name w:val="xl1906"/>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37" w:customStyle="1">
    <w:name w:val="xl1907"/>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rFonts w:ascii="Tahoma" w:hAnsi="Tahoma" w:cs="Tahoma"/>
      <w:color w:val="00b050"/>
      <w:sz w:val="18"/>
      <w:szCs w:val="18"/>
    </w:rPr>
  </w:style>
  <w:style w:type="paragraph" w:styleId="12638" w:customStyle="1">
    <w:name w:val="xl1908"/>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39" w:customStyle="1">
    <w:name w:val="xl1909"/>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b/>
      <w:bCs/>
      <w:color w:val="0070c0"/>
      <w:sz w:val="18"/>
      <w:szCs w:val="18"/>
    </w:rPr>
  </w:style>
  <w:style w:type="paragraph" w:styleId="12640" w:customStyle="1">
    <w:name w:val="xl1910"/>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41" w:customStyle="1">
    <w:name w:val="xl1911"/>
    <w:basedOn w:val="10533"/>
    <w:qFormat/>
    <w:pPr>
      <w:pBdr>
        <w:top w:val="single" w:color="000000" w:sz="4" w:space="0"/>
        <w:left w:val="single" w:color="000000" w:sz="4" w:space="0"/>
        <w:right w:val="single" w:color="000000" w:sz="4" w:space="0"/>
      </w:pBdr>
      <w:shd w:val="clear" w:color="000000" w:fill="ffff00"/>
      <w:spacing w:afterAutospacing="1" w:beforeAutospacing="1"/>
      <w:ind/>
      <w:jc w:val="center"/>
    </w:pPr>
    <w:rPr>
      <w:rFonts w:ascii="Tahoma" w:hAnsi="Tahoma" w:cs="Tahoma"/>
      <w:sz w:val="18"/>
      <w:szCs w:val="18"/>
    </w:rPr>
  </w:style>
  <w:style w:type="paragraph" w:styleId="12642" w:customStyle="1">
    <w:name w:val="xl1912"/>
    <w:basedOn w:val="10533"/>
    <w:qFormat/>
    <w:pPr>
      <w:pBdr>
        <w:left w:val="single" w:color="000000" w:sz="8" w:space="0"/>
      </w:pBdr>
      <w:shd w:val="clear" w:color="000000" w:fill="ffffff"/>
      <w:spacing w:afterAutospacing="1" w:beforeAutospacing="1"/>
      <w:ind/>
      <w:jc w:val="center"/>
    </w:pPr>
    <w:rPr>
      <w:rFonts w:ascii="Tahoma" w:hAnsi="Tahoma" w:cs="Tahoma"/>
      <w:b/>
      <w:bCs/>
      <w:sz w:val="18"/>
      <w:szCs w:val="18"/>
    </w:rPr>
  </w:style>
  <w:style w:type="paragraph" w:styleId="12643" w:customStyle="1">
    <w:name w:val="xl1913"/>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rFonts w:ascii="Tahoma" w:hAnsi="Tahoma" w:cs="Tahoma"/>
      <w:color w:val="0070c0"/>
      <w:sz w:val="18"/>
      <w:szCs w:val="18"/>
    </w:rPr>
  </w:style>
  <w:style w:type="paragraph" w:styleId="12644" w:customStyle="1">
    <w:name w:val="xl1914"/>
    <w:basedOn w:val="10533"/>
    <w:qFormat/>
    <w:pPr>
      <w:pBdr>
        <w:top w:val="single" w:color="000000" w:sz="4" w:space="0"/>
        <w:left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645" w:customStyle="1">
    <w:name w:val="xl1915"/>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646" w:customStyle="1">
    <w:name w:val="xl1916"/>
    <w:basedOn w:val="10533"/>
    <w:qFormat/>
    <w:pPr>
      <w:pBdr>
        <w:top w:val="single" w:color="000000" w:sz="4" w:space="0"/>
        <w:left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647" w:customStyle="1">
    <w:name w:val="xl1917"/>
    <w:basedOn w:val="10533"/>
    <w:qFormat/>
    <w:pPr>
      <w:pBdr>
        <w:top w:val="single" w:color="000000" w:sz="4" w:space="0"/>
        <w:lef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48" w:customStyle="1">
    <w:name w:val="xl1918"/>
    <w:basedOn w:val="10533"/>
    <w:qFormat/>
    <w:pPr>
      <w:pBdr>
        <w:top w:val="single" w:color="000000" w:sz="4" w:space="0"/>
        <w:righ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49" w:customStyle="1">
    <w:name w:val="xl1919"/>
    <w:basedOn w:val="10533"/>
    <w:qFormat/>
    <w:pPr>
      <w:pBdr>
        <w:lef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50" w:customStyle="1">
    <w:name w:val="xl1920"/>
    <w:basedOn w:val="10533"/>
    <w:qFormat/>
    <w:pPr>
      <w:pBdr>
        <w:righ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51" w:customStyle="1">
    <w:name w:val="xl1921"/>
    <w:basedOn w:val="10533"/>
    <w:qFormat/>
    <w:pPr>
      <w:pBdr>
        <w:left w:val="single" w:color="000000" w:sz="4" w:space="0"/>
        <w:bottom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52" w:customStyle="1">
    <w:name w:val="xl1922"/>
    <w:basedOn w:val="10533"/>
    <w:qFormat/>
    <w:pPr>
      <w:pBdr>
        <w:bottom w:val="single" w:color="000000" w:sz="4" w:space="0"/>
        <w:righ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53" w:customStyle="1">
    <w:name w:val="xl1923"/>
    <w:basedOn w:val="10533"/>
    <w:qFormat/>
    <w:pPr>
      <w:pBdr>
        <w:top w:val="single" w:color="000000" w:sz="4" w:space="0"/>
        <w:left w:val="single" w:color="000000" w:sz="4" w:space="0"/>
        <w:bottom w:val="single" w:color="000000" w:sz="4" w:space="0"/>
      </w:pBdr>
      <w:shd w:val="clear" w:color="000000" w:fill="ffffff"/>
      <w:spacing w:afterAutospacing="1" w:beforeAutospacing="1"/>
      <w:ind/>
    </w:pPr>
    <w:rPr>
      <w:rFonts w:ascii="Tahoma" w:hAnsi="Tahoma" w:cs="Tahoma"/>
      <w:sz w:val="18"/>
      <w:szCs w:val="18"/>
    </w:rPr>
  </w:style>
  <w:style w:type="paragraph" w:styleId="12654" w:customStyle="1">
    <w:name w:val="xl1924"/>
    <w:basedOn w:val="10533"/>
    <w:qFormat/>
    <w:pPr>
      <w:pBdr>
        <w:top w:val="single" w:color="000000" w:sz="4" w:space="0"/>
        <w:bottom w:val="single" w:color="000000" w:sz="4" w:space="0"/>
        <w:right w:val="single" w:color="000000" w:sz="4" w:space="0"/>
      </w:pBdr>
      <w:shd w:val="clear" w:color="000000" w:fill="ffffff"/>
      <w:spacing w:afterAutospacing="1" w:beforeAutospacing="1"/>
      <w:ind/>
    </w:pPr>
    <w:rPr>
      <w:rFonts w:ascii="Tahoma" w:hAnsi="Tahoma" w:cs="Tahoma"/>
      <w:sz w:val="18"/>
      <w:szCs w:val="18"/>
    </w:rPr>
  </w:style>
  <w:style w:type="paragraph" w:styleId="12655" w:customStyle="1">
    <w:name w:val="xl1925"/>
    <w:basedOn w:val="10533"/>
    <w:qFormat/>
    <w:pPr>
      <w:pBdr>
        <w:top w:val="single" w:color="000000" w:sz="4" w:space="0"/>
        <w:left w:val="single" w:color="000000" w:sz="4" w:space="0"/>
        <w:bottom w:val="single" w:color="000000" w:sz="4" w:space="0"/>
      </w:pBdr>
      <w:shd w:val="clear" w:color="000000" w:fill="ffffff"/>
      <w:spacing w:afterAutospacing="1" w:beforeAutospacing="1"/>
      <w:ind/>
    </w:pPr>
    <w:rPr>
      <w:rFonts w:ascii="Tahoma" w:hAnsi="Tahoma" w:cs="Tahoma"/>
      <w:sz w:val="18"/>
      <w:szCs w:val="18"/>
    </w:rPr>
  </w:style>
  <w:style w:type="paragraph" w:styleId="12656" w:customStyle="1">
    <w:name w:val="xl1926"/>
    <w:basedOn w:val="10533"/>
    <w:qFormat/>
    <w:pPr>
      <w:pBdr>
        <w:top w:val="single" w:color="000000" w:sz="4" w:space="0"/>
        <w:bottom w:val="single" w:color="000000" w:sz="4" w:space="0"/>
        <w:right w:val="single" w:color="000000" w:sz="4" w:space="0"/>
      </w:pBdr>
      <w:shd w:val="clear" w:color="000000" w:fill="ffffff"/>
      <w:spacing w:afterAutospacing="1" w:beforeAutospacing="1"/>
      <w:ind/>
    </w:pPr>
    <w:rPr>
      <w:rFonts w:ascii="Tahoma" w:hAnsi="Tahoma" w:cs="Tahoma"/>
      <w:sz w:val="18"/>
      <w:szCs w:val="18"/>
    </w:rPr>
  </w:style>
  <w:style w:type="paragraph" w:styleId="12657" w:customStyle="1">
    <w:name w:val="xl1927"/>
    <w:basedOn w:val="10533"/>
    <w:qFormat/>
    <w:pPr>
      <w:pBdr>
        <w:top w:val="single" w:color="000000" w:sz="4" w:space="0"/>
        <w:left w:val="single" w:color="000000" w:sz="4" w:space="0"/>
        <w:bottom w:val="single" w:color="000000" w:sz="4" w:space="0"/>
      </w:pBdr>
      <w:shd w:val="clear" w:color="000000" w:fill="ffffff"/>
      <w:spacing w:afterAutospacing="1" w:beforeAutospacing="1"/>
      <w:ind/>
    </w:pPr>
    <w:rPr>
      <w:rFonts w:ascii="Tahoma" w:hAnsi="Tahoma" w:cs="Tahoma"/>
      <w:color w:val="00b050"/>
      <w:sz w:val="18"/>
      <w:szCs w:val="18"/>
    </w:rPr>
  </w:style>
  <w:style w:type="paragraph" w:styleId="12658" w:customStyle="1">
    <w:name w:val="xl1928"/>
    <w:basedOn w:val="10533"/>
    <w:qFormat/>
    <w:pPr>
      <w:pBdr>
        <w:top w:val="single" w:color="000000" w:sz="4" w:space="0"/>
        <w:bottom w:val="single" w:color="000000" w:sz="4" w:space="0"/>
        <w:right w:val="single" w:color="000000" w:sz="4" w:space="0"/>
      </w:pBdr>
      <w:shd w:val="clear" w:color="000000" w:fill="ffffff"/>
      <w:spacing w:afterAutospacing="1" w:beforeAutospacing="1"/>
      <w:ind/>
    </w:pPr>
    <w:rPr>
      <w:rFonts w:ascii="Tahoma" w:hAnsi="Tahoma" w:cs="Tahoma"/>
      <w:color w:val="00b050"/>
      <w:sz w:val="18"/>
      <w:szCs w:val="18"/>
    </w:rPr>
  </w:style>
  <w:style w:type="paragraph" w:styleId="12659" w:customStyle="1">
    <w:name w:val="xl1929"/>
    <w:basedOn w:val="10533"/>
    <w:qFormat/>
    <w:pPr>
      <w:pBdr>
        <w:top w:val="single" w:color="000000" w:sz="4" w:space="0"/>
        <w:left w:val="single" w:color="000000" w:sz="8" w:space="0"/>
      </w:pBdr>
      <w:shd w:val="clear" w:color="000000" w:fill="ffffff"/>
      <w:spacing w:afterAutospacing="1" w:beforeAutospacing="1"/>
      <w:ind/>
      <w:jc w:val="center"/>
    </w:pPr>
    <w:rPr>
      <w:rFonts w:ascii="Tahoma" w:hAnsi="Tahoma" w:cs="Tahoma"/>
      <w:sz w:val="18"/>
      <w:szCs w:val="18"/>
    </w:rPr>
  </w:style>
  <w:style w:type="paragraph" w:styleId="12660" w:customStyle="1">
    <w:name w:val="xl1930"/>
    <w:basedOn w:val="10533"/>
    <w:qFormat/>
    <w:pPr>
      <w:pBdr>
        <w:left w:val="single" w:color="000000" w:sz="8" w:space="0"/>
      </w:pBdr>
      <w:shd w:val="clear" w:color="000000" w:fill="ffffff"/>
      <w:spacing w:afterAutospacing="1" w:beforeAutospacing="1"/>
      <w:ind/>
      <w:jc w:val="center"/>
    </w:pPr>
    <w:rPr>
      <w:rFonts w:ascii="Tahoma" w:hAnsi="Tahoma" w:cs="Tahoma"/>
      <w:sz w:val="18"/>
      <w:szCs w:val="18"/>
    </w:rPr>
  </w:style>
  <w:style w:type="paragraph" w:styleId="12661" w:customStyle="1">
    <w:name w:val="xl1931"/>
    <w:basedOn w:val="10533"/>
    <w:qFormat/>
    <w:pPr>
      <w:pBdr>
        <w:top w:val="single" w:color="000000" w:sz="4" w:space="0"/>
        <w:left w:val="single" w:color="000000" w:sz="4" w:space="14"/>
        <w:bottom w:val="single" w:color="000000" w:sz="4" w:space="0"/>
        <w:right w:val="single" w:color="000000" w:sz="4" w:space="0"/>
      </w:pBdr>
      <w:shd w:val="clear" w:color="000000" w:fill="ccffff"/>
      <w:spacing w:afterAutospacing="1" w:beforeAutospacing="1"/>
      <w:ind w:firstLine="200"/>
    </w:pPr>
    <w:rPr>
      <w:rFonts w:ascii="Tahoma" w:hAnsi="Tahoma" w:cs="Tahoma"/>
      <w:sz w:val="18"/>
      <w:szCs w:val="18"/>
    </w:rPr>
  </w:style>
  <w:style w:type="paragraph" w:styleId="12662" w:customStyle="1">
    <w:name w:val="xl1932"/>
    <w:basedOn w:val="10533"/>
    <w:qFormat/>
    <w:pPr>
      <w:pBdr>
        <w:top w:val="single" w:color="000000" w:sz="4" w:space="0"/>
        <w:left w:val="single" w:color="000000" w:sz="4" w:space="0"/>
        <w:bottom w:val="single" w:color="000000" w:sz="4" w:space="0"/>
        <w:right w:val="single" w:color="000000" w:sz="4" w:space="0"/>
      </w:pBdr>
      <w:spacing w:afterAutospacing="1" w:beforeAutospacing="1"/>
      <w:ind/>
    </w:pPr>
    <w:rPr>
      <w:rFonts w:ascii="Arial CYR" w:hAnsi="Arial CYR" w:cs="Arial CYR"/>
    </w:rPr>
  </w:style>
  <w:style w:type="paragraph" w:styleId="12663" w:customStyle="1">
    <w:name w:val="xl1933"/>
    <w:basedOn w:val="10533"/>
    <w:qFormat/>
    <w:pPr>
      <w:pBdr>
        <w:top w:val="single" w:color="000000" w:sz="4" w:space="0"/>
        <w:left w:val="single" w:color="000000" w:sz="4" w:space="0"/>
        <w:bottom w:val="single" w:color="000000" w:sz="4" w:space="0"/>
      </w:pBdr>
      <w:shd w:val="clear" w:color="000000" w:fill="ffff00"/>
      <w:spacing w:afterAutospacing="1" w:beforeAutospacing="1"/>
      <w:ind/>
    </w:pPr>
    <w:rPr>
      <w:rFonts w:ascii="Tahoma" w:hAnsi="Tahoma" w:cs="Tahoma"/>
      <w:color w:val="00b050"/>
      <w:sz w:val="18"/>
      <w:szCs w:val="18"/>
    </w:rPr>
  </w:style>
  <w:style w:type="paragraph" w:styleId="12664" w:customStyle="1">
    <w:name w:val="xl1934"/>
    <w:basedOn w:val="10533"/>
    <w:qFormat/>
    <w:pPr>
      <w:pBdr>
        <w:top w:val="single" w:color="000000" w:sz="4" w:space="0"/>
        <w:bottom w:val="single" w:color="000000" w:sz="4" w:space="0"/>
        <w:right w:val="single" w:color="000000" w:sz="4" w:space="0"/>
      </w:pBdr>
      <w:shd w:val="clear" w:color="000000" w:fill="ffff00"/>
      <w:spacing w:afterAutospacing="1" w:beforeAutospacing="1"/>
      <w:ind/>
    </w:pPr>
    <w:rPr>
      <w:rFonts w:ascii="Tahoma" w:hAnsi="Tahoma" w:cs="Tahoma"/>
      <w:color w:val="00b050"/>
      <w:sz w:val="18"/>
      <w:szCs w:val="18"/>
    </w:rPr>
  </w:style>
  <w:style w:type="paragraph" w:styleId="12665" w:customStyle="1">
    <w:name w:val="xl1935"/>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666" w:customStyle="1">
    <w:name w:val="xl1936"/>
    <w:basedOn w:val="10533"/>
    <w:qFormat/>
    <w:pPr>
      <w:pBdr>
        <w:top w:val="single" w:color="000000" w:sz="4" w:space="0"/>
        <w:left w:val="single" w:color="000000" w:sz="4" w:space="0"/>
        <w:bottom w:val="single" w:color="000000" w:sz="4" w:space="0"/>
      </w:pBdr>
      <w:shd w:val="clear" w:color="000000" w:fill="ffff00"/>
      <w:spacing w:afterAutospacing="1" w:beforeAutospacing="1"/>
      <w:ind/>
    </w:pPr>
    <w:rPr>
      <w:rFonts w:ascii="Tahoma" w:hAnsi="Tahoma" w:cs="Tahoma"/>
      <w:sz w:val="18"/>
      <w:szCs w:val="18"/>
    </w:rPr>
  </w:style>
  <w:style w:type="paragraph" w:styleId="12667" w:customStyle="1">
    <w:name w:val="xl1937"/>
    <w:basedOn w:val="10533"/>
    <w:qFormat/>
    <w:pPr>
      <w:pBdr>
        <w:top w:val="single" w:color="000000" w:sz="4" w:space="0"/>
        <w:bottom w:val="single" w:color="000000" w:sz="4" w:space="0"/>
        <w:right w:val="single" w:color="000000" w:sz="4" w:space="0"/>
      </w:pBdr>
      <w:shd w:val="clear" w:color="000000" w:fill="ffff00"/>
      <w:spacing w:afterAutospacing="1" w:beforeAutospacing="1"/>
      <w:ind/>
    </w:pPr>
    <w:rPr>
      <w:rFonts w:ascii="Tahoma" w:hAnsi="Tahoma" w:cs="Tahoma"/>
      <w:sz w:val="18"/>
      <w:szCs w:val="18"/>
    </w:rPr>
  </w:style>
  <w:style w:type="paragraph" w:styleId="12668" w:customStyle="1">
    <w:name w:val="xl1938"/>
    <w:basedOn w:val="10533"/>
    <w:qFormat/>
    <w:pPr>
      <w:pBdr>
        <w:top w:val="single" w:color="000000" w:sz="4" w:space="0"/>
        <w:left w:val="single" w:color="000000" w:sz="4" w:space="7"/>
        <w:bottom w:val="single" w:color="000000" w:sz="4" w:space="0"/>
        <w:right w:val="single" w:color="000000" w:sz="4" w:space="0"/>
      </w:pBdr>
      <w:shd w:val="clear" w:color="000000" w:fill="ffffff"/>
      <w:spacing w:afterAutospacing="1" w:beforeAutospacing="1"/>
      <w:ind w:firstLine="100"/>
    </w:pPr>
    <w:rPr>
      <w:rFonts w:ascii="Tahoma" w:hAnsi="Tahoma" w:cs="Tahoma"/>
      <w:sz w:val="18"/>
      <w:szCs w:val="18"/>
    </w:rPr>
  </w:style>
  <w:style w:type="paragraph" w:styleId="12669" w:customStyle="1">
    <w:name w:val="xl1939"/>
    <w:basedOn w:val="10533"/>
    <w:qFormat/>
    <w:pPr>
      <w:pBdr>
        <w:top w:val="single" w:color="000000" w:sz="4" w:space="0"/>
        <w:left w:val="single" w:color="000000" w:sz="4" w:space="0"/>
        <w:bottom w:val="single" w:color="000000" w:sz="4" w:space="0"/>
      </w:pBdr>
      <w:shd w:val="clear" w:color="000000" w:fill="ffffff"/>
      <w:spacing w:afterAutospacing="1" w:beforeAutospacing="1"/>
      <w:ind/>
    </w:pPr>
    <w:rPr>
      <w:rFonts w:ascii="Tahoma" w:hAnsi="Tahoma" w:cs="Tahoma"/>
      <w:color w:val="00b050"/>
      <w:sz w:val="18"/>
      <w:szCs w:val="18"/>
    </w:rPr>
  </w:style>
  <w:style w:type="paragraph" w:styleId="12670" w:customStyle="1">
    <w:name w:val="xl1940"/>
    <w:basedOn w:val="10533"/>
    <w:qFormat/>
    <w:pPr>
      <w:pBdr>
        <w:top w:val="single" w:color="000000" w:sz="4" w:space="0"/>
        <w:bottom w:val="single" w:color="000000" w:sz="4" w:space="0"/>
        <w:right w:val="single" w:color="000000" w:sz="4" w:space="0"/>
      </w:pBdr>
      <w:shd w:val="clear" w:color="000000" w:fill="ffffff"/>
      <w:spacing w:afterAutospacing="1" w:beforeAutospacing="1"/>
      <w:ind/>
    </w:pPr>
    <w:rPr>
      <w:rFonts w:ascii="Tahoma" w:hAnsi="Tahoma" w:cs="Tahoma"/>
      <w:color w:val="00b050"/>
      <w:sz w:val="18"/>
      <w:szCs w:val="18"/>
    </w:rPr>
  </w:style>
  <w:style w:type="paragraph" w:styleId="12671" w:customStyle="1">
    <w:name w:val="xl1941"/>
    <w:basedOn w:val="10533"/>
    <w:qFormat/>
    <w:pPr>
      <w:pBdr>
        <w:top w:val="single" w:color="000000" w:sz="4" w:space="0"/>
        <w:left w:val="single" w:color="000000" w:sz="4" w:space="0"/>
        <w:bottom w:val="single" w:color="000000" w:sz="4" w:space="0"/>
      </w:pBdr>
      <w:shd w:val="clear" w:color="000000" w:fill="ffffff"/>
      <w:spacing w:afterAutospacing="1" w:beforeAutospacing="1"/>
      <w:ind/>
    </w:pPr>
    <w:rPr>
      <w:rFonts w:ascii="Tahoma" w:hAnsi="Tahoma" w:cs="Tahoma"/>
      <w:color w:val="ff0000"/>
      <w:sz w:val="18"/>
      <w:szCs w:val="18"/>
    </w:rPr>
  </w:style>
  <w:style w:type="paragraph" w:styleId="12672" w:customStyle="1">
    <w:name w:val="xl1942"/>
    <w:basedOn w:val="10533"/>
    <w:qFormat/>
    <w:pPr>
      <w:pBdr>
        <w:top w:val="single" w:color="000000" w:sz="4" w:space="0"/>
        <w:bottom w:val="single" w:color="000000" w:sz="4" w:space="0"/>
        <w:right w:val="single" w:color="000000" w:sz="4" w:space="0"/>
      </w:pBdr>
      <w:shd w:val="clear" w:color="000000" w:fill="ffffff"/>
      <w:spacing w:afterAutospacing="1" w:beforeAutospacing="1"/>
      <w:ind/>
    </w:pPr>
    <w:rPr>
      <w:rFonts w:ascii="Tahoma" w:hAnsi="Tahoma" w:cs="Tahoma"/>
      <w:color w:val="ff0000"/>
      <w:sz w:val="18"/>
      <w:szCs w:val="18"/>
    </w:rPr>
  </w:style>
  <w:style w:type="paragraph" w:styleId="12673" w:customStyle="1">
    <w:name w:val="xl1943"/>
    <w:basedOn w:val="10533"/>
    <w:qFormat/>
    <w:pPr>
      <w:pBdr>
        <w:top w:val="single" w:color="000000" w:sz="4" w:space="0"/>
        <w:left w:val="single" w:color="000000" w:sz="4" w:space="0"/>
        <w:bottom w:val="single" w:color="000000" w:sz="4" w:space="0"/>
      </w:pBdr>
      <w:shd w:val="clear" w:color="000000" w:fill="ffff00"/>
      <w:spacing w:afterAutospacing="1" w:beforeAutospacing="1"/>
      <w:ind/>
    </w:pPr>
    <w:rPr>
      <w:rFonts w:ascii="Tahoma" w:hAnsi="Tahoma" w:cs="Tahoma"/>
      <w:color w:val="000000"/>
      <w:sz w:val="18"/>
      <w:szCs w:val="18"/>
    </w:rPr>
  </w:style>
  <w:style w:type="paragraph" w:styleId="12674" w:customStyle="1">
    <w:name w:val="xl1944"/>
    <w:basedOn w:val="10533"/>
    <w:qFormat/>
    <w:pPr>
      <w:pBdr>
        <w:top w:val="single" w:color="000000" w:sz="4" w:space="0"/>
        <w:bottom w:val="single" w:color="000000" w:sz="4" w:space="0"/>
        <w:right w:val="single" w:color="000000" w:sz="4" w:space="0"/>
      </w:pBdr>
      <w:shd w:val="clear" w:color="000000" w:fill="ffff00"/>
      <w:spacing w:afterAutospacing="1" w:beforeAutospacing="1"/>
      <w:ind/>
    </w:pPr>
    <w:rPr>
      <w:rFonts w:ascii="Tahoma" w:hAnsi="Tahoma" w:cs="Tahoma"/>
      <w:color w:val="000000"/>
      <w:sz w:val="18"/>
      <w:szCs w:val="18"/>
    </w:rPr>
  </w:style>
  <w:style w:type="paragraph" w:styleId="12675" w:customStyle="1">
    <w:name w:val="xl194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pPr>
    <w:rPr>
      <w:rFonts w:ascii="Tahoma" w:hAnsi="Tahoma" w:cs="Tahoma"/>
      <w:sz w:val="18"/>
      <w:szCs w:val="18"/>
    </w:rPr>
  </w:style>
  <w:style w:type="paragraph" w:styleId="12676" w:customStyle="1">
    <w:name w:val="xl1946"/>
    <w:basedOn w:val="10533"/>
    <w:qFormat/>
    <w:pPr>
      <w:pBdr>
        <w:top w:val="single" w:color="000000" w:sz="4" w:space="0"/>
        <w:left w:val="single" w:color="000000" w:sz="4" w:space="0"/>
        <w:bottom w:val="single" w:color="000000" w:sz="4" w:space="0"/>
        <w:right w:val="single" w:color="000000" w:sz="4" w:space="0"/>
      </w:pBdr>
      <w:shd w:val="clear" w:color="000000" w:fill="ffff00"/>
      <w:spacing w:afterAutospacing="1" w:beforeAutospacing="1"/>
      <w:ind/>
    </w:pPr>
    <w:rPr>
      <w:rFonts w:ascii="Tahoma" w:hAnsi="Tahoma" w:cs="Tahoma"/>
      <w:color w:val="00b050"/>
      <w:sz w:val="18"/>
      <w:szCs w:val="18"/>
    </w:rPr>
  </w:style>
  <w:style w:type="paragraph" w:styleId="12677" w:customStyle="1">
    <w:name w:val="xl1947"/>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78" w:customStyle="1">
    <w:name w:val="xl1948"/>
    <w:basedOn w:val="10533"/>
    <w:qFormat/>
    <w:pPr>
      <w:pBdr>
        <w:top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79" w:customStyle="1">
    <w:name w:val="xl1949"/>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80" w:customStyle="1">
    <w:name w:val="xl1950"/>
    <w:basedOn w:val="10533"/>
    <w:qFormat/>
    <w:pPr>
      <w:pBdr>
        <w:top w:val="single" w:color="000000" w:sz="4" w:space="0"/>
        <w:left w:val="single" w:color="000000" w:sz="4" w:space="0"/>
        <w:bottom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681" w:customStyle="1">
    <w:name w:val="xl1951"/>
    <w:basedOn w:val="10533"/>
    <w:qFormat/>
    <w:pPr>
      <w:pBdr>
        <w:top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682" w:customStyle="1">
    <w:name w:val="xl1952"/>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83" w:customStyle="1">
    <w:name w:val="xl1953"/>
    <w:basedOn w:val="10533"/>
    <w:qFormat/>
    <w:pPr>
      <w:pBdr>
        <w:top w:val="single" w:color="000000" w:sz="4" w:space="0"/>
        <w:left w:val="single" w:color="000000" w:sz="4" w:space="0"/>
        <w:bottom w:val="single" w:color="000000" w:sz="4" w:space="0"/>
      </w:pBdr>
      <w:spacing w:afterAutospacing="1" w:beforeAutospacing="1"/>
      <w:ind/>
      <w:jc w:val="center"/>
    </w:pPr>
    <w:rPr>
      <w:rFonts w:ascii="Tahoma" w:hAnsi="Tahoma" w:cs="Tahoma"/>
      <w:b/>
      <w:bCs/>
      <w:sz w:val="18"/>
      <w:szCs w:val="18"/>
    </w:rPr>
  </w:style>
  <w:style w:type="paragraph" w:styleId="12684" w:customStyle="1">
    <w:name w:val="xl1954"/>
    <w:basedOn w:val="10533"/>
    <w:qFormat/>
    <w:pPr>
      <w:pBdr>
        <w:top w:val="single" w:color="000000" w:sz="4" w:space="0"/>
        <w:bottom w:val="single" w:color="000000" w:sz="4" w:space="0"/>
        <w:right w:val="single" w:color="000000" w:sz="4" w:space="0"/>
      </w:pBdr>
      <w:spacing w:afterAutospacing="1" w:beforeAutospacing="1"/>
      <w:ind/>
      <w:jc w:val="center"/>
    </w:pPr>
    <w:rPr>
      <w:rFonts w:ascii="Tahoma" w:hAnsi="Tahoma" w:cs="Tahoma"/>
      <w:b/>
      <w:bCs/>
      <w:sz w:val="18"/>
      <w:szCs w:val="18"/>
    </w:rPr>
  </w:style>
  <w:style w:type="paragraph" w:styleId="12685" w:customStyle="1">
    <w:name w:val="xl1955"/>
    <w:basedOn w:val="10533"/>
    <w:qFormat/>
    <w:pPr>
      <w:pBdr>
        <w:top w:val="single" w:color="000000" w:sz="4" w:space="0"/>
        <w:left w:val="single" w:color="000000" w:sz="4" w:space="0"/>
        <w:bottom w:val="single" w:color="000000" w:sz="4" w:space="0"/>
      </w:pBdr>
      <w:shd w:val="clear" w:color="000000" w:fill="ccffff"/>
      <w:spacing w:afterAutospacing="1" w:beforeAutospacing="1"/>
      <w:ind/>
      <w:jc w:val="center"/>
    </w:pPr>
    <w:rPr>
      <w:rFonts w:ascii="Tahoma" w:hAnsi="Tahoma" w:cs="Tahoma"/>
      <w:color w:val="0070c0"/>
      <w:sz w:val="18"/>
      <w:szCs w:val="18"/>
    </w:rPr>
  </w:style>
  <w:style w:type="paragraph" w:styleId="12686" w:customStyle="1">
    <w:name w:val="xl1956"/>
    <w:basedOn w:val="10533"/>
    <w:qFormat/>
    <w:pPr>
      <w:pBdr>
        <w:top w:val="single" w:color="000000" w:sz="4" w:space="0"/>
        <w:bottom w:val="single" w:color="000000" w:sz="4" w:space="0"/>
        <w:right w:val="single" w:color="000000" w:sz="4" w:space="0"/>
      </w:pBdr>
      <w:shd w:val="clear" w:color="000000" w:fill="ccffff"/>
      <w:spacing w:afterAutospacing="1" w:beforeAutospacing="1"/>
      <w:ind/>
      <w:jc w:val="center"/>
    </w:pPr>
    <w:rPr>
      <w:rFonts w:ascii="Tahoma" w:hAnsi="Tahoma" w:cs="Tahoma"/>
      <w:color w:val="0070c0"/>
      <w:sz w:val="18"/>
      <w:szCs w:val="18"/>
    </w:rPr>
  </w:style>
  <w:style w:type="paragraph" w:styleId="12687" w:customStyle="1">
    <w:name w:val="xl1957"/>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88" w:customStyle="1">
    <w:name w:val="xl1958"/>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89" w:customStyle="1">
    <w:name w:val="xl1959"/>
    <w:basedOn w:val="10533"/>
    <w:qFormat/>
    <w:pPr>
      <w:pBdr>
        <w:top w:val="single" w:color="000000" w:sz="4" w:space="0"/>
        <w:left w:val="single" w:color="000000" w:sz="4" w:space="0"/>
        <w:bottom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690" w:customStyle="1">
    <w:name w:val="xl1960"/>
    <w:basedOn w:val="10533"/>
    <w:qFormat/>
    <w:pPr>
      <w:pBdr>
        <w:top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691" w:customStyle="1">
    <w:name w:val="xl1961"/>
    <w:basedOn w:val="10533"/>
    <w:qFormat/>
    <w:pPr>
      <w:pBdr>
        <w:top w:val="single" w:color="000000" w:sz="4" w:space="0"/>
        <w:left w:val="single" w:color="000000" w:sz="4" w:space="0"/>
        <w:bottom w:val="single" w:color="000000" w:sz="4" w:space="0"/>
      </w:pBdr>
      <w:shd w:val="clear" w:color="000000" w:fill="ccffcc"/>
      <w:spacing w:afterAutospacing="1" w:beforeAutospacing="1"/>
      <w:ind/>
      <w:jc w:val="center"/>
    </w:pPr>
    <w:rPr>
      <w:rFonts w:ascii="Tahoma" w:hAnsi="Tahoma" w:cs="Tahoma"/>
      <w:b/>
      <w:bCs/>
      <w:color w:val="e511e5"/>
      <w:sz w:val="18"/>
      <w:szCs w:val="18"/>
    </w:rPr>
  </w:style>
  <w:style w:type="paragraph" w:styleId="12692" w:customStyle="1">
    <w:name w:val="xl1962"/>
    <w:basedOn w:val="10533"/>
    <w:qFormat/>
    <w:pPr>
      <w:pBdr>
        <w:top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b/>
      <w:bCs/>
      <w:color w:val="e511e5"/>
      <w:sz w:val="18"/>
      <w:szCs w:val="18"/>
    </w:rPr>
  </w:style>
  <w:style w:type="paragraph" w:styleId="12693" w:customStyle="1">
    <w:name w:val="xl1963"/>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94" w:customStyle="1">
    <w:name w:val="xl1964"/>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95" w:customStyle="1">
    <w:name w:val="xl1965"/>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96" w:customStyle="1">
    <w:name w:val="xl1966"/>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697" w:customStyle="1">
    <w:name w:val="xl1967"/>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98" w:customStyle="1">
    <w:name w:val="xl1968"/>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699" w:customStyle="1">
    <w:name w:val="xl1969"/>
    <w:basedOn w:val="10533"/>
    <w:qFormat/>
    <w:pPr>
      <w:pBdr>
        <w:top w:val="single" w:color="000000" w:sz="4" w:space="0"/>
        <w:left w:val="single" w:color="000000" w:sz="4" w:space="0"/>
        <w:bottom w:val="single" w:color="000000" w:sz="4" w:space="0"/>
      </w:pBdr>
      <w:shd w:val="clear" w:color="000000" w:fill="92d050"/>
      <w:spacing w:afterAutospacing="1" w:beforeAutospacing="1"/>
      <w:ind/>
      <w:jc w:val="center"/>
    </w:pPr>
    <w:rPr>
      <w:rFonts w:ascii="Tahoma" w:hAnsi="Tahoma" w:cs="Tahoma"/>
      <w:color w:val="0070c0"/>
      <w:sz w:val="18"/>
      <w:szCs w:val="18"/>
    </w:rPr>
  </w:style>
  <w:style w:type="paragraph" w:styleId="12700" w:customStyle="1">
    <w:name w:val="xl1970"/>
    <w:basedOn w:val="10533"/>
    <w:qFormat/>
    <w:pPr>
      <w:pBdr>
        <w:top w:val="single" w:color="000000" w:sz="4" w:space="0"/>
        <w:bottom w:val="single" w:color="000000" w:sz="4" w:space="0"/>
        <w:right w:val="single" w:color="000000" w:sz="4" w:space="0"/>
      </w:pBdr>
      <w:shd w:val="clear" w:color="000000" w:fill="92d050"/>
      <w:spacing w:afterAutospacing="1" w:beforeAutospacing="1"/>
      <w:ind/>
      <w:jc w:val="center"/>
    </w:pPr>
    <w:rPr>
      <w:rFonts w:ascii="Tahoma" w:hAnsi="Tahoma" w:cs="Tahoma"/>
      <w:color w:val="0070c0"/>
      <w:sz w:val="18"/>
      <w:szCs w:val="18"/>
    </w:rPr>
  </w:style>
  <w:style w:type="paragraph" w:styleId="12701" w:customStyle="1">
    <w:name w:val="xl1971"/>
    <w:basedOn w:val="10533"/>
    <w:qFormat/>
    <w:pPr>
      <w:pBdr>
        <w:top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02" w:customStyle="1">
    <w:name w:val="xl1972"/>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03" w:customStyle="1">
    <w:name w:val="xl1973"/>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04" w:customStyle="1">
    <w:name w:val="xl1974"/>
    <w:basedOn w:val="10533"/>
    <w:qFormat/>
    <w:pPr>
      <w:pBdr>
        <w:top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05" w:customStyle="1">
    <w:name w:val="xl1975"/>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06" w:customStyle="1">
    <w:name w:val="xl1976"/>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07" w:customStyle="1">
    <w:name w:val="xl1977"/>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sz w:val="18"/>
      <w:szCs w:val="18"/>
    </w:rPr>
  </w:style>
  <w:style w:type="paragraph" w:styleId="12708" w:customStyle="1">
    <w:name w:val="xl1978"/>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sz w:val="18"/>
      <w:szCs w:val="18"/>
    </w:rPr>
  </w:style>
  <w:style w:type="paragraph" w:styleId="12709" w:customStyle="1">
    <w:name w:val="xl1979"/>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10" w:customStyle="1">
    <w:name w:val="xl1980"/>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11" w:customStyle="1">
    <w:name w:val="xl1981"/>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12" w:customStyle="1">
    <w:name w:val="xl1982"/>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13" w:customStyle="1">
    <w:name w:val="xl1983"/>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14" w:customStyle="1">
    <w:name w:val="xl1984"/>
    <w:basedOn w:val="10533"/>
    <w:qFormat/>
    <w:pPr>
      <w:pBdr>
        <w:top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15" w:customStyle="1">
    <w:name w:val="xl2024"/>
    <w:basedOn w:val="10533"/>
    <w:qFormat/>
    <w:pPr>
      <w:pBdr>
        <w:top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16" w:customStyle="1">
    <w:name w:val="xl2025"/>
    <w:basedOn w:val="10533"/>
    <w:qFormat/>
    <w:pPr>
      <w:pBdr>
        <w:left w:val="single" w:color="000000" w:sz="4" w:space="0"/>
        <w:bottom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17" w:customStyle="1">
    <w:name w:val="xl2026"/>
    <w:basedOn w:val="10533"/>
    <w:qFormat/>
    <w:pPr>
      <w:pBdr>
        <w:bottom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18" w:customStyle="1">
    <w:name w:val="xl2027"/>
    <w:basedOn w:val="10533"/>
    <w:qFormat/>
    <w:pPr>
      <w:pBdr>
        <w:top w:val="single" w:color="000000" w:sz="4" w:space="0"/>
        <w:left w:val="single" w:color="000000" w:sz="4" w:space="0"/>
        <w:bottom w:val="single" w:color="000000" w:sz="4" w:space="0"/>
      </w:pBdr>
      <w:shd w:val="clear" w:color="000000" w:fill="ffffff"/>
      <w:spacing w:afterAutospacing="1" w:beforeAutospacing="1"/>
      <w:ind/>
      <w:jc w:val="center"/>
    </w:pPr>
    <w:rPr>
      <w:rFonts w:ascii="Tahoma" w:hAnsi="Tahoma" w:cs="Tahoma"/>
      <w:b/>
      <w:bCs/>
      <w:color w:val="000000"/>
      <w:sz w:val="18"/>
      <w:szCs w:val="18"/>
    </w:rPr>
  </w:style>
  <w:style w:type="paragraph" w:styleId="12719" w:customStyle="1">
    <w:name w:val="xl2028"/>
    <w:basedOn w:val="10533"/>
    <w:qFormat/>
    <w:pPr>
      <w:pBdr>
        <w:top w:val="single" w:color="000000" w:sz="4" w:space="0"/>
        <w:bottom w:val="single" w:color="000000" w:sz="4" w:space="0"/>
        <w:right w:val="single" w:color="000000" w:sz="4" w:space="0"/>
      </w:pBdr>
      <w:shd w:val="clear" w:color="000000" w:fill="ffffff"/>
      <w:spacing w:afterAutospacing="1" w:beforeAutospacing="1"/>
      <w:ind/>
      <w:jc w:val="center"/>
    </w:pPr>
    <w:rPr>
      <w:rFonts w:ascii="Tahoma" w:hAnsi="Tahoma" w:cs="Tahoma"/>
      <w:b/>
      <w:bCs/>
      <w:color w:val="000000"/>
      <w:sz w:val="18"/>
      <w:szCs w:val="18"/>
    </w:rPr>
  </w:style>
  <w:style w:type="paragraph" w:styleId="12720" w:customStyle="1">
    <w:name w:val="xl2029"/>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0000"/>
      <w:sz w:val="18"/>
      <w:szCs w:val="18"/>
    </w:rPr>
  </w:style>
  <w:style w:type="paragraph" w:styleId="12721" w:customStyle="1">
    <w:name w:val="xl2030"/>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0000"/>
      <w:sz w:val="18"/>
      <w:szCs w:val="18"/>
    </w:rPr>
  </w:style>
  <w:style w:type="paragraph" w:styleId="12722" w:customStyle="1">
    <w:name w:val="xl2031"/>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723" w:customStyle="1">
    <w:name w:val="xl2032"/>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b050"/>
      <w:sz w:val="18"/>
      <w:szCs w:val="18"/>
    </w:rPr>
  </w:style>
  <w:style w:type="paragraph" w:styleId="12724" w:customStyle="1">
    <w:name w:val="xl2033"/>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25" w:customStyle="1">
    <w:name w:val="xl2034"/>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26" w:customStyle="1">
    <w:name w:val="xl2035"/>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sz w:val="18"/>
      <w:szCs w:val="18"/>
    </w:rPr>
  </w:style>
  <w:style w:type="paragraph" w:styleId="12727" w:customStyle="1">
    <w:name w:val="xl2036"/>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sz w:val="18"/>
      <w:szCs w:val="18"/>
    </w:rPr>
  </w:style>
  <w:style w:type="paragraph" w:styleId="12728" w:customStyle="1">
    <w:name w:val="xl2037"/>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29" w:customStyle="1">
    <w:name w:val="xl2038"/>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30" w:customStyle="1">
    <w:name w:val="xl2039"/>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31" w:customStyle="1">
    <w:name w:val="xl2040"/>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32" w:customStyle="1">
    <w:name w:val="xl2041"/>
    <w:basedOn w:val="10533"/>
    <w:qFormat/>
    <w:pPr>
      <w:pBdr>
        <w:top w:val="single" w:color="000000" w:sz="4" w:space="0"/>
        <w:left w:val="single" w:color="000000" w:sz="4" w:space="0"/>
        <w:bottom w:val="single" w:color="000000" w:sz="4" w:space="0"/>
      </w:pBdr>
      <w:shd w:val="clear" w:color="000000" w:fill="ccffcc"/>
      <w:spacing w:afterAutospacing="1" w:beforeAutospacing="1"/>
      <w:ind/>
      <w:jc w:val="center"/>
    </w:pPr>
    <w:rPr>
      <w:rFonts w:ascii="Tahoma" w:hAnsi="Tahoma" w:cs="Tahoma"/>
      <w:sz w:val="18"/>
      <w:szCs w:val="18"/>
    </w:rPr>
  </w:style>
  <w:style w:type="paragraph" w:styleId="12733" w:customStyle="1">
    <w:name w:val="xl2042"/>
    <w:basedOn w:val="10533"/>
    <w:qFormat/>
    <w:pPr>
      <w:pBdr>
        <w:top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sz w:val="18"/>
      <w:szCs w:val="18"/>
    </w:rPr>
  </w:style>
  <w:style w:type="paragraph" w:styleId="12734" w:customStyle="1">
    <w:name w:val="xl2043"/>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35" w:customStyle="1">
    <w:name w:val="xl2044"/>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36" w:customStyle="1">
    <w:name w:val="xl2045"/>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b/>
      <w:bCs/>
      <w:color w:val="0070c0"/>
      <w:sz w:val="18"/>
      <w:szCs w:val="18"/>
    </w:rPr>
  </w:style>
  <w:style w:type="paragraph" w:styleId="12737" w:customStyle="1">
    <w:name w:val="xl2046"/>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b/>
      <w:bCs/>
      <w:color w:val="0070c0"/>
      <w:sz w:val="18"/>
      <w:szCs w:val="18"/>
    </w:rPr>
  </w:style>
  <w:style w:type="paragraph" w:styleId="12738" w:customStyle="1">
    <w:name w:val="xl2047"/>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39" w:customStyle="1">
    <w:name w:val="xl2048"/>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0" w:customStyle="1">
    <w:name w:val="xl2049"/>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1" w:customStyle="1">
    <w:name w:val="xl2050"/>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2" w:customStyle="1">
    <w:name w:val="xl2051"/>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b/>
      <w:bCs/>
      <w:color w:val="ff0000"/>
      <w:sz w:val="18"/>
      <w:szCs w:val="18"/>
    </w:rPr>
  </w:style>
  <w:style w:type="paragraph" w:styleId="12743" w:customStyle="1">
    <w:name w:val="xl2052"/>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b/>
      <w:bCs/>
      <w:color w:val="ff0000"/>
      <w:sz w:val="18"/>
      <w:szCs w:val="18"/>
    </w:rPr>
  </w:style>
  <w:style w:type="paragraph" w:styleId="12744" w:customStyle="1">
    <w:name w:val="xl2053"/>
    <w:basedOn w:val="10533"/>
    <w:qFormat/>
    <w:pPr>
      <w:pBdr>
        <w:top w:val="single" w:color="000000" w:sz="4" w:space="0"/>
        <w:lef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5" w:customStyle="1">
    <w:name w:val="xl2054"/>
    <w:basedOn w:val="10533"/>
    <w:qFormat/>
    <w:pPr>
      <w:pBdr>
        <w:top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6" w:customStyle="1">
    <w:name w:val="xl2055"/>
    <w:basedOn w:val="10533"/>
    <w:qFormat/>
    <w:pPr>
      <w:pBdr>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7" w:customStyle="1">
    <w:name w:val="xl2056"/>
    <w:basedOn w:val="10533"/>
    <w:qFormat/>
    <w:pPr>
      <w:pBdr>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48" w:customStyle="1">
    <w:name w:val="xl2057"/>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Arial CYR" w:hAnsi="Arial CYR" w:cs="Arial CYR"/>
      <w:color w:val="0000ff"/>
      <w:u w:val="single"/>
    </w:rPr>
  </w:style>
  <w:style w:type="paragraph" w:styleId="12749" w:customStyle="1">
    <w:name w:val="xl2058"/>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b/>
      <w:bCs/>
      <w:sz w:val="18"/>
      <w:szCs w:val="18"/>
    </w:rPr>
  </w:style>
  <w:style w:type="paragraph" w:styleId="12750" w:customStyle="1">
    <w:name w:val="xl2059"/>
    <w:basedOn w:val="10533"/>
    <w:qFormat/>
    <w:pPr>
      <w:pBdr>
        <w:top w:val="single" w:color="000000" w:sz="4" w:space="0"/>
        <w:left w:val="single" w:color="000000" w:sz="4" w:space="0"/>
        <w:bottom w:val="single" w:color="000000" w:sz="4" w:space="0"/>
      </w:pBdr>
      <w:shd w:val="clear" w:color="000000" w:fill="c4d79b"/>
      <w:spacing w:afterAutospacing="1" w:beforeAutospacing="1"/>
      <w:ind/>
      <w:jc w:val="center"/>
    </w:pPr>
    <w:rPr>
      <w:color w:val="00b050"/>
    </w:rPr>
  </w:style>
  <w:style w:type="paragraph" w:styleId="12751" w:customStyle="1">
    <w:name w:val="xl2060"/>
    <w:basedOn w:val="10533"/>
    <w:qFormat/>
    <w:pPr>
      <w:pBdr>
        <w:top w:val="single" w:color="000000" w:sz="4" w:space="0"/>
        <w:bottom w:val="single" w:color="000000" w:sz="4" w:space="0"/>
        <w:right w:val="single" w:color="000000" w:sz="4" w:space="0"/>
      </w:pBdr>
      <w:shd w:val="clear" w:color="000000" w:fill="c4d79b"/>
      <w:spacing w:afterAutospacing="1" w:beforeAutospacing="1"/>
      <w:ind/>
      <w:jc w:val="center"/>
    </w:pPr>
    <w:rPr>
      <w:color w:val="00b050"/>
    </w:rPr>
  </w:style>
  <w:style w:type="paragraph" w:styleId="12752" w:customStyle="1">
    <w:name w:val="xl2061"/>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53" w:customStyle="1">
    <w:name w:val="xl2062"/>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54" w:customStyle="1">
    <w:name w:val="xl2063"/>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55" w:customStyle="1">
    <w:name w:val="xl2064"/>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b050"/>
      <w:sz w:val="18"/>
      <w:szCs w:val="18"/>
    </w:rPr>
  </w:style>
  <w:style w:type="paragraph" w:styleId="12756" w:customStyle="1">
    <w:name w:val="xl2065"/>
    <w:basedOn w:val="10533"/>
    <w:qFormat/>
    <w:pPr>
      <w:pBdr>
        <w:top w:val="single" w:color="000000" w:sz="4" w:space="0"/>
        <w:left w:val="single" w:color="000000" w:sz="8" w:space="0"/>
        <w:right w:val="single" w:color="000000" w:sz="4" w:space="0"/>
      </w:pBdr>
      <w:shd w:val="clear" w:color="000000" w:fill="ffffff"/>
      <w:spacing w:afterAutospacing="1" w:beforeAutospacing="1"/>
      <w:ind/>
      <w:jc w:val="center"/>
    </w:pPr>
    <w:rPr>
      <w:rFonts w:ascii="Tahoma" w:hAnsi="Tahoma" w:cs="Tahoma"/>
      <w:sz w:val="18"/>
      <w:szCs w:val="18"/>
    </w:rPr>
  </w:style>
  <w:style w:type="paragraph" w:styleId="12757" w:customStyle="1">
    <w:name w:val="xl2066"/>
    <w:basedOn w:val="10533"/>
    <w:qFormat/>
    <w:pPr>
      <w:pBdr>
        <w:left w:val="single" w:color="000000" w:sz="8" w:space="0"/>
        <w:right w:val="single" w:color="000000" w:sz="4" w:space="0"/>
      </w:pBdr>
      <w:shd w:val="clear" w:color="000000" w:fill="ffffff"/>
      <w:spacing w:afterAutospacing="1" w:beforeAutospacing="1"/>
      <w:ind/>
      <w:jc w:val="center"/>
    </w:pPr>
    <w:rPr>
      <w:rFonts w:ascii="Tahoma" w:hAnsi="Tahoma" w:cs="Tahoma"/>
      <w:sz w:val="18"/>
      <w:szCs w:val="18"/>
    </w:rPr>
  </w:style>
  <w:style w:type="paragraph" w:styleId="12758" w:customStyle="1">
    <w:name w:val="xl2067"/>
    <w:basedOn w:val="10533"/>
    <w:qFormat/>
    <w:pPr>
      <w:pBdr>
        <w:left w:val="single" w:color="000000" w:sz="8" w:space="0"/>
        <w:bottom w:val="single" w:color="000000" w:sz="4" w:space="0"/>
        <w:right w:val="single" w:color="000000" w:sz="4" w:space="0"/>
      </w:pBdr>
      <w:shd w:val="clear" w:color="000000" w:fill="ffffff"/>
      <w:spacing w:afterAutospacing="1" w:beforeAutospacing="1"/>
      <w:ind/>
      <w:jc w:val="center"/>
    </w:pPr>
    <w:rPr>
      <w:rFonts w:ascii="Tahoma" w:hAnsi="Tahoma" w:cs="Tahoma"/>
      <w:sz w:val="18"/>
      <w:szCs w:val="18"/>
    </w:rPr>
  </w:style>
  <w:style w:type="paragraph" w:styleId="12759" w:customStyle="1">
    <w:name w:val="xl2068"/>
    <w:basedOn w:val="10533"/>
    <w:qFormat/>
    <w:pPr>
      <w:pBdr>
        <w:top w:val="single" w:color="000000" w:sz="4" w:space="0"/>
        <w:left w:val="single" w:color="000000" w:sz="4" w:space="0"/>
      </w:pBdr>
      <w:shd w:val="clear" w:color="000000" w:fill="ffffff"/>
      <w:spacing w:afterAutospacing="1" w:beforeAutospacing="1"/>
      <w:ind/>
      <w:jc w:val="center"/>
    </w:pPr>
    <w:rPr>
      <w:rFonts w:ascii="Tahoma" w:hAnsi="Tahoma" w:cs="Tahoma"/>
      <w:b/>
      <w:bCs/>
      <w:sz w:val="18"/>
      <w:szCs w:val="18"/>
    </w:rPr>
  </w:style>
  <w:style w:type="paragraph" w:styleId="12760" w:customStyle="1">
    <w:name w:val="xl2069"/>
    <w:basedOn w:val="10533"/>
    <w:qFormat/>
    <w:pPr>
      <w:pBdr>
        <w:top w:val="single" w:color="000000" w:sz="4" w:space="0"/>
        <w:right w:val="single" w:color="000000" w:sz="4" w:space="0"/>
      </w:pBdr>
      <w:shd w:val="clear" w:color="000000" w:fill="ffffff"/>
      <w:spacing w:afterAutospacing="1" w:beforeAutospacing="1"/>
      <w:ind/>
      <w:jc w:val="center"/>
    </w:pPr>
    <w:rPr>
      <w:rFonts w:ascii="Tahoma" w:hAnsi="Tahoma" w:cs="Tahoma"/>
      <w:b/>
      <w:bCs/>
      <w:sz w:val="18"/>
      <w:szCs w:val="18"/>
    </w:rPr>
  </w:style>
  <w:style w:type="paragraph" w:styleId="12761" w:customStyle="1">
    <w:name w:val="xl2070"/>
    <w:basedOn w:val="10533"/>
    <w:qFormat/>
    <w:pPr>
      <w:pBdr>
        <w:left w:val="single" w:color="000000" w:sz="4" w:space="0"/>
        <w:bottom w:val="single" w:color="000000" w:sz="4" w:space="0"/>
      </w:pBdr>
      <w:shd w:val="clear" w:color="000000" w:fill="ffffff"/>
      <w:spacing w:afterAutospacing="1" w:beforeAutospacing="1"/>
      <w:ind/>
      <w:jc w:val="center"/>
    </w:pPr>
    <w:rPr>
      <w:rFonts w:ascii="Tahoma" w:hAnsi="Tahoma" w:cs="Tahoma"/>
      <w:b/>
      <w:bCs/>
      <w:sz w:val="18"/>
      <w:szCs w:val="18"/>
    </w:rPr>
  </w:style>
  <w:style w:type="paragraph" w:styleId="12762" w:customStyle="1">
    <w:name w:val="xl2071"/>
    <w:basedOn w:val="10533"/>
    <w:qFormat/>
    <w:pPr>
      <w:pBdr>
        <w:bottom w:val="single" w:color="000000" w:sz="4" w:space="0"/>
        <w:right w:val="single" w:color="000000" w:sz="4" w:space="0"/>
      </w:pBdr>
      <w:shd w:val="clear" w:color="000000" w:fill="ffffff"/>
      <w:spacing w:afterAutospacing="1" w:beforeAutospacing="1"/>
      <w:ind/>
      <w:jc w:val="center"/>
    </w:pPr>
    <w:rPr>
      <w:rFonts w:ascii="Tahoma" w:hAnsi="Tahoma" w:cs="Tahoma"/>
      <w:b/>
      <w:bCs/>
      <w:sz w:val="18"/>
      <w:szCs w:val="18"/>
    </w:rPr>
  </w:style>
  <w:style w:type="paragraph" w:styleId="12763" w:customStyle="1">
    <w:name w:val="xl2072"/>
    <w:basedOn w:val="10533"/>
    <w:qFormat/>
    <w:pPr>
      <w:pBdr>
        <w:top w:val="single" w:color="000000" w:sz="4" w:space="0"/>
        <w:left w:val="single" w:color="000000" w:sz="4" w:space="0"/>
        <w:right w:val="single" w:color="000000" w:sz="4" w:space="0"/>
      </w:pBdr>
      <w:shd w:val="clear" w:color="000000" w:fill="ffffff"/>
      <w:spacing w:afterAutospacing="1" w:beforeAutospacing="1"/>
      <w:ind/>
      <w:jc w:val="center"/>
    </w:pPr>
    <w:rPr>
      <w:rFonts w:ascii="Tahoma" w:hAnsi="Tahoma" w:cs="Tahoma"/>
      <w:b/>
      <w:bCs/>
      <w:sz w:val="18"/>
      <w:szCs w:val="18"/>
    </w:rPr>
  </w:style>
  <w:style w:type="paragraph" w:styleId="12764" w:customStyle="1">
    <w:name w:val="xl2073"/>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rFonts w:ascii="Tahoma" w:hAnsi="Tahoma" w:cs="Tahoma"/>
      <w:b/>
      <w:bCs/>
      <w:sz w:val="18"/>
      <w:szCs w:val="18"/>
    </w:rPr>
  </w:style>
  <w:style w:type="paragraph" w:styleId="12765" w:customStyle="1">
    <w:name w:val="xl2074"/>
    <w:basedOn w:val="10533"/>
    <w:qFormat/>
    <w:pPr>
      <w:pBdr>
        <w:top w:val="single" w:color="000000" w:sz="4" w:space="0"/>
        <w:left w:val="single" w:color="000000" w:sz="4" w:space="0"/>
        <w:bottom w:val="single" w:color="000000" w:sz="4" w:space="0"/>
      </w:pBdr>
      <w:shd w:val="clear" w:color="000000" w:fill="b8cce4"/>
      <w:spacing w:afterAutospacing="1" w:beforeAutospacing="1"/>
      <w:ind/>
      <w:jc w:val="center"/>
    </w:pPr>
    <w:rPr>
      <w:rFonts w:ascii="Tahoma" w:hAnsi="Tahoma" w:cs="Tahoma"/>
      <w:color w:val="0070c0"/>
      <w:sz w:val="18"/>
      <w:szCs w:val="18"/>
    </w:rPr>
  </w:style>
  <w:style w:type="paragraph" w:styleId="12766" w:customStyle="1">
    <w:name w:val="xl2075"/>
    <w:basedOn w:val="10533"/>
    <w:qFormat/>
    <w:pPr>
      <w:pBdr>
        <w:top w:val="single" w:color="000000" w:sz="4" w:space="0"/>
        <w:bottom w:val="single" w:color="000000" w:sz="4" w:space="0"/>
        <w:right w:val="single" w:color="000000" w:sz="4" w:space="0"/>
      </w:pBdr>
      <w:shd w:val="clear" w:color="000000" w:fill="b8cce4"/>
      <w:spacing w:afterAutospacing="1" w:beforeAutospacing="1"/>
      <w:ind/>
      <w:jc w:val="center"/>
    </w:pPr>
    <w:rPr>
      <w:rFonts w:ascii="Tahoma" w:hAnsi="Tahoma" w:cs="Tahoma"/>
      <w:color w:val="0070c0"/>
      <w:sz w:val="18"/>
      <w:szCs w:val="18"/>
    </w:rPr>
  </w:style>
  <w:style w:type="paragraph" w:styleId="12767" w:customStyle="1">
    <w:name w:val="xl2076"/>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b/>
      <w:bCs/>
      <w:color w:val="0070c0"/>
      <w:sz w:val="18"/>
      <w:szCs w:val="18"/>
    </w:rPr>
  </w:style>
  <w:style w:type="paragraph" w:styleId="12768" w:customStyle="1">
    <w:name w:val="xl2077"/>
    <w:basedOn w:val="10533"/>
    <w:qFormat/>
    <w:pPr>
      <w:pBdr>
        <w:top w:val="single" w:color="000000" w:sz="4" w:space="0"/>
        <w:bottom w:val="single" w:color="000000" w:sz="4" w:space="0"/>
      </w:pBdr>
      <w:shd w:val="clear" w:color="000000" w:fill="ffff99"/>
      <w:spacing w:afterAutospacing="1" w:beforeAutospacing="1"/>
      <w:ind/>
      <w:jc w:val="center"/>
    </w:pPr>
    <w:rPr>
      <w:rFonts w:ascii="Tahoma" w:hAnsi="Tahoma" w:cs="Tahoma"/>
      <w:b/>
      <w:bCs/>
      <w:color w:val="0070c0"/>
      <w:sz w:val="18"/>
      <w:szCs w:val="18"/>
    </w:rPr>
  </w:style>
  <w:style w:type="paragraph" w:styleId="12769" w:customStyle="1">
    <w:name w:val="xl2078"/>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b/>
      <w:bCs/>
      <w:color w:val="0070c0"/>
      <w:sz w:val="18"/>
      <w:szCs w:val="18"/>
    </w:rPr>
  </w:style>
  <w:style w:type="paragraph" w:styleId="12770" w:customStyle="1">
    <w:name w:val="xl2079"/>
    <w:basedOn w:val="10533"/>
    <w:qFormat/>
    <w:pPr>
      <w:pBdr>
        <w:top w:val="single" w:color="000000" w:sz="4" w:space="0"/>
        <w:bottom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771" w:customStyle="1">
    <w:name w:val="xl2080"/>
    <w:basedOn w:val="10533"/>
    <w:qFormat/>
    <w:pPr>
      <w:pBdr>
        <w:top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72" w:customStyle="1">
    <w:name w:val="xl2081"/>
    <w:basedOn w:val="10533"/>
    <w:qFormat/>
    <w:pPr>
      <w:pBdr>
        <w:top w:val="single" w:color="000000" w:sz="4" w:space="0"/>
        <w:bottom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773" w:customStyle="1">
    <w:name w:val="xl2082"/>
    <w:basedOn w:val="10533"/>
    <w:qFormat/>
    <w:pPr>
      <w:pBdr>
        <w:top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74" w:customStyle="1">
    <w:name w:val="xl2083"/>
    <w:basedOn w:val="10533"/>
    <w:qFormat/>
    <w:pPr>
      <w:pBdr>
        <w:top w:val="single" w:color="000000" w:sz="4" w:space="0"/>
        <w:left w:val="single" w:color="000000" w:sz="4" w:space="0"/>
        <w:bottom w:val="single" w:color="000000" w:sz="4" w:space="0"/>
      </w:pBdr>
      <w:shd w:val="clear" w:color="000000" w:fill="b7dee8"/>
      <w:spacing w:afterAutospacing="1" w:beforeAutospacing="1"/>
      <w:ind/>
      <w:jc w:val="center"/>
    </w:pPr>
    <w:rPr>
      <w:rFonts w:ascii="Tahoma" w:hAnsi="Tahoma" w:cs="Tahoma"/>
      <w:color w:val="0070c0"/>
      <w:sz w:val="18"/>
      <w:szCs w:val="18"/>
    </w:rPr>
  </w:style>
  <w:style w:type="paragraph" w:styleId="12775" w:customStyle="1">
    <w:name w:val="xl2084"/>
    <w:basedOn w:val="10533"/>
    <w:qFormat/>
    <w:pPr>
      <w:pBdr>
        <w:top w:val="single" w:color="000000" w:sz="4" w:space="0"/>
        <w:bottom w:val="single" w:color="000000" w:sz="4" w:space="0"/>
        <w:right w:val="single" w:color="000000" w:sz="4" w:space="0"/>
      </w:pBdr>
      <w:shd w:val="clear" w:color="000000" w:fill="b7dee8"/>
      <w:spacing w:afterAutospacing="1" w:beforeAutospacing="1"/>
      <w:ind/>
      <w:jc w:val="center"/>
    </w:pPr>
    <w:rPr>
      <w:rFonts w:ascii="Tahoma" w:hAnsi="Tahoma" w:cs="Tahoma"/>
      <w:color w:val="0070c0"/>
      <w:sz w:val="18"/>
      <w:szCs w:val="18"/>
    </w:rPr>
  </w:style>
  <w:style w:type="paragraph" w:styleId="12776" w:customStyle="1">
    <w:name w:val="xl2085"/>
    <w:basedOn w:val="10533"/>
    <w:qFormat/>
    <w:pPr>
      <w:pBdr>
        <w:top w:val="single" w:color="000000" w:sz="4" w:space="0"/>
        <w:left w:val="single" w:color="000000" w:sz="4" w:space="0"/>
        <w:bottom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77" w:customStyle="1">
    <w:name w:val="xl2086"/>
    <w:basedOn w:val="10533"/>
    <w:qFormat/>
    <w:pPr>
      <w:pBdr>
        <w:top w:val="single" w:color="000000" w:sz="4" w:space="0"/>
        <w:bottom w:val="single" w:color="000000" w:sz="4" w:space="0"/>
        <w:right w:val="single" w:color="000000" w:sz="4" w:space="0"/>
      </w:pBdr>
      <w:shd w:val="clear" w:color="000000" w:fill="ffff99"/>
      <w:spacing w:afterAutospacing="1" w:beforeAutospacing="1"/>
      <w:ind/>
      <w:jc w:val="center"/>
    </w:pPr>
    <w:rPr>
      <w:rFonts w:ascii="Tahoma" w:hAnsi="Tahoma" w:cs="Tahoma"/>
      <w:color w:val="0070c0"/>
      <w:sz w:val="18"/>
      <w:szCs w:val="18"/>
    </w:rPr>
  </w:style>
  <w:style w:type="paragraph" w:styleId="12778" w:customStyle="1">
    <w:name w:val="xl2087"/>
    <w:basedOn w:val="10533"/>
    <w:qFormat/>
    <w:pPr>
      <w:pBdr>
        <w:top w:val="single" w:color="000000" w:sz="4" w:space="0"/>
        <w:left w:val="single" w:color="000000" w:sz="4" w:space="0"/>
        <w:bottom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779" w:customStyle="1">
    <w:name w:val="xl2088"/>
    <w:basedOn w:val="10533"/>
    <w:qFormat/>
    <w:pPr>
      <w:pBdr>
        <w:top w:val="single" w:color="000000" w:sz="4" w:space="0"/>
        <w:bottom w:val="single" w:color="000000" w:sz="4" w:space="0"/>
        <w:right w:val="single" w:color="000000" w:sz="4" w:space="0"/>
      </w:pBdr>
      <w:shd w:val="clear" w:color="000000" w:fill="ccffcc"/>
      <w:spacing w:afterAutospacing="1" w:beforeAutospacing="1"/>
      <w:ind/>
      <w:jc w:val="center"/>
    </w:pPr>
    <w:rPr>
      <w:rFonts w:ascii="Tahoma" w:hAnsi="Tahoma" w:cs="Tahoma"/>
      <w:color w:val="0070c0"/>
      <w:sz w:val="18"/>
      <w:szCs w:val="18"/>
    </w:rPr>
  </w:style>
  <w:style w:type="paragraph" w:styleId="12780" w:customStyle="1">
    <w:name w:val="xl2089"/>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81" w:customStyle="1">
    <w:name w:val="xl2090"/>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82" w:customStyle="1">
    <w:name w:val="xl2091"/>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83" w:customStyle="1">
    <w:name w:val="xl2092"/>
    <w:basedOn w:val="10533"/>
    <w:qFormat/>
    <w:pPr>
      <w:pBdr>
        <w:top w:val="single" w:color="000000" w:sz="4" w:space="0"/>
        <w:bottom w:val="single" w:color="000000" w:sz="4" w:space="0"/>
        <w:right w:val="single" w:color="000000" w:sz="4" w:space="0"/>
      </w:pBdr>
      <w:shd w:val="clear" w:color="000000" w:fill="ffff00"/>
      <w:spacing w:afterAutospacing="1" w:beforeAutospacing="1"/>
      <w:ind/>
      <w:jc w:val="center"/>
    </w:pPr>
    <w:rPr>
      <w:rFonts w:ascii="Tahoma" w:hAnsi="Tahoma" w:cs="Tahoma"/>
      <w:color w:val="0070c0"/>
      <w:sz w:val="18"/>
      <w:szCs w:val="18"/>
    </w:rPr>
  </w:style>
  <w:style w:type="paragraph" w:styleId="12784" w:customStyle="1">
    <w:name w:val="xl2093"/>
    <w:basedOn w:val="10533"/>
    <w:qFormat/>
    <w:pPr>
      <w:pBdr>
        <w:top w:val="single" w:color="000000" w:sz="4" w:space="0"/>
        <w:left w:val="single" w:color="000000" w:sz="4" w:space="0"/>
        <w:bottom w:val="single" w:color="000000" w:sz="4" w:space="0"/>
      </w:pBdr>
      <w:shd w:val="clear" w:color="000000" w:fill="b7dee8"/>
      <w:spacing w:afterAutospacing="1" w:beforeAutospacing="1"/>
      <w:ind/>
      <w:jc w:val="center"/>
    </w:pPr>
    <w:rPr>
      <w:rFonts w:ascii="Tahoma" w:hAnsi="Tahoma" w:cs="Tahoma"/>
      <w:b/>
      <w:bCs/>
      <w:color w:val="e511e5"/>
      <w:sz w:val="18"/>
      <w:szCs w:val="18"/>
    </w:rPr>
  </w:style>
  <w:style w:type="paragraph" w:styleId="12785" w:customStyle="1">
    <w:name w:val="xl2094"/>
    <w:basedOn w:val="10533"/>
    <w:qFormat/>
    <w:pPr>
      <w:pBdr>
        <w:top w:val="single" w:color="000000" w:sz="4" w:space="0"/>
        <w:bottom w:val="single" w:color="000000" w:sz="4" w:space="0"/>
        <w:right w:val="single" w:color="000000" w:sz="4" w:space="0"/>
      </w:pBdr>
      <w:shd w:val="clear" w:color="000000" w:fill="b7dee8"/>
      <w:spacing w:afterAutospacing="1" w:beforeAutospacing="1"/>
      <w:ind/>
      <w:jc w:val="center"/>
    </w:pPr>
    <w:rPr>
      <w:rFonts w:ascii="Tahoma" w:hAnsi="Tahoma" w:cs="Tahoma"/>
      <w:b/>
      <w:bCs/>
      <w:color w:val="e511e5"/>
      <w:sz w:val="18"/>
      <w:szCs w:val="18"/>
    </w:rPr>
  </w:style>
  <w:style w:type="paragraph" w:styleId="12786" w:customStyle="1">
    <w:name w:val="xl2095"/>
    <w:basedOn w:val="10533"/>
    <w:qFormat/>
    <w:pPr>
      <w:pBdr>
        <w:top w:val="single" w:color="000000" w:sz="4" w:space="0"/>
        <w:left w:val="single" w:color="000000" w:sz="4" w:space="0"/>
        <w:bottom w:val="single" w:color="000000" w:sz="4" w:space="0"/>
      </w:pBdr>
      <w:shd w:val="clear" w:color="000000" w:fill="ffff00"/>
      <w:spacing w:afterAutospacing="1" w:beforeAutospacing="1"/>
      <w:ind/>
      <w:jc w:val="center"/>
    </w:pPr>
    <w:rPr>
      <w:rFonts w:ascii="Tahoma" w:hAnsi="Tahoma" w:cs="Tahoma"/>
      <w:b/>
      <w:bCs/>
      <w:color w:val="00b050"/>
      <w:sz w:val="18"/>
      <w:szCs w:val="18"/>
    </w:rPr>
  </w:style>
  <w:style w:type="paragraph" w:styleId="12787" w:customStyle="1">
    <w:name w:val="xl63568"/>
    <w:basedOn w:val="10533"/>
    <w:uiPriority w:val="99"/>
    <w:qFormat/>
    <w:pPr>
      <w:pBdr>
        <w:top w:val="single" w:color="000000" w:sz="8" w:space="0"/>
        <w:left w:val="single" w:color="000000" w:sz="8" w:space="0"/>
        <w:bottom w:val="single" w:color="000000" w:sz="8" w:space="0"/>
        <w:right w:val="single" w:color="000000" w:sz="8" w:space="0"/>
      </w:pBdr>
      <w:spacing w:afterAutospacing="1" w:beforeAutospacing="1"/>
      <w:ind/>
      <w:jc w:val="center"/>
    </w:pPr>
    <w:rPr>
      <w:rFonts w:ascii="Arial" w:hAnsi="Arial" w:cs="Arial"/>
      <w:b/>
      <w:bCs/>
      <w:color w:val="000000"/>
      <w:sz w:val="20"/>
      <w:szCs w:val="20"/>
    </w:rPr>
  </w:style>
  <w:style w:type="paragraph" w:styleId="12788" w:customStyle="1">
    <w:name w:val="xl63569"/>
    <w:basedOn w:val="10533"/>
    <w:uiPriority w:val="99"/>
    <w:qFormat/>
    <w:pPr>
      <w:pBdr>
        <w:top w:val="single" w:color="000000" w:sz="8" w:space="0"/>
        <w:bottom w:val="single" w:color="000000" w:sz="8" w:space="0"/>
        <w:right w:val="single" w:color="000000" w:sz="8" w:space="0"/>
      </w:pBdr>
      <w:spacing w:afterAutospacing="1" w:beforeAutospacing="1"/>
      <w:ind/>
      <w:jc w:val="center"/>
    </w:pPr>
    <w:rPr>
      <w:rFonts w:ascii="Arial" w:hAnsi="Arial" w:cs="Arial"/>
      <w:b/>
      <w:bCs/>
      <w:color w:val="000000"/>
      <w:sz w:val="20"/>
      <w:szCs w:val="20"/>
    </w:rPr>
  </w:style>
  <w:style w:type="paragraph" w:styleId="12789" w:customStyle="1">
    <w:name w:val="xl63570"/>
    <w:basedOn w:val="10533"/>
    <w:uiPriority w:val="99"/>
    <w:qFormat/>
    <w:pPr>
      <w:pBdr>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790" w:customStyle="1">
    <w:name w:val="xl63571"/>
    <w:basedOn w:val="10533"/>
    <w:uiPriority w:val="99"/>
    <w:qFormat/>
    <w:pPr>
      <w:pBdr>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791" w:customStyle="1">
    <w:name w:val="xl63572"/>
    <w:basedOn w:val="10533"/>
    <w:uiPriority w:val="99"/>
    <w:qFormat/>
    <w:pPr>
      <w:pBdr>
        <w:left w:val="single" w:color="000000" w:sz="8" w:space="0"/>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792" w:customStyle="1">
    <w:name w:val="xl63573"/>
    <w:basedOn w:val="10533"/>
    <w:uiPriority w:val="99"/>
    <w:qFormat/>
    <w:pPr>
      <w:pBdr>
        <w:left w:val="single" w:color="000000" w:sz="8" w:space="0"/>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793" w:customStyle="1">
    <w:name w:val="xl63574"/>
    <w:basedOn w:val="10533"/>
    <w:uiPriority w:val="99"/>
    <w:qFormat/>
    <w:pPr>
      <w:pBdr>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794" w:customStyle="1">
    <w:name w:val="xl63575"/>
    <w:basedOn w:val="10533"/>
    <w:uiPriority w:val="99"/>
    <w:qFormat/>
    <w:pPr>
      <w:pBdr>
        <w:bottom w:val="single" w:color="000000" w:sz="8" w:space="0"/>
        <w:right w:val="single" w:color="000000" w:sz="8" w:space="0"/>
      </w:pBdr>
      <w:spacing w:afterAutospacing="1" w:beforeAutospacing="1"/>
      <w:ind/>
      <w:jc w:val="center"/>
    </w:pPr>
    <w:rPr>
      <w:rFonts w:ascii="Arial" w:hAnsi="Arial" w:cs="Arial"/>
      <w:color w:val="000000"/>
      <w:sz w:val="20"/>
      <w:szCs w:val="20"/>
    </w:rPr>
  </w:style>
  <w:style w:type="paragraph" w:styleId="12795" w:customStyle="1">
    <w:name w:val="xl63576"/>
    <w:basedOn w:val="10533"/>
    <w:uiPriority w:val="99"/>
    <w:qFormat/>
    <w:pPr>
      <w:pBdr>
        <w:top w:val="single" w:color="000000" w:sz="8" w:space="0"/>
        <w:bottom w:val="single" w:color="000000" w:sz="8" w:space="0"/>
        <w:right w:val="single" w:color="000000" w:sz="8" w:space="0"/>
      </w:pBdr>
      <w:spacing w:afterAutospacing="1" w:beforeAutospacing="1"/>
      <w:ind/>
      <w:jc w:val="center"/>
    </w:pPr>
    <w:rPr>
      <w:rFonts w:ascii="Arial" w:hAnsi="Arial" w:cs="Arial"/>
      <w:b/>
      <w:bCs/>
      <w:color w:val="000000"/>
      <w:sz w:val="20"/>
      <w:szCs w:val="20"/>
    </w:rPr>
  </w:style>
  <w:style w:type="paragraph" w:styleId="12796" w:customStyle="1">
    <w:name w:val="xl63577"/>
    <w:basedOn w:val="10533"/>
    <w:uiPriority w:val="99"/>
    <w:qFormat/>
    <w:pPr>
      <w:pBdr>
        <w:top w:val="single" w:color="000000" w:sz="8" w:space="0"/>
        <w:right w:val="single" w:color="000000" w:sz="4" w:space="0"/>
      </w:pBdr>
      <w:spacing w:afterAutospacing="1" w:beforeAutospacing="1"/>
      <w:ind/>
      <w:jc w:val="center"/>
    </w:pPr>
    <w:rPr>
      <w:b/>
      <w:bCs/>
      <w:sz w:val="20"/>
      <w:szCs w:val="20"/>
    </w:rPr>
  </w:style>
  <w:style w:type="paragraph" w:styleId="12797" w:customStyle="1">
    <w:name w:val="xl63578"/>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color w:val="000000"/>
      <w:sz w:val="20"/>
      <w:szCs w:val="20"/>
    </w:rPr>
  </w:style>
  <w:style w:type="paragraph" w:styleId="12798" w:customStyle="1">
    <w:name w:val="xl63579"/>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808080"/>
      <w:sz w:val="20"/>
      <w:szCs w:val="20"/>
    </w:rPr>
  </w:style>
  <w:style w:type="paragraph" w:styleId="12799" w:customStyle="1">
    <w:name w:val="xl63580"/>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808080"/>
      <w:sz w:val="20"/>
      <w:szCs w:val="20"/>
    </w:rPr>
  </w:style>
  <w:style w:type="paragraph" w:styleId="12800" w:customStyle="1">
    <w:name w:val="xl63581"/>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808080"/>
      <w:sz w:val="20"/>
      <w:szCs w:val="20"/>
    </w:rPr>
  </w:style>
  <w:style w:type="paragraph" w:styleId="12801" w:customStyle="1">
    <w:name w:val="Стиль8"/>
    <w:basedOn w:val="11452"/>
    <w:uiPriority w:val="99"/>
    <w:qFormat/>
    <w:pPr>
      <w:pBdr/>
      <w:spacing w:after="60" w:before="120" w:line="360" w:lineRule="auto"/>
      <w:ind w:firstLine="720"/>
    </w:pPr>
    <w:rPr>
      <w:lang w:val="ru-RU" w:bidi="ar-SA"/>
    </w:rPr>
  </w:style>
  <w:style w:type="paragraph" w:styleId="12802" w:customStyle="1">
    <w:name w:val="xl63567"/>
    <w:basedOn w:val="10533"/>
    <w:uiPriority w:val="99"/>
    <w:qFormat/>
    <w:pPr>
      <w:pBdr/>
      <w:shd w:val="clear" w:color="000000" w:fill="ffffff"/>
      <w:spacing w:afterAutospacing="1" w:beforeAutospacing="1"/>
      <w:ind/>
      <w:jc w:val="center"/>
    </w:pPr>
    <w:rPr>
      <w:color w:val="000000"/>
      <w:sz w:val="20"/>
      <w:szCs w:val="20"/>
    </w:rPr>
  </w:style>
  <w:style w:type="paragraph" w:styleId="12803" w:customStyle="1">
    <w:name w:val="xl63582"/>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12"/>
      <w:szCs w:val="12"/>
    </w:rPr>
  </w:style>
  <w:style w:type="paragraph" w:styleId="12804" w:customStyle="1">
    <w:name w:val="xl63583"/>
    <w:basedOn w:val="10533"/>
    <w:uiPriority w:val="99"/>
    <w:qFormat/>
    <w:pPr>
      <w:pBdr>
        <w:top w:val="single" w:color="000000" w:sz="4" w:space="0"/>
        <w:left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05" w:customStyle="1">
    <w:name w:val="xl63584"/>
    <w:basedOn w:val="10533"/>
    <w:uiPriority w:val="99"/>
    <w:qFormat/>
    <w:pPr>
      <w:pBdr>
        <w:left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06" w:customStyle="1">
    <w:name w:val="xl63585"/>
    <w:basedOn w:val="10533"/>
    <w:uiPriority w:val="99"/>
    <w:qFormat/>
    <w:pPr>
      <w:pBdr>
        <w:left w:val="single" w:color="000000" w:sz="4" w:space="0"/>
        <w:bottom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07" w:customStyle="1">
    <w:name w:val="xl63617"/>
    <w:basedOn w:val="10533"/>
    <w:uiPriority w:val="99"/>
    <w:qFormat/>
    <w:pPr>
      <w:pBdr/>
      <w:spacing w:afterAutospacing="1" w:beforeAutospacing="1"/>
      <w:ind/>
      <w:jc w:val="center"/>
    </w:pPr>
    <w:rPr>
      <w:color w:val="000000"/>
      <w:sz w:val="20"/>
      <w:szCs w:val="20"/>
    </w:rPr>
  </w:style>
  <w:style w:type="paragraph" w:styleId="12808" w:customStyle="1">
    <w:name w:val="xl63618"/>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09" w:customStyle="1">
    <w:name w:val="xl63619"/>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10" w:customStyle="1">
    <w:name w:val="xl63621"/>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11" w:customStyle="1">
    <w:name w:val="xl63622"/>
    <w:basedOn w:val="10533"/>
    <w:uiPriority w:val="99"/>
    <w:qFormat/>
    <w:pPr>
      <w:pBdr>
        <w:top w:val="single" w:color="000000" w:sz="4" w:space="0"/>
        <w:left w:val="single" w:color="000000" w:sz="4" w:space="0"/>
        <w:bottom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12" w:customStyle="1">
    <w:name w:val="xl63623"/>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12"/>
      <w:szCs w:val="12"/>
    </w:rPr>
  </w:style>
  <w:style w:type="paragraph" w:styleId="12813" w:customStyle="1">
    <w:name w:val="xl63625"/>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14" w:customStyle="1">
    <w:name w:val="xl63626"/>
    <w:basedOn w:val="10533"/>
    <w:uiPriority w:val="99"/>
    <w:qFormat/>
    <w:pPr>
      <w:pBdr/>
      <w:spacing w:afterAutospacing="1" w:beforeAutospacing="1"/>
      <w:ind/>
      <w:jc w:val="center"/>
    </w:pPr>
  </w:style>
  <w:style w:type="paragraph" w:styleId="12815" w:customStyle="1">
    <w:name w:val="xl63627"/>
    <w:basedOn w:val="10533"/>
    <w:uiPriority w:val="99"/>
    <w:qFormat/>
    <w:pPr>
      <w:pBdr/>
      <w:spacing w:afterAutospacing="1" w:beforeAutospacing="1"/>
      <w:ind/>
      <w:jc w:val="center"/>
    </w:pPr>
    <w:rPr>
      <w:color w:val="000000"/>
      <w:sz w:val="20"/>
      <w:szCs w:val="20"/>
    </w:rPr>
  </w:style>
  <w:style w:type="paragraph" w:styleId="12816" w:customStyle="1">
    <w:name w:val="xl63628"/>
    <w:basedOn w:val="10533"/>
    <w:uiPriority w:val="99"/>
    <w:qFormat/>
    <w:pPr>
      <w:pBdr/>
      <w:spacing w:afterAutospacing="1" w:beforeAutospacing="1"/>
      <w:ind/>
      <w:jc w:val="center"/>
    </w:pPr>
    <w:rPr>
      <w:color w:val="000000"/>
      <w:sz w:val="12"/>
      <w:szCs w:val="12"/>
    </w:rPr>
  </w:style>
  <w:style w:type="paragraph" w:styleId="12817" w:customStyle="1">
    <w:name w:val="xl63629"/>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18" w:customStyle="1">
    <w:name w:val="xl63630"/>
    <w:basedOn w:val="10533"/>
    <w:uiPriority w:val="99"/>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819" w:customStyle="1">
    <w:name w:val="xl63631"/>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20" w:customStyle="1">
    <w:name w:val="xl63632"/>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21" w:customStyle="1">
    <w:name w:val="xl63633"/>
    <w:basedOn w:val="10533"/>
    <w:uiPriority w:val="99"/>
    <w:qFormat/>
    <w:pPr>
      <w:pBdr>
        <w:top w:val="single" w:color="000000" w:sz="4" w:space="0"/>
        <w:left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822" w:customStyle="1">
    <w:name w:val="xl63634"/>
    <w:basedOn w:val="10533"/>
    <w:uiPriority w:val="99"/>
    <w:qFormat/>
    <w:pPr>
      <w:pBdr>
        <w:top w:val="single" w:color="000000" w:sz="4" w:space="0"/>
        <w:left w:val="single" w:color="000000" w:sz="4" w:space="0"/>
        <w:bottom w:val="single" w:color="000000" w:sz="4" w:space="0"/>
        <w:right w:val="single" w:color="000000" w:sz="4" w:space="0"/>
      </w:pBdr>
      <w:spacing w:afterAutospacing="1" w:beforeAutospacing="1"/>
      <w:ind/>
      <w:jc w:val="center"/>
    </w:pPr>
  </w:style>
  <w:style w:type="paragraph" w:styleId="12823" w:customStyle="1">
    <w:name w:val="xl63635"/>
    <w:basedOn w:val="10533"/>
    <w:uiPriority w:val="99"/>
    <w:qFormat/>
    <w:pPr>
      <w:pBdr>
        <w:top w:val="single" w:color="000000" w:sz="4" w:space="0"/>
        <w:left w:val="single" w:color="000000" w:sz="4" w:space="0"/>
        <w:right w:val="single" w:color="000000" w:sz="4" w:space="0"/>
      </w:pBdr>
      <w:spacing w:afterAutospacing="1" w:beforeAutospacing="1"/>
      <w:ind/>
      <w:jc w:val="center"/>
    </w:pPr>
    <w:rPr>
      <w:color w:val="000000"/>
      <w:sz w:val="20"/>
      <w:szCs w:val="20"/>
    </w:rPr>
  </w:style>
  <w:style w:type="paragraph" w:styleId="12824" w:customStyle="1">
    <w:name w:val="xl63636"/>
    <w:basedOn w:val="10533"/>
    <w:uiPriority w:val="99"/>
    <w:qFormat/>
    <w:pPr>
      <w:pBdr>
        <w:left w:val="single" w:color="000000" w:sz="4" w:space="0"/>
        <w:right w:val="single" w:color="000000" w:sz="4" w:space="0"/>
      </w:pBdr>
      <w:spacing w:afterAutospacing="1" w:beforeAutospacing="1"/>
      <w:ind/>
      <w:jc w:val="center"/>
    </w:pPr>
    <w:rPr>
      <w:color w:val="000000"/>
      <w:sz w:val="20"/>
      <w:szCs w:val="20"/>
    </w:rPr>
  </w:style>
  <w:style w:type="paragraph" w:styleId="12825" w:customStyle="1">
    <w:name w:val="xl63637"/>
    <w:basedOn w:val="10533"/>
    <w:uiPriority w:val="99"/>
    <w:qFormat/>
    <w:pPr>
      <w:pBdr>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26" w:customStyle="1">
    <w:name w:val="xl63638"/>
    <w:basedOn w:val="10533"/>
    <w:uiPriority w:val="99"/>
    <w:qFormat/>
    <w:pPr>
      <w:pBdr>
        <w:top w:val="single" w:color="000000" w:sz="4" w:space="0"/>
        <w:left w:val="single" w:color="000000" w:sz="4" w:space="0"/>
        <w:right w:val="single" w:color="000000" w:sz="4" w:space="0"/>
      </w:pBdr>
      <w:spacing w:afterAutospacing="1" w:beforeAutospacing="1"/>
      <w:ind/>
      <w:jc w:val="center"/>
    </w:pPr>
    <w:rPr>
      <w:color w:val="000000"/>
      <w:sz w:val="20"/>
      <w:szCs w:val="20"/>
    </w:rPr>
  </w:style>
  <w:style w:type="paragraph" w:styleId="12827" w:customStyle="1">
    <w:name w:val="xl63639"/>
    <w:basedOn w:val="10533"/>
    <w:uiPriority w:val="99"/>
    <w:qFormat/>
    <w:pPr>
      <w:pBdr>
        <w:left w:val="single" w:color="000000" w:sz="4" w:space="0"/>
        <w:right w:val="single" w:color="000000" w:sz="4" w:space="0"/>
      </w:pBdr>
      <w:spacing w:afterAutospacing="1" w:beforeAutospacing="1"/>
      <w:ind/>
      <w:jc w:val="center"/>
    </w:pPr>
    <w:rPr>
      <w:color w:val="000000"/>
      <w:sz w:val="20"/>
      <w:szCs w:val="20"/>
    </w:rPr>
  </w:style>
  <w:style w:type="paragraph" w:styleId="12828" w:customStyle="1">
    <w:name w:val="xl63640"/>
    <w:basedOn w:val="10533"/>
    <w:uiPriority w:val="99"/>
    <w:qFormat/>
    <w:pPr>
      <w:pBdr>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29" w:customStyle="1">
    <w:name w:val="xl63641"/>
    <w:basedOn w:val="10533"/>
    <w:uiPriority w:val="99"/>
    <w:qFormat/>
    <w:pPr>
      <w:pBdr>
        <w:top w:val="single" w:color="000000" w:sz="4" w:space="0"/>
        <w:left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30" w:customStyle="1">
    <w:name w:val="xl63642"/>
    <w:basedOn w:val="10533"/>
    <w:uiPriority w:val="99"/>
    <w:qFormat/>
    <w:pPr>
      <w:pBdr>
        <w:left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31" w:customStyle="1">
    <w:name w:val="xl63643"/>
    <w:basedOn w:val="10533"/>
    <w:uiPriority w:val="99"/>
    <w:qFormat/>
    <w:pPr>
      <w:pBdr>
        <w:left w:val="single" w:color="000000" w:sz="4" w:space="0"/>
        <w:bottom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32" w:customStyle="1">
    <w:name w:val="xl63644"/>
    <w:basedOn w:val="10533"/>
    <w:uiPriority w:val="99"/>
    <w:qFormat/>
    <w:pPr>
      <w:pBdr>
        <w:top w:val="single" w:color="000000" w:sz="4" w:space="0"/>
        <w:left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33" w:customStyle="1">
    <w:name w:val="xl63645"/>
    <w:basedOn w:val="10533"/>
    <w:uiPriority w:val="99"/>
    <w:qFormat/>
    <w:pPr>
      <w:pBdr>
        <w:left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34" w:customStyle="1">
    <w:name w:val="xl63646"/>
    <w:basedOn w:val="10533"/>
    <w:uiPriority w:val="99"/>
    <w:qFormat/>
    <w:pPr>
      <w:pBdr>
        <w:left w:val="single" w:color="000000" w:sz="4" w:space="0"/>
        <w:bottom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35" w:customStyle="1">
    <w:name w:val="xl63647"/>
    <w:basedOn w:val="10533"/>
    <w:uiPriority w:val="99"/>
    <w:qFormat/>
    <w:pPr>
      <w:pBdr>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36" w:customStyle="1">
    <w:name w:val="xl63648"/>
    <w:basedOn w:val="10533"/>
    <w:uiPriority w:val="99"/>
    <w:qFormat/>
    <w:pPr>
      <w:pBdr>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37" w:customStyle="1">
    <w:name w:val="xl63649"/>
    <w:basedOn w:val="10533"/>
    <w:uiPriority w:val="99"/>
    <w:qFormat/>
    <w:pPr>
      <w:pBdr>
        <w:left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838" w:customStyle="1">
    <w:name w:val="xl63650"/>
    <w:basedOn w:val="10533"/>
    <w:uiPriority w:val="99"/>
    <w:qFormat/>
    <w:pPr>
      <w:pBdr>
        <w:left w:val="single" w:color="000000" w:sz="4" w:space="0"/>
        <w:bottom w:val="single" w:color="000000" w:sz="4" w:space="0"/>
        <w:right w:val="single" w:color="000000" w:sz="4" w:space="0"/>
      </w:pBdr>
      <w:shd w:val="clear" w:color="000000" w:fill="ffffff"/>
      <w:spacing w:afterAutospacing="1" w:beforeAutospacing="1"/>
      <w:ind/>
      <w:jc w:val="center"/>
    </w:pPr>
    <w:rPr>
      <w:color w:val="000000"/>
      <w:sz w:val="20"/>
      <w:szCs w:val="20"/>
    </w:rPr>
  </w:style>
  <w:style w:type="paragraph" w:styleId="12839" w:customStyle="1">
    <w:name w:val="xl63651"/>
    <w:basedOn w:val="10533"/>
    <w:uiPriority w:val="99"/>
    <w:qFormat/>
    <w:pPr>
      <w:pBdr>
        <w:top w:val="single" w:color="000000" w:sz="4" w:space="0"/>
        <w:left w:val="single" w:color="000000" w:sz="4" w:space="0"/>
      </w:pBdr>
      <w:spacing w:afterAutospacing="1" w:beforeAutospacing="1"/>
      <w:ind/>
      <w:jc w:val="center"/>
    </w:pPr>
    <w:rPr>
      <w:color w:val="000000"/>
      <w:sz w:val="20"/>
      <w:szCs w:val="20"/>
    </w:rPr>
  </w:style>
  <w:style w:type="paragraph" w:styleId="12840" w:customStyle="1">
    <w:name w:val="xl63652"/>
    <w:basedOn w:val="10533"/>
    <w:uiPriority w:val="99"/>
    <w:qFormat/>
    <w:pPr>
      <w:pBdr>
        <w:left w:val="single" w:color="000000" w:sz="4" w:space="0"/>
      </w:pBdr>
      <w:spacing w:afterAutospacing="1" w:beforeAutospacing="1"/>
      <w:ind/>
      <w:jc w:val="center"/>
    </w:pPr>
    <w:rPr>
      <w:color w:val="000000"/>
      <w:sz w:val="20"/>
      <w:szCs w:val="20"/>
    </w:rPr>
  </w:style>
  <w:style w:type="paragraph" w:styleId="12841" w:customStyle="1">
    <w:name w:val="xl63620"/>
    <w:basedOn w:val="10533"/>
    <w:uiPriority w:val="99"/>
    <w:qFormat/>
    <w:pPr>
      <w:pBdr>
        <w:top w:val="single" w:color="000000" w:sz="8" w:space="0"/>
        <w:bottom w:val="single" w:color="000000" w:sz="8" w:space="0"/>
        <w:right w:val="single" w:color="000000" w:sz="8" w:space="0"/>
      </w:pBdr>
      <w:shd w:val="clear" w:color="000000" w:fill="dce6f1"/>
      <w:spacing w:afterAutospacing="1" w:beforeAutospacing="1"/>
      <w:ind/>
      <w:jc w:val="center"/>
    </w:pPr>
    <w:rPr>
      <w:rFonts w:ascii="Arial" w:hAnsi="Arial" w:cs="Arial"/>
      <w:color w:val="000000"/>
      <w:sz w:val="20"/>
      <w:szCs w:val="20"/>
    </w:rPr>
  </w:style>
  <w:style w:type="paragraph" w:styleId="12842" w:customStyle="1">
    <w:name w:val="xl63624"/>
    <w:basedOn w:val="10533"/>
    <w:uiPriority w:val="99"/>
    <w:qFormat/>
    <w:pPr>
      <w:pBdr>
        <w:bottom w:val="single" w:color="000000" w:sz="8" w:space="0"/>
        <w:right w:val="single" w:color="000000" w:sz="8" w:space="0"/>
      </w:pBdr>
      <w:shd w:val="clear" w:color="000000" w:fill="d8e4bc"/>
      <w:spacing w:afterAutospacing="1" w:beforeAutospacing="1"/>
      <w:ind/>
      <w:jc w:val="center"/>
    </w:pPr>
    <w:rPr>
      <w:rFonts w:ascii="Arial" w:hAnsi="Arial" w:cs="Arial"/>
      <w:color w:val="000000"/>
      <w:sz w:val="20"/>
      <w:szCs w:val="20"/>
    </w:rPr>
  </w:style>
  <w:style w:type="paragraph" w:styleId="12843" w:customStyle="1">
    <w:name w:val="xl63616"/>
    <w:basedOn w:val="10533"/>
    <w:uiPriority w:val="99"/>
    <w:qFormat/>
    <w:pPr>
      <w:pBdr/>
      <w:spacing w:afterAutospacing="1" w:beforeAutospacing="1"/>
      <w:ind/>
      <w:jc w:val="center"/>
    </w:pPr>
    <w:rPr>
      <w:color w:val="000000"/>
      <w:sz w:val="20"/>
      <w:szCs w:val="20"/>
    </w:rPr>
  </w:style>
  <w:style w:type="paragraph" w:styleId="12846" w:customStyle="1">
    <w:name w:val="s_1"/>
    <w:basedOn w:val="10533"/>
    <w:qFormat/>
    <w:pPr>
      <w:pBdr/>
      <w:spacing w:afterAutospacing="1" w:beforeAutospacing="1"/>
      <w:ind/>
    </w:pPr>
  </w:style>
  <w:style w:type="paragraph" w:styleId="12847" w:customStyle="1">
    <w:name w:val="Text body indent"/>
    <w:basedOn w:val="11465"/>
    <w:uiPriority w:val="99"/>
    <w:qFormat/>
    <w:pPr>
      <w:pBdr/>
      <w:tabs>
        <w:tab w:val="clear" w:leader="none" w:pos="708"/>
        <w:tab w:val="left" w:leader="none" w:pos="7514"/>
      </w:tabs>
      <w:spacing w:after="0" w:before="0" w:line="240" w:lineRule="auto"/>
      <w:ind w:hanging="426" w:left="284"/>
    </w:pPr>
    <w:rPr>
      <w:rFonts w:ascii="Times New Roman" w:hAnsi="Times New Roman"/>
      <w:lang w:val="en-US" w:eastAsia="en-US" w:bidi="en-US"/>
    </w:rPr>
  </w:style>
  <w:style w:type="paragraph" w:styleId="12848" w:customStyle="1">
    <w:name w:val="1111"/>
    <w:basedOn w:val="10533"/>
    <w:next w:val="10533"/>
    <w:uiPriority w:val="99"/>
    <w:qFormat/>
    <w:pPr>
      <w:keepNext w:val="true"/>
      <w:keepLines w:val="true"/>
      <w:pBdr/>
      <w:spacing w:after="0" w:before="240"/>
      <w:ind/>
      <w:outlineLvl w:val="0"/>
    </w:pPr>
    <w:rPr>
      <w:rFonts w:ascii="Cambria" w:hAnsi="Cambria"/>
      <w:color w:val="365f91"/>
      <w:sz w:val="32"/>
      <w:szCs w:val="32"/>
      <w:lang w:eastAsia="en-US"/>
    </w:rPr>
  </w:style>
  <w:style w:type="paragraph" w:styleId="12849" w:customStyle="1">
    <w:name w:val="h211"/>
    <w:basedOn w:val="10533"/>
    <w:next w:val="10533"/>
    <w:uiPriority w:val="9"/>
    <w:unhideWhenUsed/>
    <w:qFormat/>
    <w:pPr>
      <w:keepNext w:val="true"/>
      <w:keepLines w:val="true"/>
      <w:pBdr/>
      <w:spacing w:after="0" w:before="40"/>
      <w:ind/>
      <w:outlineLvl w:val="1"/>
    </w:pPr>
    <w:rPr>
      <w:rFonts w:ascii="Cambria" w:hAnsi="Cambria"/>
      <w:color w:val="365f91"/>
      <w:sz w:val="26"/>
      <w:szCs w:val="26"/>
      <w:lang w:eastAsia="en-US"/>
    </w:rPr>
  </w:style>
  <w:style w:type="paragraph" w:styleId="12850" w:customStyle="1">
    <w:name w:val="влево1"/>
    <w:basedOn w:val="10533"/>
    <w:next w:val="10533"/>
    <w:uiPriority w:val="99"/>
    <w:unhideWhenUsed/>
    <w:qFormat/>
    <w:pPr>
      <w:keepNext w:val="true"/>
      <w:keepLines w:val="true"/>
      <w:pBdr/>
      <w:spacing w:after="0" w:before="40"/>
      <w:ind/>
      <w:outlineLvl w:val="2"/>
    </w:pPr>
    <w:rPr>
      <w:rFonts w:ascii="Cambria" w:hAnsi="Cambria"/>
      <w:color w:val="243f60"/>
      <w:lang w:eastAsia="en-US"/>
    </w:rPr>
  </w:style>
  <w:style w:type="paragraph" w:styleId="12852" w:customStyle="1">
    <w:name w:val="font19"/>
    <w:basedOn w:val="10533"/>
    <w:uiPriority w:val="99"/>
    <w:qFormat/>
    <w:pPr>
      <w:pBdr/>
      <w:spacing w:afterAutospacing="1" w:beforeAutospacing="1"/>
      <w:ind/>
    </w:pPr>
    <w:rPr>
      <w:b/>
      <w:bCs/>
      <w:i/>
      <w:iCs/>
      <w:color w:val="000000"/>
      <w:sz w:val="20"/>
      <w:szCs w:val="20"/>
    </w:rPr>
  </w:style>
  <w:style w:type="paragraph" w:styleId="12853" w:customStyle="1">
    <w:name w:val="font20"/>
    <w:basedOn w:val="10533"/>
    <w:uiPriority w:val="99"/>
    <w:qFormat/>
    <w:pPr>
      <w:pBdr/>
      <w:spacing w:afterAutospacing="1" w:beforeAutospacing="1"/>
      <w:ind/>
    </w:pPr>
    <w:rPr>
      <w:b/>
      <w:bCs/>
      <w:i/>
      <w:iCs/>
      <w:color w:val="000000"/>
      <w:sz w:val="20"/>
      <w:szCs w:val="20"/>
    </w:rPr>
  </w:style>
  <w:style w:type="paragraph" w:styleId="12854" w:customStyle="1">
    <w:name w:val="xl6380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55" w:customStyle="1">
    <w:name w:val="xl6380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56" w:customStyle="1">
    <w:name w:val="xl63810"/>
    <w:basedOn w:val="10533"/>
    <w:qFormat/>
    <w:pPr>
      <w:pBdr>
        <w:top w:val="single" w:color="000000" w:sz="4" w:space="0"/>
        <w:left w:val="single" w:color="000000" w:sz="4" w:space="0"/>
        <w:bottom w:val="single" w:color="000000" w:sz="4" w:space="0"/>
      </w:pBdr>
      <w:spacing w:afterAutospacing="1" w:beforeAutospacing="1"/>
      <w:ind/>
      <w:jc w:val="center"/>
    </w:pPr>
    <w:rPr>
      <w:color w:val="000000"/>
      <w:sz w:val="20"/>
      <w:szCs w:val="20"/>
    </w:rPr>
  </w:style>
  <w:style w:type="paragraph" w:styleId="12857" w:customStyle="1">
    <w:name w:val="xl6381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58" w:customStyle="1">
    <w:name w:val="xl63813"/>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59" w:customStyle="1">
    <w:name w:val="xl63814"/>
    <w:basedOn w:val="10533"/>
    <w:qFormat/>
    <w:pPr>
      <w:pBdr/>
      <w:spacing w:afterAutospacing="1" w:beforeAutospacing="1"/>
      <w:ind/>
    </w:pPr>
  </w:style>
  <w:style w:type="paragraph" w:styleId="12860" w:customStyle="1">
    <w:name w:val="xl63815"/>
    <w:basedOn w:val="10533"/>
    <w:qFormat/>
    <w:pPr>
      <w:pBdr/>
      <w:spacing w:afterAutospacing="1" w:beforeAutospacing="1"/>
      <w:ind/>
    </w:pPr>
  </w:style>
  <w:style w:type="paragraph" w:styleId="12861" w:customStyle="1">
    <w:name w:val="xl63816"/>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62" w:customStyle="1">
    <w:name w:val="xl63817"/>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63" w:customStyle="1">
    <w:name w:val="xl6381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64" w:customStyle="1">
    <w:name w:val="xl63819"/>
    <w:basedOn w:val="10533"/>
    <w:qFormat/>
    <w:pPr>
      <w:pBdr>
        <w:top w:val="single" w:color="000000" w:sz="4" w:space="0"/>
        <w:left w:val="single" w:color="000000" w:sz="4" w:space="0"/>
        <w:bottom w:val="single" w:color="000000" w:sz="4" w:space="0"/>
      </w:pBdr>
      <w:spacing w:afterAutospacing="1" w:beforeAutospacing="1"/>
      <w:ind/>
      <w:jc w:val="center"/>
    </w:pPr>
    <w:rPr>
      <w:b/>
      <w:bCs/>
      <w:sz w:val="20"/>
      <w:szCs w:val="20"/>
    </w:rPr>
  </w:style>
  <w:style w:type="paragraph" w:styleId="12865" w:customStyle="1">
    <w:name w:val="xl63820"/>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66" w:customStyle="1">
    <w:name w:val="xl6382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67" w:customStyle="1">
    <w:name w:val="xl63822"/>
    <w:basedOn w:val="10533"/>
    <w:qFormat/>
    <w:pPr>
      <w:pBdr>
        <w:top w:val="single" w:color="000000" w:sz="4" w:space="0"/>
        <w:left w:val="single" w:color="000000" w:sz="4" w:space="0"/>
        <w:bottom w:val="single" w:color="000000" w:sz="4" w:space="0"/>
        <w:right w:val="single" w:color="000000" w:sz="4" w:space="0"/>
      </w:pBdr>
      <w:shd w:val="clear" w:color="000000" w:fill="f2dcdb"/>
      <w:spacing w:afterAutospacing="1" w:beforeAutospacing="1"/>
      <w:ind/>
      <w:jc w:val="center"/>
    </w:pPr>
    <w:rPr>
      <w:color w:val="000000"/>
      <w:sz w:val="20"/>
      <w:szCs w:val="20"/>
    </w:rPr>
  </w:style>
  <w:style w:type="paragraph" w:styleId="12868" w:customStyle="1">
    <w:name w:val="xl63823"/>
    <w:basedOn w:val="10533"/>
    <w:qFormat/>
    <w:pPr>
      <w:pBdr>
        <w:top w:val="single" w:color="000000" w:sz="4" w:space="0"/>
        <w:left w:val="single" w:color="000000" w:sz="4" w:space="0"/>
        <w:bottom w:val="single" w:color="000000" w:sz="4" w:space="0"/>
        <w:right w:val="single" w:color="000000" w:sz="4" w:space="0"/>
      </w:pBdr>
      <w:shd w:val="clear" w:color="000000" w:fill="92d050"/>
      <w:spacing w:afterAutospacing="1" w:beforeAutospacing="1"/>
      <w:ind/>
      <w:jc w:val="center"/>
    </w:pPr>
    <w:rPr>
      <w:color w:val="000000"/>
      <w:sz w:val="20"/>
      <w:szCs w:val="20"/>
    </w:rPr>
  </w:style>
  <w:style w:type="paragraph" w:styleId="12869" w:customStyle="1">
    <w:name w:val="xl63824"/>
    <w:basedOn w:val="10533"/>
    <w:qFormat/>
    <w:pPr>
      <w:pBdr>
        <w:top w:val="single" w:color="000000" w:sz="4" w:space="0"/>
        <w:left w:val="single" w:color="000000" w:sz="4" w:space="0"/>
        <w:bottom w:val="single" w:color="000000" w:sz="4" w:space="0"/>
      </w:pBdr>
      <w:shd w:val="clear" w:color="000000" w:fill="d8e4bc"/>
      <w:spacing w:afterAutospacing="1" w:beforeAutospacing="1"/>
      <w:ind/>
      <w:jc w:val="center"/>
    </w:pPr>
    <w:rPr>
      <w:color w:val="000000"/>
      <w:sz w:val="20"/>
      <w:szCs w:val="20"/>
    </w:rPr>
  </w:style>
  <w:style w:type="paragraph" w:styleId="12870" w:customStyle="1">
    <w:name w:val="xl63806"/>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71" w:customStyle="1">
    <w:name w:val="xl63807"/>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72" w:customStyle="1">
    <w:name w:val="xl6381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2873" w:customStyle="1">
    <w:name w:val="xl63825"/>
    <w:basedOn w:val="10533"/>
    <w:qFormat/>
    <w:pPr>
      <w:pBdr>
        <w:top w:val="single" w:color="000000" w:sz="4" w:space="0"/>
        <w:left w:val="single" w:color="000000" w:sz="4" w:space="0"/>
        <w:bottom w:val="single" w:color="000000" w:sz="4" w:space="0"/>
      </w:pBdr>
      <w:spacing w:afterAutospacing="1" w:beforeAutospacing="1"/>
      <w:ind/>
      <w:jc w:val="center"/>
    </w:pPr>
    <w:rPr>
      <w:b/>
      <w:bCs/>
      <w:sz w:val="20"/>
      <w:szCs w:val="20"/>
    </w:rPr>
  </w:style>
  <w:style w:type="paragraph" w:styleId="12874" w:customStyle="1">
    <w:name w:val="xl63826"/>
    <w:basedOn w:val="10533"/>
    <w:qFormat/>
    <w:pPr>
      <w:pBdr>
        <w:top w:val="single" w:color="000000" w:sz="4" w:space="0"/>
        <w:bottom w:val="single" w:color="000000" w:sz="4" w:space="0"/>
      </w:pBdr>
      <w:spacing w:afterAutospacing="1" w:beforeAutospacing="1"/>
      <w:ind/>
      <w:jc w:val="center"/>
    </w:pPr>
    <w:rPr>
      <w:b/>
      <w:bCs/>
      <w:sz w:val="20"/>
      <w:szCs w:val="20"/>
    </w:rPr>
  </w:style>
  <w:style w:type="paragraph" w:styleId="12875" w:customStyle="1">
    <w:name w:val="xl63827"/>
    <w:basedOn w:val="10533"/>
    <w:qFormat/>
    <w:pPr>
      <w:pBdr>
        <w:top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76" w:customStyle="1">
    <w:name w:val="xl63828"/>
    <w:basedOn w:val="10533"/>
    <w:qFormat/>
    <w:pPr>
      <w:pBdr>
        <w:top w:val="single" w:color="000000" w:sz="4" w:space="0"/>
        <w:left w:val="single" w:color="000000" w:sz="4" w:space="0"/>
        <w:bottom w:val="single" w:color="000000" w:sz="4" w:space="0"/>
      </w:pBdr>
      <w:spacing w:afterAutospacing="1" w:beforeAutospacing="1"/>
      <w:ind/>
      <w:jc w:val="center"/>
    </w:pPr>
    <w:rPr>
      <w:b/>
      <w:bCs/>
      <w:color w:val="a6a6a6"/>
      <w:sz w:val="20"/>
      <w:szCs w:val="20"/>
    </w:rPr>
  </w:style>
  <w:style w:type="paragraph" w:styleId="12877" w:customStyle="1">
    <w:name w:val="xl6382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sz w:val="20"/>
      <w:szCs w:val="20"/>
    </w:rPr>
  </w:style>
  <w:style w:type="paragraph" w:styleId="12878" w:customStyle="1">
    <w:name w:val="xl63830"/>
    <w:basedOn w:val="10533"/>
    <w:qFormat/>
    <w:pPr>
      <w:pBdr>
        <w:top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2879" w:customStyle="1">
    <w:name w:val="xl63831"/>
    <w:basedOn w:val="10533"/>
    <w:qFormat/>
    <w:pPr>
      <w:pBdr>
        <w:top w:val="single" w:color="000000" w:sz="4" w:space="0"/>
        <w:bottom w:val="single" w:color="000000" w:sz="4" w:space="0"/>
      </w:pBdr>
      <w:spacing w:afterAutospacing="1" w:beforeAutospacing="1"/>
      <w:ind/>
      <w:jc w:val="center"/>
    </w:pPr>
    <w:rPr>
      <w:b/>
      <w:bCs/>
      <w:color w:val="a6a6a6"/>
      <w:sz w:val="20"/>
      <w:szCs w:val="20"/>
    </w:rPr>
  </w:style>
  <w:style w:type="paragraph" w:styleId="12881" w:customStyle="1">
    <w:name w:val="Нижний колонтитул1"/>
    <w:basedOn w:val="10533"/>
    <w:next w:val="11066"/>
    <w:uiPriority w:val="99"/>
    <w:unhideWhenUsed/>
    <w:qFormat/>
    <w:pPr>
      <w:widowControl w:val="false"/>
      <w:pBdr/>
      <w:tabs>
        <w:tab w:val="clear" w:leader="none" w:pos="708"/>
        <w:tab w:val="center" w:leader="none" w:pos="4677"/>
        <w:tab w:val="right" w:leader="none" w:pos="9355"/>
      </w:tabs>
      <w:spacing/>
      <w:ind/>
    </w:pPr>
    <w:rPr>
      <w:rFonts w:eastAsia="Calibri"/>
      <w:lang w:eastAsia="en-US"/>
    </w:rPr>
  </w:style>
  <w:style w:type="paragraph" w:styleId="12882" w:customStyle="1">
    <w:name w:val="Текст выноски1"/>
    <w:basedOn w:val="10533"/>
    <w:next w:val="11059"/>
    <w:uiPriority w:val="99"/>
    <w:semiHidden/>
    <w:unhideWhenUsed/>
    <w:qFormat/>
    <w:pPr>
      <w:widowControl w:val="false"/>
      <w:pBdr/>
      <w:spacing/>
      <w:ind/>
    </w:pPr>
    <w:rPr>
      <w:rFonts w:ascii="Tahoma" w:hAnsi="Tahoma" w:eastAsia="Calibri" w:cs="Tahoma"/>
      <w:sz w:val="16"/>
      <w:szCs w:val="16"/>
      <w:lang w:eastAsia="en-US"/>
    </w:rPr>
  </w:style>
  <w:style w:type="paragraph" w:styleId="12883" w:customStyle="1">
    <w:name w:val="Оглавление 32"/>
    <w:basedOn w:val="10533"/>
    <w:next w:val="10533"/>
    <w:uiPriority w:val="39"/>
    <w:unhideWhenUsed/>
    <w:qFormat/>
    <w:pPr>
      <w:widowControl w:val="false"/>
      <w:pBdr/>
      <w:spacing/>
      <w:ind w:left="480"/>
    </w:pPr>
  </w:style>
  <w:style w:type="paragraph" w:styleId="12887" w:customStyle="1">
    <w:name w:val="Заголовок оглавления4"/>
    <w:basedOn w:val="10534"/>
    <w:next w:val="10533"/>
    <w:uiPriority w:val="39"/>
    <w:semiHidden/>
    <w:unhideWhenUsed/>
    <w:qFormat/>
    <w:pPr>
      <w:keepNext w:val="true"/>
      <w:keepLines w:val="true"/>
      <w:numPr>
        <w:ilvl w:val="0"/>
        <w:numId w:val="0"/>
      </w:numPr>
      <w:pBdr/>
      <w:spacing w:after="0" w:before="480" w:line="276" w:lineRule="auto"/>
      <w:ind w:hanging="680" w:left="680"/>
      <w:contextualSpacing w:val="false"/>
      <w:jc w:val="left"/>
      <w:outlineLvl w:val="9"/>
    </w:pPr>
    <w:rPr>
      <w:rFonts w:ascii="Cambria" w:hAnsi="Cambria"/>
      <w:bCs/>
      <w:caps w:val="0"/>
      <w:smallCaps w:val="0"/>
      <w:color w:val="365f91"/>
      <w:spacing w:val="0"/>
      <w:szCs w:val="28"/>
      <w:lang w:eastAsia="ru-RU" w:bidi="ar-SA"/>
    </w:rPr>
  </w:style>
  <w:style w:type="paragraph" w:styleId="12890" w:customStyle="1">
    <w:name w:val="Заголовок оглавления5"/>
    <w:basedOn w:val="10534"/>
    <w:next w:val="10533"/>
    <w:uiPriority w:val="39"/>
    <w:semiHidden/>
    <w:unhideWhenUsed/>
    <w:qFormat/>
    <w:pPr>
      <w:keepNext w:val="true"/>
      <w:keepLines w:val="true"/>
      <w:numPr>
        <w:ilvl w:val="0"/>
        <w:numId w:val="0"/>
      </w:numPr>
      <w:pBdr/>
      <w:spacing w:after="0" w:before="480" w:line="276" w:lineRule="auto"/>
      <w:ind w:hanging="680" w:left="680"/>
      <w:contextualSpacing w:val="false"/>
      <w:jc w:val="left"/>
      <w:outlineLvl w:val="9"/>
    </w:pPr>
    <w:rPr>
      <w:rFonts w:ascii="Cambria" w:hAnsi="Cambria"/>
      <w:bCs/>
      <w:caps w:val="0"/>
      <w:smallCaps w:val="0"/>
      <w:color w:val="365f91"/>
      <w:spacing w:val="0"/>
      <w:szCs w:val="28"/>
      <w:lang w:eastAsia="ru-RU" w:bidi="ar-SA"/>
    </w:rPr>
  </w:style>
  <w:style w:type="paragraph" w:styleId="12892" w:customStyle="1">
    <w:name w:val="Оглавление 15"/>
    <w:basedOn w:val="10533"/>
    <w:next w:val="10533"/>
    <w:uiPriority w:val="39"/>
    <w:unhideWhenUsed/>
    <w:qFormat/>
    <w:pPr>
      <w:widowControl w:val="false"/>
      <w:pBdr/>
      <w:tabs>
        <w:tab w:val="clear" w:leader="none" w:pos="708"/>
        <w:tab w:val="right" w:leader="dot" w:pos="9560"/>
      </w:tabs>
      <w:spacing/>
      <w:ind/>
      <w:jc w:val="both"/>
    </w:pPr>
  </w:style>
  <w:style w:type="paragraph" w:styleId="12896" w:customStyle="1">
    <w:name w:val="Заголовок оглавления7"/>
    <w:basedOn w:val="10534"/>
    <w:next w:val="10533"/>
    <w:uiPriority w:val="39"/>
    <w:semiHidden/>
    <w:unhideWhenUsed/>
    <w:qFormat/>
    <w:pPr>
      <w:keepNext w:val="true"/>
      <w:keepLines w:val="true"/>
      <w:numPr>
        <w:ilvl w:val="0"/>
        <w:numId w:val="0"/>
      </w:numPr>
      <w:pBdr/>
      <w:spacing w:after="0" w:before="480" w:line="276" w:lineRule="auto"/>
      <w:ind w:hanging="680" w:left="680"/>
      <w:contextualSpacing w:val="false"/>
      <w:jc w:val="left"/>
      <w:outlineLvl w:val="9"/>
    </w:pPr>
    <w:rPr>
      <w:rFonts w:ascii="Cambria" w:hAnsi="Cambria"/>
      <w:bCs/>
      <w:caps w:val="0"/>
      <w:smallCaps w:val="0"/>
      <w:color w:val="365f91"/>
      <w:spacing w:val="0"/>
      <w:szCs w:val="28"/>
      <w:lang w:eastAsia="ru-RU" w:bidi="ar-SA"/>
    </w:rPr>
  </w:style>
  <w:style w:type="paragraph" w:styleId="12897" w:customStyle="1">
    <w:name w:val="Оглавление 37"/>
    <w:basedOn w:val="10533"/>
    <w:next w:val="10533"/>
    <w:uiPriority w:val="39"/>
    <w:unhideWhenUsed/>
    <w:qFormat/>
    <w:pPr>
      <w:widowControl w:val="false"/>
      <w:pBdr/>
      <w:spacing/>
      <w:ind w:left="480"/>
    </w:pPr>
  </w:style>
  <w:style w:type="paragraph" w:styleId="12899" w:customStyle="1">
    <w:name w:val="xl63832"/>
    <w:basedOn w:val="10533"/>
    <w:qFormat/>
    <w:pPr>
      <w:pBdr/>
      <w:shd w:val="clear" w:color="000000" w:fill="ffffff"/>
      <w:spacing w:afterAutospacing="1" w:beforeAutospacing="1"/>
      <w:ind/>
      <w:jc w:val="center"/>
    </w:pPr>
    <w:rPr>
      <w:sz w:val="20"/>
      <w:szCs w:val="20"/>
    </w:rPr>
  </w:style>
  <w:style w:type="paragraph" w:styleId="12900" w:customStyle="1">
    <w:name w:val="перечень таблиц"/>
    <w:basedOn w:val="11057"/>
    <w:uiPriority w:val="99"/>
    <w:qFormat/>
    <w:pPr>
      <w:keepNext w:val="true"/>
      <w:pBdr/>
      <w:spacing/>
      <w:ind w:firstLine="426"/>
    </w:pPr>
    <w:rPr>
      <w:rFonts w:ascii="Times New Roman" w:hAnsi="Times New Roman"/>
      <w:b w:val="0"/>
      <w:i/>
      <w:color w:val="auto"/>
      <w:sz w:val="20"/>
    </w:rPr>
  </w:style>
  <w:style w:type="paragraph" w:styleId="12902" w:customStyle="1">
    <w:name w:val="Подпись рисунков/таблиц1"/>
    <w:basedOn w:val="11102"/>
    <w:next w:val="12900"/>
    <w:uiPriority w:val="99"/>
    <w:qFormat/>
    <w:pPr>
      <w:pBdr/>
      <w:tabs>
        <w:tab w:val="clear" w:leader="none" w:pos="708"/>
        <w:tab w:val="right" w:leader="dot" w:pos="9628"/>
      </w:tabs>
      <w:spacing/>
      <w:ind/>
      <w:jc w:val="both"/>
    </w:pPr>
    <w:rPr>
      <w:bCs/>
    </w:rPr>
  </w:style>
  <w:style w:type="paragraph" w:styleId="12903" w:customStyle="1">
    <w:name w:val="xl46768"/>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center"/>
    </w:pPr>
    <w:rPr>
      <w:rFonts w:ascii="Arial" w:hAnsi="Arial" w:cs="Arial"/>
      <w:lang w:val="en-US" w:bidi="en-US"/>
    </w:rPr>
  </w:style>
  <w:style w:type="paragraph" w:styleId="12904" w:customStyle="1">
    <w:name w:val="xl46769"/>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center"/>
    </w:pPr>
    <w:rPr>
      <w:rFonts w:ascii="Arial" w:hAnsi="Arial" w:cs="Arial"/>
      <w:lang w:val="en-US" w:bidi="en-US"/>
    </w:rPr>
  </w:style>
  <w:style w:type="paragraph" w:styleId="12905" w:customStyle="1">
    <w:name w:val="xl46770"/>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i/>
      <w:iCs/>
      <w:lang w:val="en-US" w:bidi="en-US"/>
    </w:rPr>
  </w:style>
  <w:style w:type="paragraph" w:styleId="12906" w:customStyle="1">
    <w:name w:val="xl46771"/>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i/>
      <w:iCs/>
      <w:lang w:val="en-US" w:bidi="en-US"/>
    </w:rPr>
  </w:style>
  <w:style w:type="paragraph" w:styleId="12907" w:customStyle="1">
    <w:name w:val="xl46772"/>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i/>
      <w:iCs/>
      <w:lang w:val="en-US" w:bidi="en-US"/>
    </w:rPr>
  </w:style>
  <w:style w:type="paragraph" w:styleId="12908" w:customStyle="1">
    <w:name w:val="xl46773"/>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right"/>
    </w:pPr>
    <w:rPr>
      <w:lang w:val="en-US" w:bidi="en-US"/>
    </w:rPr>
  </w:style>
  <w:style w:type="paragraph" w:styleId="12909" w:customStyle="1">
    <w:name w:val="xl46774"/>
    <w:basedOn w:val="10533"/>
    <w:qFormat/>
    <w:pPr>
      <w:pBdr>
        <w:bottom w:val="single" w:color="000000" w:sz="8" w:space="0"/>
        <w:right w:val="single" w:color="000000" w:sz="8" w:space="0"/>
      </w:pBdr>
      <w:shd w:val="clear" w:color="000000" w:fill="eaf1dd"/>
      <w:spacing w:afterAutospacing="1" w:beforeAutospacing="1" w:line="360" w:lineRule="auto"/>
      <w:ind w:firstLine="680"/>
      <w:jc w:val="both"/>
    </w:pPr>
    <w:rPr>
      <w:i/>
      <w:iCs/>
      <w:color w:val="000000"/>
      <w:lang w:val="en-US" w:bidi="en-US"/>
    </w:rPr>
  </w:style>
  <w:style w:type="paragraph" w:styleId="12910" w:customStyle="1">
    <w:name w:val="xl46775"/>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lang w:val="en-US" w:bidi="en-US"/>
    </w:rPr>
  </w:style>
  <w:style w:type="paragraph" w:styleId="12911" w:customStyle="1">
    <w:name w:val="xl46776"/>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center"/>
    </w:pPr>
    <w:rPr>
      <w:lang w:val="en-US" w:bidi="en-US"/>
    </w:rPr>
  </w:style>
  <w:style w:type="paragraph" w:styleId="12912" w:customStyle="1">
    <w:name w:val="xl46777"/>
    <w:basedOn w:val="10533"/>
    <w:qFormat/>
    <w:pPr>
      <w:pBdr>
        <w:bottom w:val="single" w:color="000000" w:sz="8" w:space="0"/>
        <w:right w:val="single" w:color="000000" w:sz="8" w:space="0"/>
      </w:pBdr>
      <w:shd w:val="clear" w:color="000000" w:fill="eaf1dd"/>
      <w:spacing w:afterAutospacing="1" w:beforeAutospacing="1" w:line="360" w:lineRule="auto"/>
      <w:ind w:firstLine="680"/>
      <w:jc w:val="both"/>
    </w:pPr>
    <w:rPr>
      <w:color w:val="000000"/>
      <w:lang w:val="en-US" w:bidi="en-US"/>
    </w:rPr>
  </w:style>
  <w:style w:type="paragraph" w:styleId="12913" w:customStyle="1">
    <w:name w:val="xl46778"/>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color w:val="000000"/>
      <w:lang w:val="en-US" w:bidi="en-US"/>
    </w:rPr>
  </w:style>
  <w:style w:type="paragraph" w:styleId="12914" w:customStyle="1">
    <w:name w:val="xl46779"/>
    <w:basedOn w:val="10533"/>
    <w:qFormat/>
    <w:pPr>
      <w:pBdr>
        <w:top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lang w:val="en-US" w:bidi="en-US"/>
    </w:rPr>
  </w:style>
  <w:style w:type="paragraph" w:styleId="12915" w:customStyle="1">
    <w:name w:val="xl46780"/>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center"/>
    </w:pPr>
    <w:rPr>
      <w:lang w:val="en-US" w:bidi="en-US"/>
    </w:rPr>
  </w:style>
  <w:style w:type="paragraph" w:styleId="12916" w:customStyle="1">
    <w:name w:val="xl46781"/>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lang w:val="en-US" w:bidi="en-US"/>
    </w:rPr>
  </w:style>
  <w:style w:type="paragraph" w:styleId="12917" w:customStyle="1">
    <w:name w:val="xl46782"/>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lang w:val="en-US" w:bidi="en-US"/>
    </w:rPr>
  </w:style>
  <w:style w:type="paragraph" w:styleId="12918" w:customStyle="1">
    <w:name w:val="xl46783"/>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center"/>
    </w:pPr>
    <w:rPr>
      <w:i/>
      <w:iCs/>
      <w:lang w:val="en-US" w:bidi="en-US"/>
    </w:rPr>
  </w:style>
  <w:style w:type="paragraph" w:styleId="12919" w:customStyle="1">
    <w:name w:val="xl46784"/>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i/>
      <w:iCs/>
      <w:lang w:val="en-US" w:bidi="en-US"/>
    </w:rPr>
  </w:style>
  <w:style w:type="paragraph" w:styleId="12920" w:customStyle="1">
    <w:name w:val="xl46785"/>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center"/>
    </w:pPr>
    <w:rPr>
      <w:b/>
      <w:bCs/>
      <w:lang w:val="en-US" w:bidi="en-US"/>
    </w:rPr>
  </w:style>
  <w:style w:type="paragraph" w:styleId="12921" w:customStyle="1">
    <w:name w:val="xl46786"/>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b/>
      <w:bCs/>
      <w:lang w:val="en-US" w:bidi="en-US"/>
    </w:rPr>
  </w:style>
  <w:style w:type="paragraph" w:styleId="12922" w:customStyle="1">
    <w:name w:val="xl46787"/>
    <w:basedOn w:val="10533"/>
    <w:qFormat/>
    <w:pPr>
      <w:pBdr>
        <w:top w:val="single" w:color="000000" w:sz="4" w:space="0"/>
        <w:left w:val="single" w:color="000000" w:sz="4" w:space="0"/>
        <w:bottom w:val="single" w:color="000000" w:sz="4" w:space="0"/>
        <w:right w:val="single" w:color="000000" w:sz="4" w:space="0"/>
      </w:pBdr>
      <w:shd w:val="clear" w:color="000000" w:fill="eaf1dd"/>
      <w:spacing w:afterAutospacing="1" w:beforeAutospacing="1" w:line="360" w:lineRule="auto"/>
      <w:ind w:firstLine="680"/>
      <w:jc w:val="both"/>
    </w:pPr>
    <w:rPr>
      <w:b/>
      <w:bCs/>
      <w:lang w:val="en-US" w:bidi="en-US"/>
    </w:rPr>
  </w:style>
  <w:style w:type="paragraph" w:styleId="12923" w:customStyle="1">
    <w:name w:val="xl46788"/>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firstLine="680"/>
      <w:jc w:val="both"/>
    </w:pPr>
    <w:rPr>
      <w:lang w:val="en-US" w:bidi="en-US"/>
    </w:rPr>
  </w:style>
  <w:style w:type="paragraph" w:styleId="12924" w:customStyle="1">
    <w:name w:val="xl51716"/>
    <w:basedOn w:val="10533"/>
    <w:qFormat/>
    <w:pPr>
      <w:pBdr>
        <w:top w:val="single" w:color="000000" w:sz="4" w:space="0"/>
        <w:left w:val="single" w:color="000000" w:sz="4" w:space="0"/>
        <w:bottom w:val="single" w:color="000000" w:sz="4" w:space="0"/>
        <w:right w:val="single" w:color="000000" w:sz="4" w:space="0"/>
      </w:pBdr>
      <w:shd w:val="clear" w:color="000000" w:fill="c5d9f1"/>
      <w:spacing w:afterAutospacing="1" w:beforeAutospacing="1" w:line="360" w:lineRule="auto"/>
      <w:ind w:firstLine="680"/>
      <w:jc w:val="both"/>
    </w:pPr>
    <w:rPr>
      <w:b/>
      <w:bCs/>
      <w:lang w:val="en-US" w:bidi="en-US"/>
    </w:rPr>
  </w:style>
  <w:style w:type="paragraph" w:styleId="12925" w:customStyle="1">
    <w:name w:val="xl51717"/>
    <w:basedOn w:val="10533"/>
    <w:qFormat/>
    <w:pPr>
      <w:pBdr>
        <w:top w:val="single" w:color="000000" w:sz="4" w:space="0"/>
        <w:left w:val="single" w:color="000000" w:sz="4" w:space="0"/>
        <w:bottom w:val="single" w:color="000000" w:sz="4" w:space="0"/>
        <w:right w:val="single" w:color="000000" w:sz="4" w:space="0"/>
      </w:pBdr>
      <w:spacing w:afterAutospacing="1" w:beforeAutospacing="1" w:line="360" w:lineRule="auto"/>
      <w:ind w:firstLine="680"/>
      <w:jc w:val="both"/>
    </w:pPr>
    <w:rPr>
      <w:lang w:val="en-US" w:bidi="en-US"/>
    </w:rPr>
  </w:style>
  <w:style w:type="paragraph" w:styleId="12927" w:customStyle="1">
    <w:name w:val="02_Глава 1."/>
    <w:next w:val="12928"/>
    <w:link w:val="11006"/>
    <w:qFormat/>
    <w:pPr>
      <w:keepNext w:val="true"/>
      <w:keepLines w:val="true"/>
      <w:pageBreakBefore w:val="true"/>
      <w:widowControl w:val="true"/>
      <w:numPr>
        <w:ilvl w:val="1"/>
        <w:numId w:val="45"/>
      </w:numPr>
      <w:pBdr/>
      <w:bidi w:val="false"/>
      <w:spacing w:after="0" w:before="0" w:line="240" w:lineRule="auto"/>
      <w:ind/>
      <w:jc w:val="both"/>
      <w:outlineLvl w:val="0"/>
    </w:pPr>
    <w:rPr>
      <w:rFonts w:ascii="Times New Roman" w:hAnsi="Times New Roman" w:eastAsia="Times New Roman" w:cs="Times New Roman"/>
      <w:b/>
      <w:iCs/>
      <w:caps/>
      <w:color w:val="auto"/>
      <w:sz w:val="26"/>
      <w:szCs w:val="26"/>
      <w:lang w:val="ru-RU" w:eastAsia="en-US" w:bidi="ar-SA"/>
    </w:rPr>
  </w:style>
  <w:style w:type="paragraph" w:styleId="12928" w:customStyle="1">
    <w:name w:val="03_Глава 1.1."/>
    <w:next w:val="10533"/>
    <w:link w:val="11038"/>
    <w:qFormat/>
    <w:pPr>
      <w:keepNext w:val="true"/>
      <w:keepLines w:val="true"/>
      <w:widowControl w:val="true"/>
      <w:numPr>
        <w:ilvl w:val="2"/>
        <w:numId w:val="45"/>
      </w:numPr>
      <w:pBdr/>
      <w:bidi w:val="false"/>
      <w:spacing w:after="120" w:before="120" w:line="240" w:lineRule="auto"/>
      <w:ind/>
      <w:jc w:val="both"/>
      <w:outlineLvl w:val="1"/>
    </w:pPr>
    <w:rPr>
      <w:rFonts w:ascii="Times New Roman" w:hAnsi="Times New Roman" w:eastAsia="Times New Roman" w:cs="Times New Roman"/>
      <w:b/>
      <w:color w:val="auto"/>
      <w:sz w:val="26"/>
      <w:szCs w:val="24"/>
      <w:lang w:val="ru-RU" w:eastAsia="en-US" w:bidi="ar-SA"/>
    </w:rPr>
  </w:style>
  <w:style w:type="paragraph" w:styleId="12929" w:customStyle="1">
    <w:name w:val="04_Глава 1.1.1."/>
    <w:next w:val="10533"/>
    <w:link w:val="10981"/>
    <w:qFormat/>
    <w:pPr>
      <w:keepNext w:val="true"/>
      <w:keepLines w:val="true"/>
      <w:widowControl w:val="true"/>
      <w:numPr>
        <w:ilvl w:val="3"/>
        <w:numId w:val="45"/>
      </w:numPr>
      <w:pBdr/>
      <w:bidi w:val="false"/>
      <w:spacing w:after="120" w:before="120" w:line="240" w:lineRule="auto"/>
      <w:ind/>
      <w:jc w:val="both"/>
      <w:outlineLvl w:val="2"/>
    </w:pPr>
    <w:rPr>
      <w:rFonts w:ascii="Times New Roman" w:hAnsi="Times New Roman" w:eastAsia="Times New Roman" w:cs="Times New Roman"/>
      <w:b/>
      <w:iCs/>
      <w:color w:val="auto"/>
      <w:sz w:val="26"/>
      <w:szCs w:val="22"/>
      <w:lang w:val="ru-RU" w:eastAsia="en-US" w:bidi="ar-SA"/>
    </w:rPr>
  </w:style>
  <w:style w:type="paragraph" w:styleId="12930" w:customStyle="1">
    <w:name w:val="05_Глава 1.1.1.1."/>
    <w:next w:val="10533"/>
    <w:link w:val="11042"/>
    <w:qFormat/>
    <w:pPr>
      <w:keepNext w:val="true"/>
      <w:keepLines w:val="true"/>
      <w:widowControl w:val="true"/>
      <w:numPr>
        <w:ilvl w:val="4"/>
        <w:numId w:val="45"/>
      </w:numPr>
      <w:pBdr/>
      <w:bidi w:val="false"/>
      <w:spacing w:after="120" w:before="0" w:line="240" w:lineRule="auto"/>
      <w:ind/>
      <w:jc w:val="both"/>
    </w:pPr>
    <w:rPr>
      <w:rFonts w:ascii="Times New Roman" w:hAnsi="Times New Roman" w:eastAsia="Times New Roman" w:cs="Times New Roman"/>
      <w:b/>
      <w:i/>
      <w:iCs/>
      <w:color w:val="auto"/>
      <w:spacing w:val="20"/>
      <w:sz w:val="26"/>
      <w:szCs w:val="26"/>
      <w:lang w:val="ru-RU" w:eastAsia="en-US" w:bidi="ar-SA"/>
    </w:rPr>
  </w:style>
  <w:style w:type="paragraph" w:styleId="12931" w:customStyle="1">
    <w:name w:val="1.6 Заг. Подпараграфов"/>
    <w:next w:val="10533"/>
    <w:link w:val="11043"/>
    <w:qFormat/>
    <w:pPr>
      <w:keepNext w:val="true"/>
      <w:keepLines w:val="true"/>
      <w:widowControl w:val="true"/>
      <w:numPr>
        <w:ilvl w:val="5"/>
        <w:numId w:val="45"/>
      </w:numPr>
      <w:pBdr/>
      <w:bidi w:val="false"/>
      <w:spacing w:after="160" w:before="0" w:line="259" w:lineRule="auto"/>
      <w:ind/>
      <w:jc w:val="both"/>
    </w:pPr>
    <w:rPr>
      <w:rFonts w:ascii="Times New Roman" w:hAnsi="Times New Roman" w:eastAsia="Times New Roman" w:cs="Times New Roman"/>
      <w:i/>
      <w:iCs/>
      <w:color w:val="auto"/>
      <w:spacing w:val="20"/>
      <w:sz w:val="28"/>
      <w:szCs w:val="22"/>
      <w:lang w:val="ru-RU" w:eastAsia="en-US" w:bidi="ar-SA"/>
    </w:rPr>
  </w:style>
  <w:style w:type="paragraph" w:styleId="12934" w:customStyle="1">
    <w:name w:val="6.0 Список лит-ры"/>
    <w:link w:val="11044"/>
    <w:qFormat/>
    <w:pPr>
      <w:keepNext w:val="true"/>
      <w:keepLines w:val="true"/>
      <w:widowControl w:val="true"/>
      <w:numPr>
        <w:ilvl w:val="8"/>
        <w:numId w:val="45"/>
      </w:numPr>
      <w:pBdr/>
      <w:bidi w:val="false"/>
      <w:spacing w:after="40" w:before="0" w:line="300" w:lineRule="auto"/>
      <w:ind/>
      <w:jc w:val="both"/>
    </w:pPr>
    <w:rPr>
      <w:rFonts w:ascii="Times New Roman" w:hAnsi="Times New Roman" w:eastAsia="Times New Roman" w:cs="Times New Roman"/>
      <w:color w:val="auto"/>
      <w:sz w:val="28"/>
      <w:szCs w:val="22"/>
      <w:lang w:val="ru-RU" w:eastAsia="en-US" w:bidi="ar-SA"/>
    </w:rPr>
  </w:style>
  <w:style w:type="paragraph" w:styleId="12936" w:customStyle="1">
    <w:name w:val="Номер"/>
    <w:basedOn w:val="10533"/>
    <w:uiPriority w:val="99"/>
    <w:qFormat/>
    <w:pPr>
      <w:pBdr/>
      <w:spacing w:after="60" w:before="60"/>
      <w:ind/>
      <w:jc w:val="center"/>
    </w:pPr>
    <w:rPr>
      <w:sz w:val="28"/>
      <w:szCs w:val="20"/>
    </w:rPr>
  </w:style>
  <w:style w:type="paragraph" w:styleId="12938" w:customStyle="1">
    <w:name w:val="txt1"/>
    <w:basedOn w:val="10533"/>
    <w:qFormat/>
    <w:pPr>
      <w:pBdr/>
      <w:spacing w:after="45" w:before="45"/>
      <w:ind w:right="20" w:firstLine="400" w:left="20"/>
      <w:jc w:val="both"/>
    </w:pPr>
    <w:rPr>
      <w:rFonts w:ascii="Arial" w:hAnsi="Arial" w:cs="Arial"/>
      <w:color w:val="000000"/>
      <w:sz w:val="18"/>
      <w:szCs w:val="18"/>
    </w:rPr>
  </w:style>
  <w:style w:type="paragraph" w:styleId="12939" w:customStyle="1">
    <w:name w:val="Базовый (user)"/>
    <w:qFormat/>
    <w:pPr>
      <w:widowControl w:val="true"/>
      <w:pBdr/>
      <w:tabs>
        <w:tab w:val="left" w:leader="none" w:pos="708"/>
      </w:tabs>
      <w:bidi w:val="false"/>
      <w:spacing w:after="200" w:before="0" w:line="276" w:lineRule="auto"/>
      <w:ind/>
      <w:jc w:val="left"/>
    </w:pPr>
    <w:rPr>
      <w:rFonts w:ascii="Times New Roman" w:hAnsi="Times New Roman" w:eastAsia="Calibri" w:cs="Times New Roman"/>
      <w:color w:val="auto"/>
      <w:sz w:val="24"/>
      <w:szCs w:val="20"/>
      <w:lang w:val="ru-RU" w:eastAsia="ru-RU" w:bidi="ar-SA"/>
    </w:rPr>
  </w:style>
  <w:style w:type="paragraph" w:styleId="12940" w:customStyle="1">
    <w:name w:val="_таблица"/>
    <w:basedOn w:val="10533"/>
    <w:link w:val="10984"/>
    <w:qFormat/>
    <w:pPr>
      <w:keepNext w:val="true"/>
      <w:keepLines w:val="true"/>
      <w:numPr>
        <w:ilvl w:val="0"/>
        <w:numId w:val="46"/>
      </w:numPr>
      <w:pBdr/>
      <w:spacing w:line="360" w:lineRule="auto"/>
      <w:ind/>
      <w:jc w:val="right"/>
    </w:pPr>
    <w:rPr>
      <w:rFonts w:eastAsia="Calibri"/>
      <w:b/>
      <w:sz w:val="26"/>
      <w:szCs w:val="26"/>
      <w:lang w:eastAsia="en-US"/>
    </w:rPr>
  </w:style>
  <w:style w:type="paragraph" w:styleId="12941" w:customStyle="1">
    <w:name w:val="_прилож_"/>
    <w:basedOn w:val="10535"/>
    <w:link w:val="10985"/>
    <w:qFormat/>
    <w:pPr>
      <w:numPr>
        <w:ilvl w:val="1"/>
        <w:numId w:val="9"/>
      </w:numPr>
      <w:pBdr/>
      <w:spacing w:after="60" w:before="240"/>
      <w:ind w:firstLine="709" w:left="2506"/>
    </w:pPr>
    <w:rPr>
      <w:rFonts w:cs="Times New Roman"/>
      <w:bCs/>
      <w:iCs/>
      <w:color w:val="000000"/>
      <w:sz w:val="48"/>
      <w:lang w:bidi="ar-SA"/>
    </w:rPr>
  </w:style>
  <w:style w:type="paragraph" w:styleId="12942" w:customStyle="1">
    <w:name w:val="_рисунок"/>
    <w:basedOn w:val="10533"/>
    <w:link w:val="10986"/>
    <w:qFormat/>
    <w:pPr>
      <w:numPr>
        <w:ilvl w:val="0"/>
        <w:numId w:val="47"/>
      </w:numPr>
      <w:pBdr/>
      <w:spacing/>
      <w:ind/>
      <w:jc w:val="center"/>
    </w:pPr>
    <w:rPr>
      <w:b/>
      <w:lang w:val="en-US" w:eastAsia="en-US" w:bidi="en-US"/>
    </w:rPr>
  </w:style>
  <w:style w:type="paragraph" w:styleId="12943" w:customStyle="1">
    <w:name w:val="_прилож"/>
    <w:basedOn w:val="10536"/>
    <w:link w:val="10987"/>
    <w:qFormat/>
    <w:pPr>
      <w:keepLines w:val="true"/>
      <w:numPr>
        <w:ilvl w:val="0"/>
        <w:numId w:val="48"/>
      </w:numPr>
      <w:pBdr/>
      <w:spacing w:after="0" w:before="200" w:line="240" w:lineRule="auto"/>
      <w:ind/>
      <w:jc w:val="center"/>
    </w:pPr>
    <w:rPr>
      <w:rFonts w:cs="Times New Roman"/>
      <w:bCs/>
      <w:i/>
      <w:iCs w:val="0"/>
      <w:sz w:val="48"/>
      <w:szCs w:val="22"/>
      <w:lang w:bidi="ar-SA"/>
    </w:rPr>
  </w:style>
  <w:style w:type="paragraph" w:styleId="12944" w:customStyle="1">
    <w:name w:val="_Выделение"/>
    <w:basedOn w:val="11103"/>
    <w:link w:val="10988"/>
    <w:qFormat/>
    <w:pPr>
      <w:keepNext w:val="true"/>
      <w:pBdr/>
      <w:spacing/>
      <w:ind w:firstLine="567" w:left="0"/>
    </w:pPr>
    <w:rPr>
      <w:rFonts w:ascii="Times New Roman" w:hAnsi="Times New Roman" w:eastAsia="Calibri"/>
      <w:szCs w:val="26"/>
      <w:u w:val="single"/>
      <w:lang w:val="ru-RU" w:bidi="ar-SA"/>
    </w:rPr>
  </w:style>
  <w:style w:type="paragraph" w:styleId="12945" w:customStyle="1">
    <w:name w:val="Стиль1_ГЛАВА"/>
    <w:basedOn w:val="10534"/>
    <w:link w:val="10989"/>
    <w:qFormat/>
    <w:pPr>
      <w:numPr>
        <w:ilvl w:val="0"/>
        <w:numId w:val="51"/>
      </w:numPr>
      <w:pBdr/>
      <w:tabs>
        <w:tab w:val="clear" w:leader="none" w:pos="0"/>
        <w:tab w:val="clear" w:leader="none" w:pos="736"/>
        <w:tab w:val="left" w:leader="none" w:pos="1560"/>
      </w:tabs>
      <w:spacing w:after="240" w:before="120" w:line="240" w:lineRule="auto"/>
      <w:ind/>
      <w:contextualSpacing w:val="false"/>
      <w:jc w:val="left"/>
    </w:pPr>
    <w:rPr>
      <w:bCs/>
      <w:caps/>
      <w:spacing w:val="0"/>
      <w:szCs w:val="28"/>
      <w:lang w:bidi="ar-SA"/>
    </w:rPr>
  </w:style>
  <w:style w:type="paragraph" w:styleId="12946" w:customStyle="1">
    <w:name w:val="Стиль2_Часть"/>
    <w:basedOn w:val="10535"/>
    <w:link w:val="13649"/>
    <w:qFormat/>
    <w:pPr>
      <w:keepNext w:val="false"/>
      <w:numPr>
        <w:ilvl w:val="0"/>
        <w:numId w:val="0"/>
      </w:numPr>
      <w:pBdr/>
      <w:spacing w:after="240" w:before="120" w:line="240" w:lineRule="auto"/>
      <w:ind w:hanging="360" w:left="2506"/>
      <w:jc w:val="left"/>
    </w:pPr>
    <w:rPr>
      <w:rFonts w:cs="Times New Roman"/>
      <w:bCs/>
      <w:sz w:val="24"/>
      <w:szCs w:val="26"/>
      <w:lang w:bidi="ar-SA"/>
    </w:rPr>
  </w:style>
  <w:style w:type="paragraph" w:styleId="12948" w:customStyle="1">
    <w:name w:val="Style150"/>
    <w:basedOn w:val="10533"/>
    <w:qFormat/>
    <w:pPr>
      <w:pBdr/>
      <w:spacing w:line="353" w:lineRule="exact"/>
      <w:ind w:firstLine="585"/>
      <w:jc w:val="both"/>
    </w:pPr>
    <w:rPr>
      <w:rFonts w:ascii="Arial" w:hAnsi="Arial" w:eastAsia="Arial" w:cs="Arial"/>
      <w:sz w:val="20"/>
      <w:szCs w:val="20"/>
    </w:rPr>
  </w:style>
  <w:style w:type="paragraph" w:styleId="12949" w:customStyle="1">
    <w:name w:val="Style202"/>
    <w:basedOn w:val="10533"/>
    <w:qFormat/>
    <w:pPr>
      <w:pBdr/>
      <w:spacing w:line="355" w:lineRule="exact"/>
      <w:ind w:firstLine="615"/>
      <w:jc w:val="both"/>
    </w:pPr>
    <w:rPr>
      <w:rFonts w:ascii="Arial" w:hAnsi="Arial" w:eastAsia="Arial" w:cs="Arial"/>
      <w:sz w:val="20"/>
      <w:szCs w:val="20"/>
    </w:rPr>
  </w:style>
  <w:style w:type="paragraph" w:styleId="12950" w:customStyle="1">
    <w:name w:val="Style172"/>
    <w:basedOn w:val="10533"/>
    <w:qFormat/>
    <w:pPr>
      <w:pBdr/>
      <w:spacing w:line="345" w:lineRule="exact"/>
      <w:ind w:firstLine="600"/>
      <w:jc w:val="both"/>
    </w:pPr>
    <w:rPr>
      <w:rFonts w:ascii="Arial" w:hAnsi="Arial" w:eastAsia="Arial" w:cs="Arial"/>
      <w:sz w:val="20"/>
      <w:szCs w:val="20"/>
    </w:rPr>
  </w:style>
  <w:style w:type="paragraph" w:styleId="12951" w:customStyle="1">
    <w:name w:val="Style148"/>
    <w:basedOn w:val="10533"/>
    <w:qFormat/>
    <w:pPr>
      <w:pBdr/>
      <w:spacing/>
      <w:ind/>
    </w:pPr>
    <w:rPr>
      <w:rFonts w:ascii="Arial" w:hAnsi="Arial" w:eastAsia="Arial" w:cs="Arial"/>
      <w:sz w:val="20"/>
      <w:szCs w:val="20"/>
    </w:rPr>
  </w:style>
  <w:style w:type="paragraph" w:styleId="12952" w:customStyle="1">
    <w:name w:val="Style8"/>
    <w:basedOn w:val="10533"/>
    <w:uiPriority w:val="99"/>
    <w:qFormat/>
    <w:pPr>
      <w:widowControl w:val="false"/>
      <w:pBdr/>
      <w:spacing w:line="414" w:lineRule="exact"/>
      <w:ind/>
    </w:pPr>
    <w:rPr>
      <w:rFonts w:ascii="Arial" w:hAnsi="Arial" w:cs="Arial"/>
    </w:rPr>
  </w:style>
  <w:style w:type="paragraph" w:styleId="12953" w:customStyle="1">
    <w:name w:val="Style15"/>
    <w:basedOn w:val="10533"/>
    <w:uiPriority w:val="99"/>
    <w:qFormat/>
    <w:pPr>
      <w:widowControl w:val="false"/>
      <w:pBdr/>
      <w:spacing/>
      <w:ind/>
      <w:jc w:val="both"/>
    </w:pPr>
    <w:rPr>
      <w:rFonts w:ascii="Arial" w:hAnsi="Arial" w:cs="Arial"/>
    </w:rPr>
  </w:style>
  <w:style w:type="paragraph" w:styleId="12954" w:customStyle="1">
    <w:name w:val="Style30"/>
    <w:basedOn w:val="10533"/>
    <w:uiPriority w:val="99"/>
    <w:qFormat/>
    <w:pPr>
      <w:widowControl w:val="false"/>
      <w:pBdr/>
      <w:spacing/>
      <w:ind/>
    </w:pPr>
    <w:rPr>
      <w:rFonts w:ascii="Arial" w:hAnsi="Arial" w:cs="Arial"/>
    </w:rPr>
  </w:style>
  <w:style w:type="paragraph" w:styleId="12955" w:customStyle="1">
    <w:name w:val="Style50"/>
    <w:basedOn w:val="10533"/>
    <w:uiPriority w:val="99"/>
    <w:qFormat/>
    <w:pPr>
      <w:widowControl w:val="false"/>
      <w:pBdr/>
      <w:spacing/>
      <w:ind/>
    </w:pPr>
    <w:rPr>
      <w:rFonts w:ascii="Arial" w:hAnsi="Arial" w:cs="Arial"/>
    </w:rPr>
  </w:style>
  <w:style w:type="paragraph" w:styleId="12956" w:customStyle="1">
    <w:name w:val="Style51"/>
    <w:basedOn w:val="10533"/>
    <w:uiPriority w:val="99"/>
    <w:qFormat/>
    <w:pPr>
      <w:widowControl w:val="false"/>
      <w:pBdr/>
      <w:spacing w:line="230" w:lineRule="exact"/>
      <w:ind/>
    </w:pPr>
    <w:rPr>
      <w:rFonts w:ascii="Arial" w:hAnsi="Arial" w:cs="Arial"/>
    </w:rPr>
  </w:style>
  <w:style w:type="paragraph" w:styleId="12957">
    <w:name w:val="Normal Indent"/>
    <w:basedOn w:val="10533"/>
    <w:uiPriority w:val="99"/>
    <w:qFormat/>
    <w:pPr>
      <w:pBdr/>
      <w:spacing/>
      <w:ind w:left="708"/>
    </w:pPr>
    <w:rPr>
      <w:rFonts w:ascii="Calibri" w:hAnsi="Calibri"/>
      <w:lang w:eastAsia="en-US"/>
    </w:rPr>
  </w:style>
  <w:style w:type="paragraph" w:styleId="12958" w:customStyle="1">
    <w:name w:val="_Часть 1."/>
    <w:basedOn w:val="10535"/>
    <w:link w:val="13617"/>
    <w:qFormat/>
    <w:pPr>
      <w:numPr>
        <w:ilvl w:val="0"/>
        <w:numId w:val="0"/>
      </w:numPr>
      <w:pBdr/>
      <w:spacing w:after="60" w:before="480"/>
      <w:ind w:firstLine="567" w:left="2506"/>
      <w:jc w:val="left"/>
    </w:pPr>
    <w:rPr>
      <w:rFonts w:cs="Times New Roman"/>
      <w:bCs/>
      <w:i/>
      <w:iCs/>
      <w:color w:val="000000"/>
      <w:lang w:bidi="ar-SA"/>
    </w:rPr>
  </w:style>
  <w:style w:type="paragraph" w:styleId="12959" w:customStyle="1">
    <w:name w:val="_Обычный список точка"/>
    <w:basedOn w:val="11103"/>
    <w:link w:val="10999"/>
    <w:qFormat/>
    <w:pPr>
      <w:numPr>
        <w:ilvl w:val="0"/>
        <w:numId w:val="49"/>
      </w:numPr>
      <w:pBdr/>
      <w:spacing/>
      <w:ind w:firstLine="567" w:left="0"/>
    </w:pPr>
    <w:rPr>
      <w:rFonts w:ascii="Times New Roman" w:hAnsi="Times New Roman" w:eastAsia="Calibri"/>
      <w:sz w:val="26"/>
      <w:szCs w:val="26"/>
      <w:lang w:val="ru-RU" w:eastAsia="ru-RU" w:bidi="ar-SA"/>
    </w:rPr>
  </w:style>
  <w:style w:type="paragraph" w:styleId="12960" w:customStyle="1">
    <w:name w:val="_1.1 Текст"/>
    <w:basedOn w:val="12279"/>
    <w:link w:val="11000"/>
    <w:qFormat/>
    <w:pPr>
      <w:pBdr/>
      <w:spacing/>
      <w:ind/>
    </w:pPr>
    <w:rPr>
      <w:rFonts w:ascii="Times New Roman" w:hAnsi="Times New Roman" w:cs="Times New Roman"/>
      <w:bCs/>
      <w:iCs/>
      <w:color w:val="0a0a0c"/>
      <w:sz w:val="24"/>
      <w:szCs w:val="24"/>
    </w:rPr>
  </w:style>
  <w:style w:type="paragraph" w:styleId="12961" w:customStyle="1">
    <w:name w:val="_Раздел 1"/>
    <w:basedOn w:val="10534"/>
    <w:link w:val="13726"/>
    <w:qFormat/>
    <w:pPr>
      <w:keepNext w:val="true"/>
      <w:numPr>
        <w:ilvl w:val="0"/>
        <w:numId w:val="50"/>
      </w:numPr>
      <w:pBdr/>
      <w:tabs>
        <w:tab w:val="left" w:leader="none" w:pos="0"/>
        <w:tab w:val="clear" w:leader="none" w:pos="736"/>
      </w:tabs>
      <w:spacing w:after="240" w:before="120"/>
      <w:ind/>
      <w:contextualSpacing w:val="false"/>
      <w:jc w:val="both"/>
    </w:pPr>
    <w:rPr>
      <w:bCs/>
      <w:caps w:val="0"/>
      <w:smallCaps w:val="0"/>
      <w:color w:val="000000"/>
      <w:spacing w:val="0"/>
      <w:sz w:val="26"/>
      <w:szCs w:val="32"/>
      <w:lang w:bidi="ar-SA"/>
    </w:rPr>
  </w:style>
  <w:style w:type="paragraph" w:styleId="12962" w:customStyle="1">
    <w:name w:val="righttext"/>
    <w:basedOn w:val="10533"/>
    <w:qFormat/>
    <w:pPr>
      <w:pBdr/>
      <w:spacing w:afterAutospacing="1" w:beforeAutospacing="1"/>
      <w:ind/>
    </w:pPr>
  </w:style>
  <w:style w:type="paragraph" w:styleId="12963" w:customStyle="1">
    <w:name w:val="tabletextcenter"/>
    <w:basedOn w:val="10533"/>
    <w:qFormat/>
    <w:pPr>
      <w:pBdr/>
      <w:spacing w:afterAutospacing="1" w:beforeAutospacing="1"/>
      <w:ind/>
    </w:pPr>
  </w:style>
  <w:style w:type="paragraph" w:styleId="12964" w:customStyle="1">
    <w:name w:val="tabletextleft"/>
    <w:basedOn w:val="10533"/>
    <w:qFormat/>
    <w:pPr>
      <w:pBdr/>
      <w:spacing w:afterAutospacing="1" w:beforeAutospacing="1"/>
      <w:ind/>
    </w:pPr>
  </w:style>
  <w:style w:type="paragraph" w:styleId="12965" w:customStyle="1">
    <w:name w:val="bloktext"/>
    <w:basedOn w:val="10533"/>
    <w:qFormat/>
    <w:pPr>
      <w:pBdr/>
      <w:spacing w:afterAutospacing="1" w:beforeAutospacing="1"/>
      <w:ind/>
    </w:pPr>
  </w:style>
  <w:style w:type="paragraph" w:styleId="12966" w:customStyle="1">
    <w:name w:val="Return Address"/>
    <w:basedOn w:val="10533"/>
    <w:uiPriority w:val="99"/>
    <w:qFormat/>
    <w:pPr>
      <w:keepLines w:val="true"/>
      <w:widowControl w:val="false"/>
      <w:pBdr/>
      <w:tabs>
        <w:tab w:val="clear" w:leader="none" w:pos="708"/>
        <w:tab w:val="left" w:leader="none" w:pos="2160"/>
      </w:tabs>
      <w:spacing w:line="160" w:lineRule="atLeast"/>
      <w:ind/>
      <w:jc w:val="both"/>
    </w:pPr>
    <w:rPr>
      <w:rFonts w:cs="Arial"/>
      <w:sz w:val="14"/>
      <w:szCs w:val="14"/>
      <w:lang w:val="en-US" w:eastAsia="en-US"/>
    </w:rPr>
  </w:style>
  <w:style w:type="paragraph" w:styleId="12967" w:customStyle="1">
    <w:name w:val="1."/>
    <w:basedOn w:val="11103"/>
    <w:link w:val="13719"/>
    <w:qFormat/>
    <w:pPr>
      <w:pageBreakBefore w:val="true"/>
      <w:widowControl w:val="false"/>
      <w:numPr>
        <w:ilvl w:val="0"/>
        <w:numId w:val="54"/>
      </w:numPr>
      <w:pBdr/>
      <w:tabs>
        <w:tab w:val="clear" w:leader="none" w:pos="708"/>
        <w:tab w:val="left" w:leader="none" w:pos="993"/>
      </w:tabs>
      <w:spacing w:line="276" w:lineRule="auto"/>
      <w:ind/>
      <w:jc w:val="left"/>
    </w:pPr>
    <w:rPr>
      <w:rFonts w:ascii="Times New Roman" w:hAnsi="Times New Roman" w:eastAsia="Calibri"/>
      <w:b/>
      <w:sz w:val="26"/>
      <w:szCs w:val="26"/>
      <w:lang w:val="ru-RU" w:eastAsia="ru-RU" w:bidi="ar-SA"/>
    </w:rPr>
  </w:style>
  <w:style w:type="paragraph" w:styleId="12968" w:customStyle="1">
    <w:name w:val="1.1"/>
    <w:basedOn w:val="11103"/>
    <w:link w:val="11009"/>
    <w:qFormat/>
    <w:pPr>
      <w:keepNext w:val="true"/>
      <w:numPr>
        <w:ilvl w:val="1"/>
        <w:numId w:val="54"/>
      </w:numPr>
      <w:pBdr/>
      <w:tabs>
        <w:tab w:val="clear" w:leader="none" w:pos="708"/>
        <w:tab w:val="left" w:leader="none" w:pos="993"/>
      </w:tabs>
      <w:spacing w:after="0" w:before="120" w:line="276" w:lineRule="auto"/>
      <w:ind/>
      <w:contextualSpacing w:val="true"/>
      <w:jc w:val="left"/>
    </w:pPr>
    <w:rPr>
      <w:rFonts w:ascii="Times New Roman" w:hAnsi="Times New Roman" w:eastAsia="Calibri"/>
      <w:b/>
      <w:sz w:val="26"/>
      <w:szCs w:val="26"/>
      <w:lang w:val="ru-RU" w:eastAsia="ru-RU" w:bidi="ar-SA"/>
    </w:rPr>
  </w:style>
  <w:style w:type="paragraph" w:styleId="12969" w:customStyle="1">
    <w:name w:val="Обычный текст"/>
    <w:basedOn w:val="11103"/>
    <w:link w:val="11010"/>
    <w:qFormat/>
    <w:pPr>
      <w:pBdr/>
      <w:spacing w:line="240" w:lineRule="auto"/>
      <w:ind w:firstLine="0" w:left="0"/>
      <w:jc w:val="left"/>
    </w:pPr>
    <w:rPr>
      <w:rFonts w:ascii="Times New Roman" w:hAnsi="Times New Roman" w:eastAsia="Calibri"/>
      <w:sz w:val="26"/>
      <w:szCs w:val="26"/>
      <w:lang w:val="ru-RU" w:eastAsia="ru-RU" w:bidi="ar-SA"/>
    </w:rPr>
  </w:style>
  <w:style w:type="paragraph" w:styleId="12970" w:customStyle="1">
    <w:name w:val="_Подразделение"/>
    <w:basedOn w:val="12385"/>
    <w:link w:val="11011"/>
    <w:qFormat/>
    <w:pPr>
      <w:pBdr/>
      <w:spacing w:after="0" w:before="240"/>
      <w:ind/>
      <w:jc w:val="both"/>
    </w:pPr>
    <w:rPr>
      <w:b/>
      <w:smallCaps/>
    </w:rPr>
  </w:style>
  <w:style w:type="paragraph" w:styleId="12971" w:customStyle="1">
    <w:name w:val="_Список маркерны"/>
    <w:basedOn w:val="12279"/>
    <w:link w:val="11012"/>
    <w:qFormat/>
    <w:pPr>
      <w:numPr>
        <w:ilvl w:val="0"/>
        <w:numId w:val="52"/>
      </w:numPr>
      <w:pBdr/>
      <w:tabs>
        <w:tab w:val="left" w:leader="none" w:pos="284"/>
        <w:tab w:val="clear" w:leader="none" w:pos="708"/>
      </w:tabs>
      <w:spacing w:line="240" w:lineRule="auto"/>
      <w:ind w:firstLine="0" w:left="0"/>
    </w:pPr>
    <w:rPr>
      <w:rFonts w:ascii="Times New Roman" w:hAnsi="Times New Roman" w:cs="Times New Roman"/>
      <w:iCs/>
    </w:rPr>
  </w:style>
  <w:style w:type="paragraph" w:styleId="12972" w:customStyle="1">
    <w:name w:val="_Список нумерованный"/>
    <w:basedOn w:val="12971"/>
    <w:link w:val="11013"/>
    <w:qFormat/>
    <w:pPr>
      <w:numPr>
        <w:ilvl w:val="0"/>
        <w:numId w:val="53"/>
      </w:numPr>
      <w:pBdr/>
      <w:spacing/>
      <w:ind/>
    </w:pPr>
  </w:style>
  <w:style w:type="paragraph" w:styleId="12973" w:customStyle="1">
    <w:name w:val="_комментарий"/>
    <w:basedOn w:val="12279"/>
    <w:link w:val="11014"/>
    <w:qFormat/>
    <w:pPr>
      <w:pBdr/>
      <w:spacing w:line="240" w:lineRule="auto"/>
      <w:ind/>
    </w:pPr>
    <w:rPr>
      <w:rFonts w:ascii="Times New Roman" w:hAnsi="Times New Roman" w:cs="Times New Roman"/>
      <w:iCs/>
      <w:color w:val="ff0000"/>
    </w:rPr>
  </w:style>
  <w:style w:type="paragraph" w:styleId="12975" w:customStyle="1">
    <w:name w:val="Перечисление"/>
    <w:basedOn w:val="11103"/>
    <w:link w:val="11022"/>
    <w:qFormat/>
    <w:pPr>
      <w:numPr>
        <w:ilvl w:val="0"/>
        <w:numId w:val="55"/>
      </w:numPr>
      <w:pBdr/>
      <w:spacing w:after="40" w:before="0" w:line="300" w:lineRule="auto"/>
      <w:ind w:hanging="295" w:left="1004"/>
      <w:contextualSpacing w:val="false"/>
    </w:pPr>
    <w:rPr>
      <w:rFonts w:ascii="Times New Roman" w:hAnsi="Times New Roman" w:eastAsia="MS Mincho"/>
      <w:sz w:val="28"/>
      <w:lang w:val="ru-RU" w:eastAsia="ru-RU" w:bidi="ar-SA"/>
    </w:rPr>
  </w:style>
  <w:style w:type="paragraph" w:styleId="12977" w:customStyle="1">
    <w:name w:val="Название рисунка"/>
    <w:link w:val="11017"/>
    <w:qFormat/>
    <w:pPr>
      <w:widowControl w:val="true"/>
      <w:pBdr/>
      <w:bidi w:val="false"/>
      <w:spacing w:after="240" w:before="120" w:line="240" w:lineRule="auto"/>
      <w:ind/>
      <w:jc w:val="center"/>
    </w:pPr>
    <w:rPr>
      <w:rFonts w:ascii="Times New Roman" w:hAnsi="Times New Roman" w:eastAsia="Times New Roman" w:cs="Times New Roman"/>
      <w:i/>
      <w:color w:val="auto"/>
      <w:spacing w:val="6"/>
      <w:sz w:val="26"/>
      <w:szCs w:val="22"/>
      <w:lang w:val="ru-RU" w:eastAsia="en-US" w:bidi="ar-SA"/>
    </w:rPr>
  </w:style>
  <w:style w:type="paragraph" w:styleId="12981" w:customStyle="1">
    <w:name w:val="3.3 Т. Слева + 0"/>
    <w:basedOn w:val="10533"/>
    <w:qFormat/>
    <w:pPr>
      <w:pBdr/>
      <w:spacing/>
      <w:ind/>
    </w:pPr>
    <w:rPr>
      <w:sz w:val="20"/>
      <w:szCs w:val="20"/>
      <w:lang w:eastAsia="en-US"/>
    </w:rPr>
  </w:style>
  <w:style w:type="paragraph" w:styleId="12982" w:customStyle="1">
    <w:name w:val="3.1 Т. Подзаг."/>
    <w:link w:val="13592"/>
    <w:qFormat/>
    <w:pPr>
      <w:widowControl w:val="true"/>
      <w:pBdr/>
      <w:bidi w:val="false"/>
      <w:spacing w:after="40" w:before="40" w:line="240" w:lineRule="auto"/>
      <w:ind/>
      <w:jc w:val="both"/>
    </w:pPr>
    <w:rPr>
      <w:rFonts w:ascii="Times New Roman" w:hAnsi="Times New Roman" w:eastAsia="Times New Roman" w:cs="Times New Roman"/>
      <w:b/>
      <w:bCs/>
      <w:smallCaps/>
      <w:color w:val="auto"/>
      <w:spacing w:val="20"/>
      <w:sz w:val="20"/>
      <w:szCs w:val="20"/>
      <w:lang w:val="ru-RU" w:eastAsia="en-US" w:bidi="ar-SA"/>
    </w:rPr>
  </w:style>
  <w:style w:type="paragraph" w:styleId="12983" w:customStyle="1">
    <w:name w:val="Текст титула отступ 1"/>
    <w:qFormat/>
    <w:pPr>
      <w:widowControl w:val="true"/>
      <w:pBdr/>
      <w:bidi w:val="false"/>
      <w:spacing w:after="3600" w:before="0" w:line="259" w:lineRule="auto"/>
      <w:ind/>
      <w:jc w:val="center"/>
    </w:pPr>
    <w:rPr>
      <w:rFonts w:ascii="Times New Roman" w:hAnsi="Times New Roman" w:eastAsia="Times New Roman" w:cs="Times New Roman"/>
      <w:b/>
      <w:color w:val="auto"/>
      <w:sz w:val="24"/>
      <w:szCs w:val="20"/>
      <w:lang w:val="ru-RU" w:eastAsia="en-US" w:bidi="ar-SA"/>
    </w:rPr>
  </w:style>
  <w:style w:type="paragraph" w:styleId="12984" w:customStyle="1">
    <w:name w:val="Обычный б/п"/>
    <w:basedOn w:val="10533"/>
    <w:qFormat/>
    <w:pPr>
      <w:pBdr/>
      <w:spacing w:after="0" w:before="0" w:line="300" w:lineRule="auto"/>
      <w:ind/>
      <w:contextualSpacing w:val="true"/>
      <w:jc w:val="both"/>
    </w:pPr>
    <w:rPr>
      <w:sz w:val="28"/>
      <w:lang w:eastAsia="en-US"/>
    </w:rPr>
  </w:style>
  <w:style w:type="paragraph" w:styleId="12986" w:customStyle="1">
    <w:name w:val="Красная строка1"/>
    <w:basedOn w:val="11055"/>
    <w:next w:val="10533"/>
    <w:uiPriority w:val="99"/>
    <w:unhideWhenUsed/>
    <w:qFormat/>
    <w:pPr>
      <w:pBdr/>
      <w:spacing w:after="360" w:before="40" w:line="300" w:lineRule="auto"/>
      <w:ind w:firstLine="360"/>
      <w:contextualSpacing w:val="true"/>
    </w:pPr>
    <w:rPr>
      <w:rFonts w:ascii="Times New Roman" w:hAnsi="Times New Roman"/>
      <w:spacing w:val="-5"/>
      <w:sz w:val="28"/>
      <w:lang w:val="ru-RU" w:bidi="ar-SA"/>
    </w:rPr>
  </w:style>
  <w:style w:type="paragraph" w:styleId="12987" w:customStyle="1">
    <w:name w:val="Уравнения"/>
    <w:qFormat/>
    <w:pPr>
      <w:widowControl w:val="true"/>
      <w:pBdr/>
      <w:bidi w:val="false"/>
      <w:spacing w:after="80" w:before="80" w:line="300" w:lineRule="auto"/>
      <w:ind w:left="2829"/>
      <w:jc w:val="left"/>
    </w:pPr>
    <w:rPr>
      <w:rFonts w:ascii="Cambria Math" w:hAnsi="Cambria Math" w:eastAsia="Times New Roman" w:cs="Times New Roman"/>
      <w:i/>
      <w:color w:val="auto"/>
      <w:sz w:val="28"/>
      <w:szCs w:val="22"/>
      <w:lang w:val="ru-RU" w:eastAsia="en-US" w:bidi="ar-SA"/>
    </w:rPr>
  </w:style>
  <w:style w:type="paragraph" w:styleId="12988" w:customStyle="1">
    <w:name w:val="4.1 Абз. титула 1"/>
    <w:next w:val="12992"/>
    <w:link w:val="13911"/>
    <w:qFormat/>
    <w:pPr>
      <w:widowControl w:val="true"/>
      <w:pBdr/>
      <w:bidi w:val="false"/>
      <w:spacing w:after="1200" w:before="0" w:line="300" w:lineRule="auto"/>
      <w:ind/>
      <w:jc w:val="center"/>
    </w:pPr>
    <w:rPr>
      <w:rFonts w:ascii="Times New Roman" w:hAnsi="Times New Roman" w:eastAsia="Times New Roman" w:cs="Times New Roman"/>
      <w:smallCaps/>
      <w:color w:val="auto"/>
      <w:spacing w:val="20"/>
      <w:sz w:val="32"/>
      <w:szCs w:val="36"/>
      <w:lang w:val="ru-RU" w:eastAsia="en-US" w:bidi="ar-SA"/>
    </w:rPr>
  </w:style>
  <w:style w:type="paragraph" w:styleId="12990" w:customStyle="1">
    <w:name w:val="Заголовок записки 2"/>
    <w:basedOn w:val="10533"/>
    <w:next w:val="10533"/>
    <w:qFormat/>
    <w:pPr>
      <w:keepNext w:val="true"/>
      <w:widowControl w:val="false"/>
      <w:pBdr/>
      <w:spacing w:after="0" w:before="720" w:line="300" w:lineRule="auto"/>
      <w:ind/>
      <w:contextualSpacing w:val="true"/>
      <w:jc w:val="both"/>
      <w:outlineLvl w:val="0"/>
    </w:pPr>
    <w:rPr>
      <w:b/>
      <w:caps/>
      <w:spacing w:val="5"/>
      <w:sz w:val="32"/>
      <w:lang w:eastAsia="en-US"/>
    </w:rPr>
  </w:style>
  <w:style w:type="paragraph" w:styleId="12992" w:customStyle="1">
    <w:name w:val="1.0 Заг. ПЗ"/>
    <w:next w:val="13827"/>
    <w:link w:val="11026"/>
    <w:qFormat/>
    <w:pPr>
      <w:widowControl w:val="false"/>
      <w:pBdr/>
      <w:bidi w:val="false"/>
      <w:spacing w:after="0" w:before="0" w:line="300" w:lineRule="auto"/>
      <w:ind w:right="425" w:left="426"/>
      <w:jc w:val="center"/>
    </w:pPr>
    <w:rPr>
      <w:rFonts w:ascii="Times New Roman" w:hAnsi="Times New Roman" w:eastAsia="Times New Roman" w:cs="Times New Roman"/>
      <w:b/>
      <w:caps/>
      <w:color w:val="auto"/>
      <w:spacing w:val="10"/>
      <w:sz w:val="32"/>
      <w:szCs w:val="36"/>
      <w:lang w:val="ru-RU" w:eastAsia="en-US" w:bidi="ar-SA"/>
    </w:rPr>
  </w:style>
  <w:style w:type="paragraph" w:styleId="12994" w:customStyle="1">
    <w:name w:val="3.6 Табл. Утв.-Согл."/>
    <w:basedOn w:val="12413"/>
    <w:link w:val="11028"/>
    <w:qFormat/>
    <w:pPr>
      <w:pBdr/>
      <w:spacing w:after="0" w:before="0" w:line="300" w:lineRule="auto"/>
      <w:ind w:right="174" w:left="33"/>
      <w:jc w:val="both"/>
    </w:pPr>
    <w:rPr>
      <w:b w:val="0"/>
      <w:sz w:val="28"/>
      <w:szCs w:val="24"/>
    </w:rPr>
  </w:style>
  <w:style w:type="paragraph" w:styleId="12995" w:customStyle="1">
    <w:name w:val="3.7 Табл. Зам.-Зав."/>
    <w:basedOn w:val="12994"/>
    <w:link w:val="11040"/>
    <w:qFormat/>
    <w:pPr>
      <w:pBdr/>
      <w:spacing/>
      <w:ind w:right="176" w:left="34"/>
      <w:jc w:val="left"/>
    </w:pPr>
  </w:style>
  <w:style w:type="paragraph" w:styleId="12996" w:customStyle="1">
    <w:name w:val="1.1а Заг. Оглавления"/>
    <w:link w:val="13614"/>
    <w:qFormat/>
    <w:pPr>
      <w:keepNext w:val="true"/>
      <w:pageBreakBefore w:val="true"/>
      <w:widowControl w:val="false"/>
      <w:pBdr/>
      <w:bidi w:val="false"/>
      <w:spacing w:after="120" w:before="0" w:line="300" w:lineRule="auto"/>
      <w:ind w:right="1418" w:left="1418"/>
      <w:jc w:val="center"/>
      <w:outlineLvl w:val="0"/>
    </w:pPr>
    <w:rPr>
      <w:rFonts w:ascii="Times New Roman" w:hAnsi="Times New Roman" w:eastAsia="Times New Roman" w:cs="Times New Roman"/>
      <w:b/>
      <w:iCs/>
      <w:caps/>
      <w:color w:val="auto"/>
      <w:spacing w:val="20"/>
      <w:sz w:val="28"/>
      <w:szCs w:val="22"/>
      <w:lang w:val="ru-RU" w:eastAsia="ja-JP" w:bidi="ar-SA"/>
    </w:rPr>
  </w:style>
  <w:style w:type="paragraph" w:styleId="12998" w:customStyle="1">
    <w:name w:val="0.5 Список 1)"/>
    <w:basedOn w:val="12282"/>
    <w:link w:val="11034"/>
    <w:qFormat/>
    <w:pPr>
      <w:numPr>
        <w:ilvl w:val="0"/>
        <w:numId w:val="59"/>
      </w:numPr>
      <w:pBdr/>
      <w:spacing w:after="40" w:before="0"/>
      <w:ind w:hanging="425" w:left="1134"/>
      <w:contextualSpacing w:val="true"/>
    </w:pPr>
  </w:style>
  <w:style w:type="paragraph" w:styleId="12999" w:customStyle="1">
    <w:name w:val="0.6 Список а)"/>
    <w:basedOn w:val="12998"/>
    <w:link w:val="11035"/>
    <w:qFormat/>
    <w:pPr>
      <w:numPr>
        <w:ilvl w:val="0"/>
        <w:numId w:val="60"/>
      </w:numPr>
      <w:pBdr/>
      <w:spacing/>
      <w:ind w:hanging="357" w:left="2137"/>
    </w:pPr>
  </w:style>
  <w:style w:type="paragraph" w:styleId="13000" w:customStyle="1">
    <w:name w:val="0.2 Слева + 0"/>
    <w:basedOn w:val="12282"/>
    <w:link w:val="11041"/>
    <w:qFormat/>
    <w:pPr>
      <w:pBdr/>
      <w:spacing w:after="0" w:before="0"/>
      <w:ind w:firstLine="0"/>
      <w:contextualSpacing w:val="true"/>
    </w:pPr>
  </w:style>
  <w:style w:type="paragraph" w:styleId="13003" w:customStyle="1">
    <w:name w:val="3.5 Т. Справа"/>
    <w:basedOn w:val="14089"/>
    <w:qFormat/>
    <w:pPr>
      <w:pBdr/>
      <w:spacing/>
      <w:ind w:right="142"/>
      <w:jc w:val="right"/>
    </w:pPr>
  </w:style>
  <w:style w:type="paragraph" w:styleId="13005" w:customStyle="1">
    <w:name w:val="3.32 Т. Слева + 2"/>
    <w:basedOn w:val="10533"/>
    <w:qFormat/>
    <w:pPr>
      <w:pBdr/>
      <w:spacing/>
      <w:ind w:firstLine="567"/>
    </w:pPr>
    <w:rPr>
      <w:sz w:val="20"/>
      <w:szCs w:val="20"/>
      <w:lang w:eastAsia="en-US"/>
    </w:rPr>
  </w:style>
  <w:style w:type="paragraph" w:styleId="13006" w:customStyle="1">
    <w:name w:val="3.33 Т. Слева + 3"/>
    <w:basedOn w:val="13005"/>
    <w:qFormat/>
    <w:pPr>
      <w:pBdr/>
      <w:spacing/>
      <w:ind w:firstLine="851"/>
    </w:pPr>
  </w:style>
  <w:style w:type="paragraph" w:styleId="13007" w:customStyle="1">
    <w:name w:val="0.1 Пробел"/>
    <w:basedOn w:val="12282"/>
    <w:link w:val="11046"/>
    <w:qFormat/>
    <w:pPr>
      <w:pBdr/>
      <w:spacing w:after="40" w:before="0"/>
      <w:ind/>
      <w:contextualSpacing w:val="true"/>
    </w:pPr>
  </w:style>
  <w:style w:type="paragraph" w:styleId="13009" w:customStyle="1">
    <w:name w:val="0.4 Справа"/>
    <w:basedOn w:val="13766"/>
    <w:qFormat/>
    <w:pPr>
      <w:pBdr/>
      <w:spacing w:after="120" w:before="120"/>
      <w:ind/>
      <w:contextualSpacing w:val="false"/>
      <w:jc w:val="right"/>
    </w:pPr>
  </w:style>
  <w:style w:type="paragraph" w:styleId="13010" w:customStyle="1">
    <w:name w:val="0.5 Список 2"/>
    <w:basedOn w:val="13875"/>
    <w:link w:val="11048"/>
    <w:qFormat/>
    <w:pPr>
      <w:numPr>
        <w:ilvl w:val="1"/>
        <w:numId w:val="56"/>
      </w:numPr>
      <w:pBdr/>
      <w:spacing/>
      <w:ind w:firstLine="709" w:left="1701"/>
    </w:pPr>
  </w:style>
  <w:style w:type="paragraph" w:styleId="13011" w:customStyle="1">
    <w:name w:val="01_ЖИРНЫЙ ЗАГОЛОВОК"/>
    <w:basedOn w:val="12996"/>
    <w:link w:val="11049"/>
    <w:qFormat/>
    <w:pPr>
      <w:pBdr/>
      <w:spacing/>
      <w:ind/>
    </w:pPr>
    <w:rPr>
      <w:sz w:val="26"/>
      <w:szCs w:val="26"/>
    </w:rPr>
  </w:style>
  <w:style w:type="paragraph" w:styleId="13013" w:customStyle="1">
    <w:name w:val="Содержимое таблицы"/>
    <w:basedOn w:val="10533"/>
    <w:qFormat/>
    <w:pPr>
      <w:widowControl w:val="false"/>
      <w:suppressLineNumbers w:val="true"/>
      <w:pBdr/>
      <w:spacing/>
      <w:ind/>
    </w:pPr>
    <w:rPr>
      <w:rFonts w:ascii="Arial" w:hAnsi="Arial" w:eastAsia="SimSun" w:cs="Mangal"/>
      <w:lang w:bidi="hi-IN"/>
    </w:rPr>
  </w:style>
  <w:style w:type="paragraph" w:styleId="13014" w:customStyle="1">
    <w:name w:val="Стиль Для таблицы (приложения 1) + По правому краю"/>
    <w:basedOn w:val="13758"/>
    <w:qFormat/>
    <w:pPr>
      <w:widowControl w:val="false"/>
      <w:pBdr/>
      <w:spacing/>
      <w:ind w:hanging="33" w:left="33"/>
      <w:jc w:val="center"/>
    </w:pPr>
    <w:rPr>
      <w:bCs w:val="0"/>
      <w:spacing w:val="-5"/>
      <w:sz w:val="16"/>
      <w:szCs w:val="20"/>
      <w:lang w:val="ru-RU" w:eastAsia="ru-RU" w:bidi="ar-SA"/>
    </w:rPr>
  </w:style>
  <w:style w:type="paragraph" w:styleId="13015" w:customStyle="1">
    <w:name w:val="Текст_1"/>
    <w:basedOn w:val="10533"/>
    <w:qFormat/>
    <w:pPr>
      <w:pBdr/>
      <w:spacing/>
      <w:ind/>
    </w:pPr>
  </w:style>
  <w:style w:type="paragraph" w:styleId="13016" w:customStyle="1">
    <w:name w:val="Подраздел"/>
    <w:basedOn w:val="10533"/>
    <w:qFormat/>
    <w:pPr>
      <w:pBdr/>
      <w:spacing/>
      <w:ind/>
    </w:pPr>
    <w:rPr>
      <w:b/>
    </w:rPr>
  </w:style>
  <w:style w:type="paragraph" w:styleId="13017" w:customStyle="1">
    <w:name w:val="xl1824"/>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color w:val="000000"/>
    </w:rPr>
  </w:style>
  <w:style w:type="paragraph" w:styleId="13018" w:customStyle="1">
    <w:name w:val="xl1825"/>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rPr>
  </w:style>
  <w:style w:type="paragraph" w:styleId="13019" w:customStyle="1">
    <w:name w:val="xl1826"/>
    <w:basedOn w:val="10533"/>
    <w:qFormat/>
    <w:pPr>
      <w:pBdr>
        <w:top w:val="single" w:color="000000" w:sz="4" w:space="0"/>
        <w:left w:val="single" w:color="000000" w:sz="4" w:space="0"/>
        <w:bottom w:val="single" w:color="000000" w:sz="4" w:space="0"/>
        <w:right w:val="single" w:color="000000" w:sz="4" w:space="0"/>
      </w:pBdr>
      <w:spacing w:afterAutospacing="1" w:beforeAutospacing="1"/>
      <w:ind/>
    </w:pPr>
    <w:rPr>
      <w:color w:val="000000"/>
    </w:rPr>
  </w:style>
  <w:style w:type="paragraph" w:styleId="13020" w:customStyle="1">
    <w:name w:val="xl1827"/>
    <w:basedOn w:val="10533"/>
    <w:qFormat/>
    <w:pPr>
      <w:pBdr/>
      <w:spacing w:afterAutospacing="1" w:beforeAutospacing="1"/>
      <w:ind/>
    </w:pPr>
  </w:style>
  <w:style w:type="paragraph" w:styleId="13021" w:customStyle="1">
    <w:name w:val="xl1828"/>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rPr>
  </w:style>
  <w:style w:type="paragraph" w:styleId="13022" w:customStyle="1">
    <w:name w:val="xl1829"/>
    <w:basedOn w:val="10533"/>
    <w:qFormat/>
    <w:pPr>
      <w:pBdr/>
      <w:spacing w:afterAutospacing="1" w:beforeAutospacing="1"/>
      <w:ind/>
    </w:pPr>
  </w:style>
  <w:style w:type="paragraph" w:styleId="13023" w:customStyle="1">
    <w:name w:val="xl1830"/>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rPr>
  </w:style>
  <w:style w:type="paragraph" w:styleId="13024" w:customStyle="1">
    <w:name w:val="xl183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color w:val="000000"/>
    </w:rPr>
  </w:style>
  <w:style w:type="paragraph" w:styleId="13025" w:customStyle="1">
    <w:name w:val="xl52379"/>
    <w:basedOn w:val="10533"/>
    <w:qFormat/>
    <w:pPr>
      <w:pBdr/>
      <w:spacing w:afterAutospacing="1" w:beforeAutospacing="1"/>
      <w:ind/>
    </w:pPr>
    <w:rPr>
      <w:sz w:val="20"/>
      <w:szCs w:val="20"/>
    </w:rPr>
  </w:style>
  <w:style w:type="paragraph" w:styleId="13026" w:customStyle="1">
    <w:name w:val="xl52380"/>
    <w:basedOn w:val="10533"/>
    <w:qFormat/>
    <w:pPr>
      <w:pBdr/>
      <w:spacing w:afterAutospacing="1" w:beforeAutospacing="1"/>
      <w:ind/>
    </w:pPr>
    <w:rPr>
      <w:sz w:val="20"/>
      <w:szCs w:val="20"/>
    </w:rPr>
  </w:style>
  <w:style w:type="paragraph" w:styleId="13027" w:customStyle="1">
    <w:name w:val="xl52381"/>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3028" w:customStyle="1">
    <w:name w:val="xl52382"/>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3029" w:customStyle="1">
    <w:name w:val="xl52383"/>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3030" w:customStyle="1">
    <w:name w:val="xl52384"/>
    <w:basedOn w:val="10533"/>
    <w:qFormat/>
    <w:pPr>
      <w:pBdr>
        <w:top w:val="single" w:color="000000" w:sz="4" w:space="0"/>
        <w:left w:val="single" w:color="000000" w:sz="4" w:space="0"/>
        <w:bottom w:val="single" w:color="000000" w:sz="4" w:space="0"/>
        <w:right w:val="single" w:color="000000" w:sz="4" w:space="0"/>
      </w:pBdr>
      <w:spacing w:afterAutospacing="1" w:beforeAutospacing="1"/>
      <w:ind/>
    </w:pPr>
    <w:rPr>
      <w:color w:val="000000"/>
      <w:sz w:val="20"/>
      <w:szCs w:val="20"/>
    </w:rPr>
  </w:style>
  <w:style w:type="paragraph" w:styleId="13031" w:customStyle="1">
    <w:name w:val="xl52385"/>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3032" w:customStyle="1">
    <w:name w:val="xl52386"/>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color w:val="000000"/>
      <w:sz w:val="20"/>
      <w:szCs w:val="20"/>
    </w:rPr>
  </w:style>
  <w:style w:type="paragraph" w:styleId="13033" w:customStyle="1">
    <w:name w:val="xl52387"/>
    <w:basedOn w:val="10533"/>
    <w:qFormat/>
    <w:pPr>
      <w:pBdr/>
      <w:shd w:val="clear" w:color="000000" w:fill="538dd5"/>
      <w:spacing w:afterAutospacing="1" w:beforeAutospacing="1"/>
      <w:ind/>
    </w:pPr>
    <w:rPr>
      <w:sz w:val="20"/>
      <w:szCs w:val="20"/>
    </w:rPr>
  </w:style>
  <w:style w:type="paragraph" w:styleId="13034" w:customStyle="1">
    <w:name w:val="xl52388"/>
    <w:basedOn w:val="10533"/>
    <w:qFormat/>
    <w:pPr>
      <w:pBdr>
        <w:top w:val="single" w:color="000000" w:sz="4" w:space="0"/>
        <w:left w:val="single" w:color="000000" w:sz="4" w:space="0"/>
        <w:bottom w:val="single" w:color="000000" w:sz="4" w:space="0"/>
        <w:right w:val="single" w:color="000000" w:sz="4" w:space="0"/>
      </w:pBdr>
      <w:shd w:val="clear" w:color="000000" w:fill="538dd5"/>
      <w:spacing w:afterAutospacing="1" w:beforeAutospacing="1"/>
      <w:ind/>
      <w:jc w:val="center"/>
    </w:pPr>
    <w:rPr>
      <w:b/>
      <w:bCs/>
      <w:color w:val="000000"/>
      <w:sz w:val="20"/>
      <w:szCs w:val="20"/>
    </w:rPr>
  </w:style>
  <w:style w:type="paragraph" w:styleId="13035" w:customStyle="1">
    <w:name w:val="xl52389"/>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color w:val="000000"/>
      <w:sz w:val="20"/>
      <w:szCs w:val="20"/>
    </w:rPr>
  </w:style>
  <w:style w:type="paragraph" w:styleId="13036" w:customStyle="1">
    <w:name w:val="xl52390"/>
    <w:basedOn w:val="10533"/>
    <w:qFormat/>
    <w:pPr>
      <w:pBdr>
        <w:top w:val="single" w:color="000000" w:sz="4" w:space="0"/>
        <w:left w:val="single" w:color="000000" w:sz="4" w:space="0"/>
        <w:right w:val="single" w:color="000000" w:sz="4" w:space="0"/>
      </w:pBdr>
      <w:spacing w:afterAutospacing="1" w:beforeAutospacing="1"/>
      <w:ind/>
    </w:pPr>
    <w:rPr>
      <w:color w:val="000000"/>
      <w:sz w:val="20"/>
      <w:szCs w:val="20"/>
    </w:rPr>
  </w:style>
  <w:style w:type="paragraph" w:styleId="13037" w:customStyle="1">
    <w:name w:val="xl52391"/>
    <w:basedOn w:val="10533"/>
    <w:qFormat/>
    <w:pPr>
      <w:pBdr>
        <w:left w:val="single" w:color="000000" w:sz="4" w:space="0"/>
        <w:bottom w:val="single" w:color="000000" w:sz="4" w:space="0"/>
        <w:right w:val="single" w:color="000000" w:sz="4" w:space="0"/>
      </w:pBdr>
      <w:spacing w:afterAutospacing="1" w:beforeAutospacing="1"/>
      <w:ind/>
    </w:pPr>
    <w:rPr>
      <w:color w:val="000000"/>
      <w:sz w:val="20"/>
      <w:szCs w:val="20"/>
    </w:rPr>
  </w:style>
  <w:style w:type="paragraph" w:styleId="13038" w:customStyle="1">
    <w:name w:val="xl52392"/>
    <w:basedOn w:val="10533"/>
    <w:qFormat/>
    <w:pPr>
      <w:pBdr>
        <w:top w:val="single" w:color="000000" w:sz="4" w:space="0"/>
        <w:left w:val="single" w:color="000000" w:sz="4" w:space="0"/>
        <w:bottom w:val="single" w:color="000000" w:sz="4" w:space="0"/>
        <w:right w:val="single" w:color="000000" w:sz="4" w:space="0"/>
      </w:pBdr>
      <w:shd w:val="clear" w:color="000000" w:fill="ff0000"/>
      <w:spacing w:afterAutospacing="1" w:beforeAutospacing="1"/>
      <w:ind/>
      <w:jc w:val="center"/>
    </w:pPr>
    <w:rPr>
      <w:color w:val="000000"/>
      <w:sz w:val="20"/>
      <w:szCs w:val="20"/>
    </w:rPr>
  </w:style>
  <w:style w:type="paragraph" w:styleId="13039" w:customStyle="1">
    <w:name w:val="font1"/>
    <w:basedOn w:val="10533"/>
    <w:qFormat/>
    <w:pPr>
      <w:pBdr/>
      <w:spacing w:afterAutospacing="1" w:beforeAutospacing="1"/>
      <w:ind/>
    </w:pPr>
    <w:rPr>
      <w:rFonts w:ascii="Calibri" w:hAnsi="Calibri" w:cs="Calibri"/>
      <w:color w:val="000000"/>
    </w:rPr>
  </w:style>
  <w:style w:type="paragraph" w:styleId="13040" w:customStyle="1">
    <w:name w:val="xl52393"/>
    <w:basedOn w:val="10533"/>
    <w:qFormat/>
    <w:pPr>
      <w:pBdr>
        <w:left w:val="single" w:color="000000" w:sz="4" w:space="0"/>
        <w:bottom w:val="single" w:color="000000" w:sz="4" w:space="0"/>
        <w:right w:val="single" w:color="000000" w:sz="4" w:space="0"/>
      </w:pBdr>
      <w:spacing w:afterAutospacing="1" w:beforeAutospacing="1"/>
      <w:ind/>
    </w:pPr>
    <w:rPr>
      <w:color w:val="000000"/>
      <w:sz w:val="20"/>
      <w:szCs w:val="20"/>
    </w:rPr>
  </w:style>
  <w:style w:type="paragraph" w:styleId="13041" w:customStyle="1">
    <w:name w:val="xl5239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color w:val="000000"/>
      <w:sz w:val="20"/>
      <w:szCs w:val="20"/>
    </w:rPr>
  </w:style>
  <w:style w:type="paragraph" w:styleId="13042" w:customStyle="1">
    <w:name w:val="Обратный адрес"/>
    <w:basedOn w:val="10533"/>
    <w:uiPriority w:val="99"/>
    <w:semiHidden/>
    <w:qFormat/>
    <w:pPr>
      <w:keepLines w:val="true"/>
      <w:pBdr/>
      <w:tabs>
        <w:tab w:val="clear" w:leader="none" w:pos="708"/>
        <w:tab w:val="left" w:leader="none" w:pos="2160"/>
      </w:tabs>
      <w:spacing w:line="160" w:lineRule="atLeast"/>
      <w:ind w:firstLine="709"/>
      <w:jc w:val="both"/>
    </w:pPr>
    <w:rPr>
      <w:rFonts w:ascii="Arial" w:hAnsi="Arial" w:cs="Arial"/>
      <w:sz w:val="14"/>
      <w:szCs w:val="14"/>
      <w:lang w:eastAsia="en-US"/>
    </w:rPr>
  </w:style>
  <w:style w:type="paragraph" w:styleId="13043" w:customStyle="1">
    <w:name w:val="xl58938"/>
    <w:basedOn w:val="10533"/>
    <w:qFormat/>
    <w:pPr>
      <w:pBdr/>
      <w:spacing w:afterAutospacing="1" w:beforeAutospacing="1"/>
      <w:ind/>
      <w:jc w:val="center"/>
    </w:pPr>
    <w:rPr>
      <w:sz w:val="20"/>
      <w:szCs w:val="20"/>
    </w:rPr>
  </w:style>
  <w:style w:type="paragraph" w:styleId="13044" w:customStyle="1">
    <w:name w:val="xl58939"/>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45" w:customStyle="1">
    <w:name w:val="xl5894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46" w:customStyle="1">
    <w:name w:val="xl5894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47" w:customStyle="1">
    <w:name w:val="xl58942"/>
    <w:basedOn w:val="10533"/>
    <w:qFormat/>
    <w:pPr>
      <w:pBdr/>
      <w:spacing w:afterAutospacing="1" w:beforeAutospacing="1"/>
      <w:ind/>
      <w:jc w:val="center"/>
    </w:pPr>
    <w:rPr>
      <w:sz w:val="40"/>
      <w:szCs w:val="40"/>
    </w:rPr>
  </w:style>
  <w:style w:type="paragraph" w:styleId="13048" w:customStyle="1">
    <w:name w:val="xl58943"/>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color w:val="000000"/>
      <w:sz w:val="20"/>
      <w:szCs w:val="20"/>
    </w:rPr>
  </w:style>
  <w:style w:type="paragraph" w:styleId="13049" w:customStyle="1">
    <w:name w:val="xl58944"/>
    <w:basedOn w:val="10533"/>
    <w:qFormat/>
    <w:pPr>
      <w:pBdr>
        <w:top w:val="single" w:color="000000" w:sz="4" w:space="0"/>
        <w:left w:val="single" w:color="000000" w:sz="4" w:space="0"/>
        <w:bottom w:val="single" w:color="000000" w:sz="4" w:space="0"/>
        <w:right w:val="single" w:color="000000" w:sz="4" w:space="0"/>
      </w:pBdr>
      <w:spacing w:afterAutospacing="1" w:beforeAutospacing="1"/>
      <w:ind/>
      <w:jc w:val="center"/>
    </w:pPr>
    <w:rPr>
      <w:b/>
      <w:bCs/>
      <w:sz w:val="20"/>
      <w:szCs w:val="20"/>
    </w:rPr>
  </w:style>
  <w:style w:type="paragraph" w:styleId="13050" w:customStyle="1">
    <w:name w:val="xl58945"/>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51" w:customStyle="1">
    <w:name w:val="xl58946"/>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b/>
      <w:bCs/>
      <w:sz w:val="20"/>
      <w:szCs w:val="20"/>
    </w:rPr>
  </w:style>
  <w:style w:type="paragraph" w:styleId="13052" w:customStyle="1">
    <w:name w:val="xl58947"/>
    <w:basedOn w:val="10533"/>
    <w:qFormat/>
    <w:pPr>
      <w:pBdr/>
      <w:shd w:val="clear" w:color="000000" w:fill="a6a6a6"/>
      <w:spacing w:afterAutospacing="1" w:beforeAutospacing="1"/>
      <w:ind/>
      <w:jc w:val="right"/>
    </w:pPr>
    <w:rPr>
      <w:b/>
      <w:bCs/>
      <w:sz w:val="20"/>
      <w:szCs w:val="20"/>
    </w:rPr>
  </w:style>
  <w:style w:type="paragraph" w:styleId="13053" w:customStyle="1">
    <w:name w:val="xl58948"/>
    <w:basedOn w:val="10533"/>
    <w:qFormat/>
    <w:pPr>
      <w:pBdr>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3054" w:customStyle="1">
    <w:name w:val="xl58949"/>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right"/>
    </w:pPr>
    <w:rPr>
      <w:b/>
      <w:bCs/>
      <w:sz w:val="20"/>
      <w:szCs w:val="20"/>
    </w:rPr>
  </w:style>
  <w:style w:type="paragraph" w:styleId="13055" w:customStyle="1">
    <w:name w:val="xl58950"/>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3056" w:customStyle="1">
    <w:name w:val="xl58951"/>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57" w:customStyle="1">
    <w:name w:val="xl58952"/>
    <w:basedOn w:val="10533"/>
    <w:qFormat/>
    <w:pPr>
      <w:pBdr>
        <w:top w:val="single" w:color="000000" w:sz="4" w:space="0"/>
        <w:left w:val="single" w:color="000000" w:sz="4" w:space="0"/>
        <w:bottom w:val="single" w:color="000000" w:sz="4" w:space="0"/>
        <w:right w:val="single" w:color="000000" w:sz="4" w:space="0"/>
      </w:pBdr>
      <w:shd w:val="clear" w:color="000000" w:fill="a6a6a6"/>
      <w:spacing w:afterAutospacing="1" w:beforeAutospacing="1"/>
      <w:ind/>
      <w:jc w:val="center"/>
    </w:pPr>
    <w:rPr>
      <w:b/>
      <w:bCs/>
      <w:sz w:val="20"/>
      <w:szCs w:val="20"/>
    </w:rPr>
  </w:style>
  <w:style w:type="paragraph" w:styleId="13058" w:customStyle="1">
    <w:name w:val="xl58953"/>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59" w:customStyle="1">
    <w:name w:val="xl58954"/>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0" w:customStyle="1">
    <w:name w:val="xl58955"/>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1" w:customStyle="1">
    <w:name w:val="xl58956"/>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2" w:customStyle="1">
    <w:name w:val="xl58957"/>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3" w:customStyle="1">
    <w:name w:val="xl58958"/>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4" w:customStyle="1">
    <w:name w:val="xl58959"/>
    <w:basedOn w:val="10533"/>
    <w:qFormat/>
    <w:pPr>
      <w:pBdr>
        <w:top w:val="single" w:color="000000" w:sz="4" w:space="0"/>
        <w:left w:val="single" w:color="000000" w:sz="4" w:space="0"/>
        <w:bottom w:val="single" w:color="000000" w:sz="4" w:space="0"/>
        <w:right w:val="single" w:color="000000" w:sz="4" w:space="0"/>
      </w:pBdr>
      <w:shd w:val="clear" w:color="000000" w:fill="a6f73b"/>
      <w:spacing w:afterAutospacing="1" w:beforeAutospacing="1"/>
      <w:ind/>
      <w:jc w:val="center"/>
    </w:pPr>
    <w:rPr>
      <w:b/>
      <w:bCs/>
      <w:sz w:val="20"/>
      <w:szCs w:val="20"/>
    </w:rPr>
  </w:style>
  <w:style w:type="paragraph" w:styleId="13065" w:customStyle="1">
    <w:name w:val="xl58960"/>
    <w:basedOn w:val="10533"/>
    <w:qFormat/>
    <w:pPr>
      <w:pBdr>
        <w:top w:val="single" w:color="000000" w:sz="4" w:space="0"/>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6" w:customStyle="1">
    <w:name w:val="xl58961"/>
    <w:basedOn w:val="10533"/>
    <w:qFormat/>
    <w:pPr>
      <w:pBdr>
        <w:left w:val="single" w:color="000000" w:sz="4" w:space="0"/>
        <w:bottom w:val="single" w:color="000000" w:sz="4" w:space="0"/>
        <w:right w:val="single" w:color="000000" w:sz="4" w:space="0"/>
      </w:pBdr>
      <w:shd w:val="clear" w:color="000000" w:fill="ffffff"/>
      <w:spacing w:afterAutospacing="1" w:beforeAutospacing="1"/>
      <w:ind/>
      <w:jc w:val="center"/>
    </w:pPr>
    <w:rPr>
      <w:sz w:val="20"/>
      <w:szCs w:val="20"/>
    </w:rPr>
  </w:style>
  <w:style w:type="paragraph" w:styleId="13067">
    <w:name w:val="Заголовок таблицы"/>
    <w:basedOn w:val="13013"/>
    <w:qFormat/>
    <w:pPr>
      <w:pBdr/>
      <w:spacing/>
      <w:ind/>
    </w:pPr>
  </w:style>
  <w:style w:type="paragraph" w:styleId="13068">
    <w:name w:val="Closing"/>
    <w:basedOn w:val="11054"/>
    <w:pPr>
      <w:pBdr/>
      <w:spacing/>
      <w:ind/>
    </w:pPr>
  </w:style>
  <w:style w:type="paragraph" w:styleId="13069">
    <w:name w:val="Рисунок"/>
    <w:basedOn w:val="11057"/>
    <w:qFormat/>
    <w:pPr>
      <w:pBdr/>
      <w:spacing/>
      <w:ind/>
    </w:pPr>
  </w:style>
  <w:style w:type="paragraph" w:styleId="13070">
    <w:name w:val="Таблица"/>
    <w:basedOn w:val="11057"/>
    <w:qFormat/>
    <w:pPr>
      <w:pBdr/>
      <w:spacing/>
      <w:ind/>
    </w:pPr>
  </w:style>
  <w:style w:type="paragraph" w:styleId="13071">
    <w:name w:val="Верхний колонтитул слева"/>
    <w:basedOn w:val="11068"/>
    <w:qFormat/>
    <w:pPr>
      <w:pBdr/>
      <w:spacing/>
      <w:ind/>
    </w:pPr>
  </w:style>
  <w:style w:type="paragraph" w:styleId="13072">
    <w:name w:val="Содержимое врезки"/>
    <w:basedOn w:val="10533"/>
    <w:qFormat/>
    <w:pPr>
      <w:pBdr/>
      <w:spacing/>
      <w:ind/>
    </w:pPr>
  </w:style>
  <w:style w:type="numbering" w:styleId="13073">
    <w:name w:val="Без списка"/>
    <w:uiPriority w:val="99"/>
    <w:semiHidden/>
    <w:unhideWhenUsed/>
    <w:qFormat/>
    <w:pPr>
      <w:pBdr/>
      <w:spacing/>
      <w:ind/>
    </w:pPr>
  </w:style>
  <w:style w:type="numbering" w:styleId="13074">
    <w:name w:val="Outline List 2"/>
    <w:uiPriority w:val="99"/>
    <w:qFormat/>
    <w:pPr>
      <w:pBdr/>
      <w:spacing/>
      <w:ind/>
    </w:pPr>
  </w:style>
  <w:style w:type="numbering" w:styleId="13075" w:customStyle="1">
    <w:name w:val="Нет списка1"/>
    <w:uiPriority w:val="99"/>
    <w:semiHidden/>
    <w:unhideWhenUsed/>
    <w:qFormat/>
    <w:pPr>
      <w:pBdr/>
      <w:spacing/>
      <w:ind/>
    </w:pPr>
  </w:style>
  <w:style w:type="numbering" w:styleId="13078" w:customStyle="1">
    <w:name w:val="Стиль1"/>
    <w:uiPriority w:val="99"/>
    <w:qFormat/>
    <w:pPr>
      <w:pBdr/>
      <w:spacing/>
      <w:ind/>
    </w:pPr>
  </w:style>
  <w:style w:type="numbering" w:styleId="13079" w:customStyle="1">
    <w:name w:val="1 / 1.1 / 1.1.2"/>
    <w:qFormat/>
    <w:pPr>
      <w:pBdr/>
      <w:spacing/>
      <w:ind/>
    </w:pPr>
  </w:style>
  <w:style w:type="numbering" w:styleId="13080" w:customStyle="1">
    <w:name w:val="1 / 1.1 / 1.1.3"/>
    <w:qFormat/>
    <w:pPr>
      <w:pBdr/>
      <w:spacing/>
      <w:ind/>
    </w:pPr>
  </w:style>
  <w:style w:type="numbering" w:styleId="13081" w:customStyle="1">
    <w:name w:val="Нет списка2"/>
    <w:uiPriority w:val="99"/>
    <w:semiHidden/>
    <w:unhideWhenUsed/>
    <w:qFormat/>
    <w:pPr>
      <w:pBdr/>
      <w:spacing/>
      <w:ind/>
    </w:pPr>
  </w:style>
  <w:style w:type="numbering" w:styleId="13082" w:customStyle="1">
    <w:name w:val="1 / 1.1 / 1.1.4"/>
    <w:qFormat/>
    <w:pPr>
      <w:pBdr/>
      <w:spacing/>
      <w:ind/>
    </w:pPr>
  </w:style>
  <w:style w:type="numbering" w:styleId="13087" w:customStyle="1">
    <w:name w:val="Нет списка4"/>
    <w:uiPriority w:val="99"/>
    <w:semiHidden/>
    <w:unhideWhenUsed/>
    <w:qFormat/>
    <w:pPr>
      <w:pBdr/>
      <w:spacing/>
      <w:ind/>
    </w:pPr>
  </w:style>
  <w:style w:type="numbering" w:styleId="13089" w:customStyle="1">
    <w:name w:val="Нет списка6"/>
    <w:uiPriority w:val="99"/>
    <w:semiHidden/>
    <w:unhideWhenUsed/>
    <w:qFormat/>
    <w:pPr>
      <w:pBdr/>
      <w:spacing/>
      <w:ind/>
    </w:pPr>
  </w:style>
  <w:style w:type="numbering" w:styleId="13090" w:customStyle="1">
    <w:name w:val="Нет списка7"/>
    <w:uiPriority w:val="99"/>
    <w:semiHidden/>
    <w:unhideWhenUsed/>
    <w:qFormat/>
    <w:pPr>
      <w:pBdr/>
      <w:spacing/>
      <w:ind/>
    </w:pPr>
  </w:style>
  <w:style w:type="numbering" w:styleId="13091" w:customStyle="1">
    <w:name w:val="Нет списка8"/>
    <w:uiPriority w:val="99"/>
    <w:semiHidden/>
    <w:unhideWhenUsed/>
    <w:qFormat/>
    <w:pPr>
      <w:pBdr/>
      <w:spacing/>
      <w:ind/>
    </w:pPr>
  </w:style>
  <w:style w:type="numbering" w:styleId="13092" w:customStyle="1">
    <w:name w:val="Нет списка9"/>
    <w:uiPriority w:val="99"/>
    <w:semiHidden/>
    <w:unhideWhenUsed/>
    <w:qFormat/>
    <w:pPr>
      <w:pBdr/>
      <w:spacing/>
      <w:ind/>
    </w:pPr>
  </w:style>
  <w:style w:type="numbering" w:styleId="13093" w:customStyle="1">
    <w:name w:val="Заголовок 3 ур1"/>
    <w:uiPriority w:val="99"/>
    <w:qFormat/>
    <w:pPr>
      <w:pBdr/>
      <w:spacing/>
      <w:ind/>
    </w:pPr>
  </w:style>
  <w:style w:type="numbering" w:styleId="13094" w:customStyle="1">
    <w:name w:val="1 / 1.1 / 1.1.5"/>
    <w:unhideWhenUsed/>
    <w:qFormat/>
    <w:pPr>
      <w:pBdr/>
      <w:spacing/>
      <w:ind/>
    </w:pPr>
  </w:style>
  <w:style w:type="numbering" w:styleId="13099" w:customStyle="1">
    <w:name w:val="Стиль12"/>
    <w:uiPriority w:val="99"/>
    <w:qFormat/>
    <w:pPr>
      <w:pBdr/>
      <w:spacing/>
      <w:ind/>
    </w:pPr>
  </w:style>
  <w:style w:type="numbering" w:styleId="13100" w:customStyle="1">
    <w:name w:val="Нет списка12"/>
    <w:uiPriority w:val="99"/>
    <w:semiHidden/>
    <w:unhideWhenUsed/>
    <w:qFormat/>
    <w:pPr>
      <w:pBdr/>
      <w:spacing/>
      <w:ind/>
    </w:pPr>
  </w:style>
  <w:style w:type="numbering" w:styleId="13101" w:customStyle="1">
    <w:name w:val="Рис."/>
    <w:qFormat/>
    <w:pPr>
      <w:pBdr/>
      <w:spacing/>
      <w:ind/>
    </w:pPr>
  </w:style>
  <w:style w:type="numbering" w:styleId="13104" w:customStyle="1">
    <w:name w:val="Рис.1"/>
    <w:qFormat/>
    <w:pPr>
      <w:pBdr/>
      <w:spacing/>
      <w:ind/>
    </w:pPr>
  </w:style>
  <w:style w:type="numbering" w:styleId="13108" w:customStyle="1">
    <w:name w:val="Стиль13"/>
    <w:uiPriority w:val="99"/>
    <w:qFormat/>
    <w:pPr>
      <w:pBdr/>
      <w:spacing/>
      <w:ind/>
    </w:pPr>
  </w:style>
  <w:style w:type="numbering" w:styleId="13109" w:customStyle="1">
    <w:name w:val="Нет списка14"/>
    <w:uiPriority w:val="99"/>
    <w:semiHidden/>
    <w:unhideWhenUsed/>
    <w:qFormat/>
    <w:pPr>
      <w:pBdr/>
      <w:spacing/>
      <w:ind/>
    </w:pPr>
  </w:style>
  <w:style w:type="numbering" w:styleId="13110" w:customStyle="1">
    <w:name w:val="Рис.2"/>
    <w:qFormat/>
    <w:pPr>
      <w:pBdr/>
      <w:spacing/>
      <w:ind/>
    </w:pPr>
  </w:style>
  <w:style w:type="numbering" w:styleId="13112" w:customStyle="1">
    <w:name w:val="Нет списка23"/>
    <w:uiPriority w:val="99"/>
    <w:semiHidden/>
    <w:unhideWhenUsed/>
    <w:qFormat/>
    <w:pPr>
      <w:pBdr/>
      <w:spacing/>
      <w:ind/>
    </w:pPr>
  </w:style>
  <w:style w:type="numbering" w:styleId="13116" w:customStyle="1">
    <w:name w:val="Нет списка15"/>
    <w:uiPriority w:val="99"/>
    <w:semiHidden/>
    <w:unhideWhenUsed/>
    <w:qFormat/>
    <w:pPr>
      <w:pBdr/>
      <w:spacing/>
      <w:ind/>
    </w:pPr>
  </w:style>
  <w:style w:type="numbering" w:styleId="13117" w:customStyle="1">
    <w:name w:val="Нет списка16"/>
    <w:uiPriority w:val="99"/>
    <w:semiHidden/>
    <w:unhideWhenUsed/>
    <w:qFormat/>
    <w:pPr>
      <w:pBdr/>
      <w:spacing/>
      <w:ind/>
    </w:pPr>
  </w:style>
  <w:style w:type="numbering" w:styleId="13118" w:customStyle="1">
    <w:name w:val="Нет списка17"/>
    <w:uiPriority w:val="99"/>
    <w:semiHidden/>
    <w:unhideWhenUsed/>
    <w:qFormat/>
    <w:pPr>
      <w:pBdr/>
      <w:spacing/>
      <w:ind/>
    </w:pPr>
  </w:style>
  <w:style w:type="numbering" w:styleId="13119" w:customStyle="1">
    <w:name w:val="1 / 1.1 / 1.1.6"/>
    <w:qFormat/>
    <w:pPr>
      <w:pBdr/>
      <w:spacing/>
      <w:ind/>
    </w:pPr>
  </w:style>
  <w:style w:type="numbering" w:styleId="13124" w:customStyle="1">
    <w:name w:val="1 / 1.1 / 1.1.21"/>
    <w:qFormat/>
    <w:pPr>
      <w:pBdr/>
      <w:spacing/>
      <w:ind/>
    </w:pPr>
  </w:style>
  <w:style w:type="numbering" w:styleId="13125" w:customStyle="1">
    <w:name w:val="1 / 1.1 / 1.1.31"/>
    <w:qFormat/>
    <w:pPr>
      <w:pBdr/>
      <w:spacing/>
      <w:ind/>
    </w:pPr>
  </w:style>
  <w:style w:type="numbering" w:styleId="13126" w:customStyle="1">
    <w:name w:val="Нет списка24"/>
    <w:uiPriority w:val="99"/>
    <w:semiHidden/>
    <w:unhideWhenUsed/>
    <w:qFormat/>
    <w:pPr>
      <w:pBdr/>
      <w:spacing/>
      <w:ind/>
    </w:pPr>
  </w:style>
  <w:style w:type="numbering" w:styleId="13127" w:customStyle="1">
    <w:name w:val="1 / 1.1 / 1.1.41"/>
    <w:qFormat/>
    <w:pPr>
      <w:pBdr/>
      <w:spacing/>
      <w:ind/>
    </w:pPr>
  </w:style>
  <w:style w:type="numbering" w:styleId="13130" w:customStyle="1">
    <w:name w:val="Нет списка11111"/>
    <w:uiPriority w:val="99"/>
    <w:semiHidden/>
    <w:unhideWhenUsed/>
    <w:qFormat/>
    <w:pPr>
      <w:pBdr/>
      <w:spacing/>
      <w:ind/>
    </w:pPr>
  </w:style>
  <w:style w:type="numbering" w:styleId="13131" w:customStyle="1">
    <w:name w:val="Нет списка31"/>
    <w:semiHidden/>
    <w:unhideWhenUsed/>
    <w:qFormat/>
    <w:pPr>
      <w:pBdr/>
      <w:spacing/>
      <w:ind/>
    </w:pPr>
  </w:style>
  <w:style w:type="numbering" w:styleId="13132" w:customStyle="1">
    <w:name w:val="Нет списка41"/>
    <w:uiPriority w:val="99"/>
    <w:semiHidden/>
    <w:unhideWhenUsed/>
    <w:qFormat/>
    <w:pPr>
      <w:pBdr/>
      <w:spacing/>
      <w:ind/>
    </w:pPr>
  </w:style>
  <w:style w:type="numbering" w:styleId="13133" w:customStyle="1">
    <w:name w:val="Нет списка51"/>
    <w:uiPriority w:val="99"/>
    <w:semiHidden/>
    <w:unhideWhenUsed/>
    <w:qFormat/>
    <w:pPr>
      <w:pBdr/>
      <w:spacing/>
      <w:ind/>
    </w:pPr>
  </w:style>
  <w:style w:type="numbering" w:styleId="13134" w:customStyle="1">
    <w:name w:val="Нет списка61"/>
    <w:uiPriority w:val="99"/>
    <w:semiHidden/>
    <w:unhideWhenUsed/>
    <w:qFormat/>
    <w:pPr>
      <w:pBdr/>
      <w:spacing/>
      <w:ind/>
    </w:pPr>
  </w:style>
  <w:style w:type="numbering" w:styleId="13135" w:customStyle="1">
    <w:name w:val="Нет списка71"/>
    <w:uiPriority w:val="99"/>
    <w:semiHidden/>
    <w:unhideWhenUsed/>
    <w:qFormat/>
    <w:pPr>
      <w:pBdr/>
      <w:spacing/>
      <w:ind/>
    </w:pPr>
  </w:style>
  <w:style w:type="numbering" w:styleId="13136" w:customStyle="1">
    <w:name w:val="Нет списка81"/>
    <w:uiPriority w:val="99"/>
    <w:semiHidden/>
    <w:unhideWhenUsed/>
    <w:qFormat/>
    <w:pPr>
      <w:pBdr/>
      <w:spacing/>
      <w:ind/>
    </w:pPr>
  </w:style>
  <w:style w:type="numbering" w:styleId="13137" w:customStyle="1">
    <w:name w:val="Нет списка91"/>
    <w:uiPriority w:val="99"/>
    <w:semiHidden/>
    <w:unhideWhenUsed/>
    <w:qFormat/>
    <w:pPr>
      <w:pBdr/>
      <w:spacing/>
      <w:ind/>
    </w:pPr>
  </w:style>
  <w:style w:type="numbering" w:styleId="13138" w:customStyle="1">
    <w:name w:val="Заголовок 3 ур14"/>
    <w:uiPriority w:val="99"/>
    <w:qFormat/>
    <w:pPr>
      <w:pBdr/>
      <w:spacing/>
      <w:ind/>
    </w:pPr>
  </w:style>
  <w:style w:type="numbering" w:styleId="13139" w:customStyle="1">
    <w:name w:val="1 / 1.1 / 1.1.51"/>
    <w:semiHidden/>
    <w:unhideWhenUsed/>
    <w:qFormat/>
    <w:pPr>
      <w:pBdr/>
      <w:spacing/>
      <w:ind/>
    </w:pPr>
  </w:style>
  <w:style w:type="numbering" w:styleId="13143" w:customStyle="1">
    <w:name w:val="Нет списка101"/>
    <w:uiPriority w:val="99"/>
    <w:semiHidden/>
    <w:unhideWhenUsed/>
    <w:qFormat/>
    <w:pPr>
      <w:pBdr/>
      <w:spacing/>
      <w:ind/>
    </w:pPr>
  </w:style>
  <w:style w:type="numbering" w:styleId="13145" w:customStyle="1">
    <w:name w:val="Нет списка123"/>
    <w:uiPriority w:val="99"/>
    <w:semiHidden/>
    <w:unhideWhenUsed/>
    <w:qFormat/>
    <w:pPr>
      <w:pBdr/>
      <w:spacing/>
      <w:ind/>
    </w:pPr>
  </w:style>
  <w:style w:type="numbering" w:styleId="13146" w:customStyle="1">
    <w:name w:val="Рис.3"/>
    <w:qFormat/>
    <w:pPr>
      <w:pBdr/>
      <w:spacing/>
      <w:ind/>
    </w:pPr>
  </w:style>
  <w:style w:type="numbering" w:styleId="13150" w:customStyle="1">
    <w:name w:val="Нет списка1211"/>
    <w:uiPriority w:val="99"/>
    <w:semiHidden/>
    <w:unhideWhenUsed/>
    <w:qFormat/>
    <w:pPr>
      <w:pBdr/>
      <w:spacing/>
      <w:ind/>
    </w:pPr>
  </w:style>
  <w:style w:type="numbering" w:styleId="13151" w:customStyle="1">
    <w:name w:val="Заголовок 3 ур121"/>
    <w:uiPriority w:val="99"/>
    <w:qFormat/>
    <w:pPr>
      <w:pBdr/>
      <w:spacing/>
      <w:ind/>
    </w:pPr>
  </w:style>
  <w:style w:type="numbering" w:styleId="13152" w:customStyle="1">
    <w:name w:val="Нет списка131"/>
    <w:uiPriority w:val="99"/>
    <w:semiHidden/>
    <w:unhideWhenUsed/>
    <w:qFormat/>
    <w:pPr>
      <w:pBdr/>
      <w:spacing/>
      <w:ind/>
    </w:pPr>
  </w:style>
  <w:style w:type="numbering" w:styleId="13153" w:customStyle="1">
    <w:name w:val="Стиль131"/>
    <w:uiPriority w:val="99"/>
    <w:qFormat/>
    <w:pPr>
      <w:pBdr/>
      <w:spacing/>
      <w:ind/>
    </w:pPr>
  </w:style>
  <w:style w:type="numbering" w:styleId="13154" w:customStyle="1">
    <w:name w:val="Нет списка141"/>
    <w:uiPriority w:val="99"/>
    <w:semiHidden/>
    <w:unhideWhenUsed/>
    <w:qFormat/>
    <w:pPr>
      <w:pBdr/>
      <w:spacing/>
      <w:ind/>
    </w:pPr>
  </w:style>
  <w:style w:type="numbering" w:styleId="13157" w:customStyle="1">
    <w:name w:val="Нет списка231"/>
    <w:uiPriority w:val="99"/>
    <w:semiHidden/>
    <w:unhideWhenUsed/>
    <w:qFormat/>
    <w:pPr>
      <w:pBdr/>
      <w:spacing/>
      <w:ind/>
    </w:pPr>
  </w:style>
  <w:style w:type="numbering" w:styleId="13160" w:customStyle="1">
    <w:name w:val="Заголовок 3 ур131"/>
    <w:uiPriority w:val="99"/>
    <w:qFormat/>
    <w:pPr>
      <w:pBdr/>
      <w:spacing/>
      <w:ind/>
    </w:pPr>
  </w:style>
  <w:style w:type="numbering" w:styleId="13161" w:customStyle="1">
    <w:name w:val="Нет списка311"/>
    <w:semiHidden/>
    <w:qFormat/>
    <w:pPr>
      <w:pBdr/>
      <w:spacing/>
      <w:ind/>
    </w:pPr>
  </w:style>
  <w:style w:type="numbering" w:styleId="13162" w:customStyle="1">
    <w:name w:val="Нет списка151"/>
    <w:uiPriority w:val="99"/>
    <w:semiHidden/>
    <w:unhideWhenUsed/>
    <w:qFormat/>
    <w:pPr>
      <w:pBdr/>
      <w:spacing/>
      <w:ind/>
    </w:pPr>
  </w:style>
  <w:style w:type="numbering" w:styleId="13163" w:customStyle="1">
    <w:name w:val="Нет списка161"/>
    <w:uiPriority w:val="99"/>
    <w:semiHidden/>
    <w:unhideWhenUsed/>
    <w:qFormat/>
    <w:pPr>
      <w:pBdr/>
      <w:spacing/>
      <w:ind/>
    </w:pPr>
  </w:style>
  <w:style w:type="numbering" w:styleId="13165" w:customStyle="1">
    <w:name w:val="1 / 1.1 / 1.1.61"/>
    <w:qFormat/>
    <w:pPr>
      <w:pBdr/>
      <w:spacing/>
      <w:ind/>
    </w:pPr>
  </w:style>
  <w:style w:type="numbering" w:styleId="13167" w:customStyle="1">
    <w:name w:val="Заголовок 2 уровень21"/>
    <w:uiPriority w:val="99"/>
    <w:qFormat/>
    <w:pPr>
      <w:pBdr/>
      <w:spacing/>
      <w:ind/>
    </w:pPr>
  </w:style>
  <w:style w:type="numbering" w:styleId="13169" w:customStyle="1">
    <w:name w:val="Стиль141"/>
    <w:uiPriority w:val="99"/>
    <w:qFormat/>
    <w:pPr>
      <w:pBdr/>
      <w:spacing/>
      <w:ind/>
    </w:pPr>
  </w:style>
  <w:style w:type="numbering" w:styleId="13170" w:customStyle="1">
    <w:name w:val="1 / 1.1 / 1.1.211"/>
    <w:qFormat/>
    <w:pPr>
      <w:pBdr/>
      <w:spacing/>
      <w:ind/>
    </w:pPr>
  </w:style>
  <w:style w:type="numbering" w:styleId="13171" w:customStyle="1">
    <w:name w:val="1 / 1.1 / 1.1.311"/>
    <w:qFormat/>
    <w:pPr>
      <w:pBdr/>
      <w:spacing/>
      <w:ind/>
    </w:pPr>
  </w:style>
  <w:style w:type="numbering" w:styleId="13172" w:customStyle="1">
    <w:name w:val="Нет списка241"/>
    <w:uiPriority w:val="99"/>
    <w:semiHidden/>
    <w:unhideWhenUsed/>
    <w:qFormat/>
    <w:pPr>
      <w:pBdr/>
      <w:spacing/>
      <w:ind/>
    </w:pPr>
  </w:style>
  <w:style w:type="numbering" w:styleId="13173" w:customStyle="1">
    <w:name w:val="1 / 1.1 / 1.1.411"/>
    <w:qFormat/>
    <w:pPr>
      <w:pBdr/>
      <w:spacing/>
      <w:ind/>
    </w:pPr>
  </w:style>
  <w:style w:type="numbering" w:styleId="13178" w:customStyle="1">
    <w:name w:val="Нет списка411"/>
    <w:uiPriority w:val="99"/>
    <w:semiHidden/>
    <w:unhideWhenUsed/>
    <w:qFormat/>
    <w:pPr>
      <w:pBdr/>
      <w:spacing/>
      <w:ind/>
    </w:pPr>
  </w:style>
  <w:style w:type="numbering" w:styleId="13180" w:customStyle="1">
    <w:name w:val="Нет списка611"/>
    <w:uiPriority w:val="99"/>
    <w:semiHidden/>
    <w:unhideWhenUsed/>
    <w:qFormat/>
    <w:pPr>
      <w:pBdr/>
      <w:spacing/>
      <w:ind/>
    </w:pPr>
  </w:style>
  <w:style w:type="numbering" w:styleId="13181" w:customStyle="1">
    <w:name w:val="Нет списка711"/>
    <w:uiPriority w:val="99"/>
    <w:semiHidden/>
    <w:unhideWhenUsed/>
    <w:qFormat/>
    <w:pPr>
      <w:pBdr/>
      <w:spacing/>
      <w:ind/>
    </w:pPr>
  </w:style>
  <w:style w:type="numbering" w:styleId="13183" w:customStyle="1">
    <w:name w:val="Нет списка911"/>
    <w:uiPriority w:val="99"/>
    <w:semiHidden/>
    <w:unhideWhenUsed/>
    <w:qFormat/>
    <w:pPr>
      <w:pBdr/>
      <w:spacing/>
      <w:ind/>
    </w:pPr>
  </w:style>
  <w:style w:type="numbering" w:styleId="13184" w:customStyle="1">
    <w:name w:val="Заголовок 3 ур141"/>
    <w:uiPriority w:val="99"/>
    <w:qFormat/>
    <w:pPr>
      <w:pBdr/>
      <w:spacing/>
      <w:ind/>
    </w:pPr>
  </w:style>
  <w:style w:type="numbering" w:styleId="13185" w:customStyle="1">
    <w:name w:val="1 / 1.1 / 1.1.511"/>
    <w:semiHidden/>
    <w:unhideWhenUsed/>
    <w:qFormat/>
    <w:pPr>
      <w:pBdr/>
      <w:spacing/>
      <w:ind/>
    </w:pPr>
  </w:style>
  <w:style w:type="numbering" w:styleId="13186" w:customStyle="1">
    <w:name w:val="Стиль1111"/>
    <w:uiPriority w:val="99"/>
    <w:qFormat/>
    <w:pPr>
      <w:pBdr/>
      <w:spacing/>
      <w:ind/>
    </w:pPr>
  </w:style>
  <w:style w:type="numbering" w:styleId="13188" w:customStyle="1">
    <w:name w:val="Заголовок 3 ур1111"/>
    <w:uiPriority w:val="99"/>
    <w:qFormat/>
    <w:pPr>
      <w:pBdr/>
      <w:spacing/>
      <w:ind/>
    </w:pPr>
  </w:style>
  <w:style w:type="numbering" w:styleId="13189" w:customStyle="1">
    <w:name w:val="Нет списка1011"/>
    <w:uiPriority w:val="99"/>
    <w:semiHidden/>
    <w:unhideWhenUsed/>
    <w:qFormat/>
    <w:pPr>
      <w:pBdr/>
      <w:spacing/>
      <w:ind/>
    </w:pPr>
  </w:style>
  <w:style w:type="numbering" w:styleId="13191" w:customStyle="1">
    <w:name w:val="Нет списка1231"/>
    <w:uiPriority w:val="99"/>
    <w:semiHidden/>
    <w:unhideWhenUsed/>
    <w:qFormat/>
    <w:pPr>
      <w:pBdr/>
      <w:spacing/>
      <w:ind/>
    </w:pPr>
  </w:style>
  <w:style w:type="numbering" w:styleId="13192" w:customStyle="1">
    <w:name w:val="Рис.31"/>
    <w:qFormat/>
    <w:pPr>
      <w:pBdr/>
      <w:spacing/>
      <w:ind/>
    </w:pPr>
  </w:style>
  <w:style w:type="numbering" w:styleId="13194" w:customStyle="1">
    <w:name w:val="Нет списка2211"/>
    <w:uiPriority w:val="99"/>
    <w:semiHidden/>
    <w:unhideWhenUsed/>
    <w:qFormat/>
    <w:pPr>
      <w:pBdr/>
      <w:spacing/>
      <w:ind/>
    </w:pPr>
  </w:style>
  <w:style w:type="numbering" w:styleId="13195" w:customStyle="1">
    <w:name w:val="Рис.121"/>
    <w:qFormat/>
    <w:pPr>
      <w:pBdr/>
      <w:spacing/>
      <w:ind/>
    </w:pPr>
  </w:style>
  <w:style w:type="numbering" w:styleId="13196" w:customStyle="1">
    <w:name w:val="Нет списка12111"/>
    <w:uiPriority w:val="99"/>
    <w:semiHidden/>
    <w:unhideWhenUsed/>
    <w:qFormat/>
    <w:pPr>
      <w:pBdr/>
      <w:spacing/>
      <w:ind/>
    </w:pPr>
  </w:style>
  <w:style w:type="numbering" w:styleId="13197" w:customStyle="1">
    <w:name w:val="Заголовок 3 ур1211"/>
    <w:uiPriority w:val="99"/>
    <w:qFormat/>
    <w:pPr>
      <w:pBdr/>
      <w:spacing/>
      <w:ind/>
    </w:pPr>
  </w:style>
  <w:style w:type="numbering" w:styleId="13199" w:customStyle="1">
    <w:name w:val="Стиль1311"/>
    <w:uiPriority w:val="99"/>
    <w:qFormat/>
    <w:pPr>
      <w:pBdr/>
      <w:spacing/>
      <w:ind/>
    </w:pPr>
  </w:style>
  <w:style w:type="numbering" w:styleId="13200" w:customStyle="1">
    <w:name w:val="Нет списка1411"/>
    <w:uiPriority w:val="99"/>
    <w:semiHidden/>
    <w:unhideWhenUsed/>
    <w:qFormat/>
    <w:pPr>
      <w:pBdr/>
      <w:spacing/>
      <w:ind/>
    </w:pPr>
  </w:style>
  <w:style w:type="numbering" w:styleId="13203" w:customStyle="1">
    <w:name w:val="Нет списка2311"/>
    <w:uiPriority w:val="99"/>
    <w:semiHidden/>
    <w:unhideWhenUsed/>
    <w:qFormat/>
    <w:pPr>
      <w:pBdr/>
      <w:spacing/>
      <w:ind/>
    </w:pPr>
  </w:style>
  <w:style w:type="numbering" w:styleId="13204" w:customStyle="1">
    <w:name w:val="Рис.1111"/>
    <w:qFormat/>
    <w:pPr>
      <w:pBdr/>
      <w:spacing/>
      <w:ind/>
    </w:pPr>
  </w:style>
  <w:style w:type="numbering" w:styleId="13205" w:customStyle="1">
    <w:name w:val="Нет списка12211"/>
    <w:uiPriority w:val="99"/>
    <w:semiHidden/>
    <w:unhideWhenUsed/>
    <w:qFormat/>
    <w:pPr>
      <w:pBdr/>
      <w:spacing/>
      <w:ind/>
    </w:pPr>
  </w:style>
  <w:style w:type="numbering" w:styleId="13206" w:customStyle="1">
    <w:name w:val="Заголовок 3 ур1311"/>
    <w:uiPriority w:val="99"/>
    <w:qFormat/>
    <w:pPr>
      <w:pBdr/>
      <w:spacing/>
      <w:ind/>
    </w:pPr>
  </w:style>
  <w:style w:type="numbering" w:styleId="13208" w:customStyle="1">
    <w:name w:val="Нет списка18"/>
    <w:uiPriority w:val="99"/>
    <w:semiHidden/>
    <w:unhideWhenUsed/>
    <w:qFormat/>
    <w:pPr>
      <w:pBdr/>
      <w:spacing/>
      <w:ind/>
    </w:pPr>
  </w:style>
  <w:style w:type="numbering" w:styleId="13209" w:customStyle="1">
    <w:name w:val="Нет списка19"/>
    <w:uiPriority w:val="99"/>
    <w:semiHidden/>
    <w:unhideWhenUsed/>
    <w:qFormat/>
    <w:pPr>
      <w:pBdr/>
      <w:spacing/>
      <w:ind/>
    </w:pPr>
  </w:style>
  <w:style w:type="numbering" w:styleId="13210" w:customStyle="1">
    <w:name w:val="1 / 1.1 / 1.1.7"/>
    <w:qFormat/>
    <w:pPr>
      <w:pBdr/>
      <w:spacing/>
      <w:ind/>
    </w:pPr>
  </w:style>
  <w:style w:type="numbering" w:styleId="13212" w:customStyle="1">
    <w:name w:val="Заголовок 2 уровень3"/>
    <w:uiPriority w:val="99"/>
    <w:qFormat/>
    <w:pPr>
      <w:pBdr/>
      <w:spacing/>
      <w:ind/>
    </w:pPr>
  </w:style>
  <w:style w:type="numbering" w:styleId="13213" w:customStyle="1">
    <w:name w:val="Заголовок 3 ур3"/>
    <w:uiPriority w:val="99"/>
    <w:qFormat/>
    <w:pPr>
      <w:pBdr/>
      <w:spacing/>
      <w:ind/>
    </w:pPr>
  </w:style>
  <w:style w:type="numbering" w:styleId="13214" w:customStyle="1">
    <w:name w:val="Стиль15"/>
    <w:uiPriority w:val="99"/>
    <w:qFormat/>
    <w:pPr>
      <w:pBdr/>
      <w:spacing/>
      <w:ind/>
    </w:pPr>
  </w:style>
  <w:style w:type="numbering" w:styleId="13215" w:customStyle="1">
    <w:name w:val="1 / 1.1 / 1.1.22"/>
    <w:qFormat/>
    <w:pPr>
      <w:pBdr/>
      <w:spacing/>
      <w:ind/>
    </w:pPr>
  </w:style>
  <w:style w:type="numbering" w:styleId="13216" w:customStyle="1">
    <w:name w:val="1 / 1.1 / 1.1.32"/>
    <w:qFormat/>
    <w:pPr>
      <w:pBdr/>
      <w:spacing/>
      <w:ind/>
    </w:pPr>
  </w:style>
  <w:style w:type="numbering" w:styleId="13218" w:customStyle="1">
    <w:name w:val="1 / 1.1 / 1.1.42"/>
    <w:qFormat/>
    <w:pPr>
      <w:pBdr/>
      <w:spacing/>
      <w:ind/>
    </w:pPr>
  </w:style>
  <w:style w:type="numbering" w:styleId="13220" w:customStyle="1">
    <w:name w:val="Нет списка212"/>
    <w:uiPriority w:val="99"/>
    <w:semiHidden/>
    <w:unhideWhenUsed/>
    <w:qFormat/>
    <w:pPr>
      <w:pBdr/>
      <w:spacing/>
      <w:ind/>
    </w:pPr>
  </w:style>
  <w:style w:type="numbering" w:styleId="13222" w:customStyle="1">
    <w:name w:val="Нет списка33"/>
    <w:semiHidden/>
    <w:unhideWhenUsed/>
    <w:qFormat/>
    <w:pPr>
      <w:pBdr/>
      <w:spacing/>
      <w:ind/>
    </w:pPr>
  </w:style>
  <w:style w:type="numbering" w:styleId="13225" w:customStyle="1">
    <w:name w:val="Нет списка62"/>
    <w:uiPriority w:val="99"/>
    <w:semiHidden/>
    <w:unhideWhenUsed/>
    <w:qFormat/>
    <w:pPr>
      <w:pBdr/>
      <w:spacing/>
      <w:ind/>
    </w:pPr>
  </w:style>
  <w:style w:type="numbering" w:styleId="13230" w:customStyle="1">
    <w:name w:val="1 / 1.1 / 1.1.52"/>
    <w:unhideWhenUsed/>
    <w:qFormat/>
    <w:pPr>
      <w:pBdr/>
      <w:spacing/>
      <w:ind/>
    </w:pPr>
  </w:style>
  <w:style w:type="numbering" w:styleId="13231" w:customStyle="1">
    <w:name w:val="Стиль112"/>
    <w:uiPriority w:val="99"/>
    <w:qFormat/>
    <w:pPr>
      <w:pBdr/>
      <w:spacing/>
      <w:ind/>
    </w:pPr>
  </w:style>
  <w:style w:type="numbering" w:styleId="13232" w:customStyle="1">
    <w:name w:val="Заголовок 2 уровень12"/>
    <w:uiPriority w:val="99"/>
    <w:qFormat/>
    <w:pPr>
      <w:pBdr/>
      <w:spacing/>
      <w:ind/>
    </w:pPr>
  </w:style>
  <w:style w:type="numbering" w:styleId="13234" w:customStyle="1">
    <w:name w:val="Нет списка102"/>
    <w:uiPriority w:val="99"/>
    <w:semiHidden/>
    <w:unhideWhenUsed/>
    <w:qFormat/>
    <w:pPr>
      <w:pBdr/>
      <w:spacing/>
      <w:ind/>
    </w:pPr>
  </w:style>
  <w:style w:type="numbering" w:styleId="13236" w:customStyle="1">
    <w:name w:val="Нет списка124"/>
    <w:uiPriority w:val="99"/>
    <w:semiHidden/>
    <w:unhideWhenUsed/>
    <w:qFormat/>
    <w:pPr>
      <w:pBdr/>
      <w:spacing/>
      <w:ind/>
    </w:pPr>
  </w:style>
  <w:style w:type="numbering" w:styleId="13237" w:customStyle="1">
    <w:name w:val="Рис.4"/>
    <w:qFormat/>
    <w:pPr>
      <w:pBdr/>
      <w:spacing/>
      <w:ind/>
    </w:pPr>
  </w:style>
  <w:style w:type="numbering" w:styleId="13240" w:customStyle="1">
    <w:name w:val="Рис.13"/>
    <w:qFormat/>
    <w:pPr>
      <w:pBdr/>
      <w:spacing/>
      <w:ind/>
    </w:pPr>
  </w:style>
  <w:style w:type="numbering" w:styleId="13246" w:customStyle="1">
    <w:name w:val="Рис.22"/>
    <w:qFormat/>
    <w:pPr>
      <w:pBdr/>
      <w:spacing/>
      <w:ind/>
    </w:pPr>
  </w:style>
  <w:style w:type="numbering" w:styleId="13248" w:customStyle="1">
    <w:name w:val="Нет списка232"/>
    <w:uiPriority w:val="99"/>
    <w:semiHidden/>
    <w:unhideWhenUsed/>
    <w:qFormat/>
    <w:pPr>
      <w:pBdr/>
      <w:spacing/>
      <w:ind/>
    </w:pPr>
  </w:style>
  <w:style w:type="numbering" w:styleId="13251" w:customStyle="1">
    <w:name w:val="Заголовок 3 ур132"/>
    <w:uiPriority w:val="99"/>
    <w:qFormat/>
    <w:pPr>
      <w:pBdr/>
      <w:spacing/>
      <w:ind/>
    </w:pPr>
  </w:style>
  <w:style w:type="numbering" w:styleId="13254" w:customStyle="1">
    <w:name w:val="Нет списка162"/>
    <w:uiPriority w:val="99"/>
    <w:semiHidden/>
    <w:unhideWhenUsed/>
    <w:qFormat/>
    <w:pPr>
      <w:pBdr/>
      <w:spacing/>
      <w:ind/>
    </w:pPr>
  </w:style>
  <w:style w:type="numbering" w:styleId="13255" w:customStyle="1">
    <w:name w:val="Нет списка1142"/>
    <w:uiPriority w:val="99"/>
    <w:semiHidden/>
    <w:unhideWhenUsed/>
    <w:qFormat/>
    <w:pPr>
      <w:pBdr/>
      <w:spacing/>
      <w:ind/>
    </w:pPr>
  </w:style>
  <w:style w:type="numbering" w:styleId="13256" w:customStyle="1">
    <w:name w:val="1 / 1.1 / 1.1.62"/>
    <w:qFormat/>
    <w:pPr>
      <w:pBdr/>
      <w:spacing/>
      <w:ind/>
    </w:pPr>
  </w:style>
  <w:style w:type="numbering" w:styleId="13260" w:customStyle="1">
    <w:name w:val="Стиль142"/>
    <w:uiPriority w:val="99"/>
    <w:qFormat/>
    <w:pPr>
      <w:pBdr/>
      <w:spacing/>
      <w:ind/>
    </w:pPr>
  </w:style>
  <w:style w:type="numbering" w:styleId="13261" w:customStyle="1">
    <w:name w:val="1 / 1.1 / 1.1.212"/>
    <w:qFormat/>
    <w:pPr>
      <w:pBdr/>
      <w:spacing/>
      <w:ind/>
    </w:pPr>
  </w:style>
  <w:style w:type="numbering" w:styleId="13262" w:customStyle="1">
    <w:name w:val="1 / 1.1 / 1.1.312"/>
    <w:qFormat/>
    <w:pPr>
      <w:pBdr/>
      <w:spacing/>
      <w:ind/>
    </w:pPr>
  </w:style>
  <w:style w:type="numbering" w:styleId="13263" w:customStyle="1">
    <w:name w:val="Нет списка242"/>
    <w:uiPriority w:val="99"/>
    <w:semiHidden/>
    <w:unhideWhenUsed/>
    <w:qFormat/>
    <w:pPr>
      <w:pBdr/>
      <w:spacing/>
      <w:ind/>
    </w:pPr>
  </w:style>
  <w:style w:type="numbering" w:styleId="13264" w:customStyle="1">
    <w:name w:val="1 / 1.1 / 1.1.412"/>
    <w:qFormat/>
    <w:pPr>
      <w:pBdr/>
      <w:spacing/>
      <w:ind/>
    </w:pPr>
  </w:style>
  <w:style w:type="numbering" w:styleId="13265" w:customStyle="1">
    <w:name w:val="Нет списка111112"/>
    <w:uiPriority w:val="99"/>
    <w:semiHidden/>
    <w:unhideWhenUsed/>
    <w:qFormat/>
    <w:pPr>
      <w:pBdr/>
      <w:spacing/>
      <w:ind/>
    </w:pPr>
  </w:style>
  <w:style w:type="numbering" w:styleId="13267" w:customStyle="1">
    <w:name w:val="Нет списка1111112"/>
    <w:uiPriority w:val="99"/>
    <w:semiHidden/>
    <w:unhideWhenUsed/>
    <w:qFormat/>
    <w:pPr>
      <w:pBdr/>
      <w:spacing/>
      <w:ind/>
    </w:pPr>
  </w:style>
  <w:style w:type="numbering" w:styleId="13268" w:customStyle="1">
    <w:name w:val="Нет списка321"/>
    <w:semiHidden/>
    <w:unhideWhenUsed/>
    <w:qFormat/>
    <w:pPr>
      <w:pBdr/>
      <w:spacing/>
      <w:ind/>
    </w:pPr>
  </w:style>
  <w:style w:type="numbering" w:styleId="13271" w:customStyle="1">
    <w:name w:val="Нет списка612"/>
    <w:uiPriority w:val="99"/>
    <w:semiHidden/>
    <w:unhideWhenUsed/>
    <w:qFormat/>
    <w:pPr>
      <w:pBdr/>
      <w:spacing/>
      <w:ind/>
    </w:pPr>
  </w:style>
  <w:style w:type="numbering" w:styleId="13272" w:customStyle="1">
    <w:name w:val="Нет списка712"/>
    <w:uiPriority w:val="99"/>
    <w:semiHidden/>
    <w:unhideWhenUsed/>
    <w:qFormat/>
    <w:pPr>
      <w:pBdr/>
      <w:spacing/>
      <w:ind/>
    </w:pPr>
  </w:style>
  <w:style w:type="numbering" w:styleId="13273" w:customStyle="1">
    <w:name w:val="Нет списка812"/>
    <w:uiPriority w:val="99"/>
    <w:semiHidden/>
    <w:unhideWhenUsed/>
    <w:qFormat/>
    <w:pPr>
      <w:pBdr/>
      <w:spacing/>
      <w:ind/>
    </w:pPr>
  </w:style>
  <w:style w:type="numbering" w:styleId="13274" w:customStyle="1">
    <w:name w:val="Нет списка912"/>
    <w:uiPriority w:val="99"/>
    <w:semiHidden/>
    <w:unhideWhenUsed/>
    <w:qFormat/>
    <w:pPr>
      <w:pBdr/>
      <w:spacing/>
      <w:ind/>
    </w:pPr>
  </w:style>
  <w:style w:type="numbering" w:styleId="13275" w:customStyle="1">
    <w:name w:val="Заголовок 3 ур142"/>
    <w:uiPriority w:val="99"/>
    <w:qFormat/>
    <w:pPr>
      <w:pBdr/>
      <w:spacing/>
      <w:ind/>
    </w:pPr>
  </w:style>
  <w:style w:type="numbering" w:styleId="13276" w:customStyle="1">
    <w:name w:val="1 / 1.1 / 1.1.512"/>
    <w:semiHidden/>
    <w:unhideWhenUsed/>
    <w:qFormat/>
    <w:pPr>
      <w:pBdr/>
      <w:spacing/>
      <w:ind/>
    </w:pPr>
  </w:style>
  <w:style w:type="numbering" w:styleId="13279" w:customStyle="1">
    <w:name w:val="Заголовок 3 ур1112"/>
    <w:uiPriority w:val="99"/>
    <w:qFormat/>
    <w:pPr>
      <w:pBdr/>
      <w:spacing/>
      <w:ind/>
    </w:pPr>
  </w:style>
  <w:style w:type="numbering" w:styleId="13280" w:customStyle="1">
    <w:name w:val="Нет списка1012"/>
    <w:uiPriority w:val="99"/>
    <w:semiHidden/>
    <w:unhideWhenUsed/>
    <w:qFormat/>
    <w:pPr>
      <w:pBdr/>
      <w:spacing/>
      <w:ind/>
    </w:pPr>
  </w:style>
  <w:style w:type="numbering" w:styleId="13281" w:customStyle="1">
    <w:name w:val="Стиль1212"/>
    <w:uiPriority w:val="99"/>
    <w:qFormat/>
    <w:pPr>
      <w:pBdr/>
      <w:spacing/>
      <w:ind/>
    </w:pPr>
  </w:style>
  <w:style w:type="numbering" w:styleId="13283" w:customStyle="1">
    <w:name w:val="Рис.32"/>
    <w:qFormat/>
    <w:pPr>
      <w:pBdr/>
      <w:spacing/>
      <w:ind/>
    </w:pPr>
  </w:style>
  <w:style w:type="numbering" w:styleId="13285" w:customStyle="1">
    <w:name w:val="Нет списка2212"/>
    <w:uiPriority w:val="99"/>
    <w:semiHidden/>
    <w:unhideWhenUsed/>
    <w:qFormat/>
    <w:pPr>
      <w:pBdr/>
      <w:spacing/>
      <w:ind/>
    </w:pPr>
  </w:style>
  <w:style w:type="numbering" w:styleId="13287" w:customStyle="1">
    <w:name w:val="Нет списка12112"/>
    <w:uiPriority w:val="99"/>
    <w:semiHidden/>
    <w:unhideWhenUsed/>
    <w:qFormat/>
    <w:pPr>
      <w:pBdr/>
      <w:spacing/>
      <w:ind/>
    </w:pPr>
  </w:style>
  <w:style w:type="numbering" w:styleId="13288" w:customStyle="1">
    <w:name w:val="Заголовок 3 ур1212"/>
    <w:uiPriority w:val="99"/>
    <w:qFormat/>
    <w:pPr>
      <w:pBdr/>
      <w:spacing/>
      <w:ind/>
    </w:pPr>
  </w:style>
  <w:style w:type="numbering" w:styleId="13290" w:customStyle="1">
    <w:name w:val="Стиль1312"/>
    <w:uiPriority w:val="99"/>
    <w:qFormat/>
    <w:pPr>
      <w:pBdr/>
      <w:spacing/>
      <w:ind/>
    </w:pPr>
  </w:style>
  <w:style w:type="numbering" w:styleId="13291" w:customStyle="1">
    <w:name w:val="Нет списка1412"/>
    <w:uiPriority w:val="99"/>
    <w:semiHidden/>
    <w:unhideWhenUsed/>
    <w:qFormat/>
    <w:pPr>
      <w:pBdr/>
      <w:spacing/>
      <w:ind/>
    </w:pPr>
  </w:style>
  <w:style w:type="numbering" w:styleId="13292" w:customStyle="1">
    <w:name w:val="Рис.212"/>
    <w:qFormat/>
    <w:pPr>
      <w:pBdr/>
      <w:spacing/>
      <w:ind/>
    </w:pPr>
  </w:style>
  <w:style w:type="numbering" w:styleId="13293" w:customStyle="1">
    <w:name w:val="Нет списка11312"/>
    <w:uiPriority w:val="99"/>
    <w:semiHidden/>
    <w:unhideWhenUsed/>
    <w:qFormat/>
    <w:pPr>
      <w:pBdr/>
      <w:spacing/>
      <w:ind/>
    </w:pPr>
  </w:style>
  <w:style w:type="numbering" w:styleId="13294" w:customStyle="1">
    <w:name w:val="Нет списка2312"/>
    <w:uiPriority w:val="99"/>
    <w:semiHidden/>
    <w:unhideWhenUsed/>
    <w:qFormat/>
    <w:pPr>
      <w:pBdr/>
      <w:spacing/>
      <w:ind/>
    </w:pPr>
  </w:style>
  <w:style w:type="numbering" w:styleId="13295" w:customStyle="1">
    <w:name w:val="Рис.1112"/>
    <w:qFormat/>
    <w:pPr>
      <w:pBdr/>
      <w:spacing/>
      <w:ind/>
    </w:pPr>
  </w:style>
  <w:style w:type="numbering" w:styleId="13297" w:customStyle="1">
    <w:name w:val="Заголовок 3 ур1312"/>
    <w:uiPriority w:val="99"/>
    <w:qFormat/>
    <w:pPr>
      <w:pBdr/>
      <w:spacing/>
      <w:ind/>
    </w:pPr>
  </w:style>
  <w:style w:type="numbering" w:styleId="13299" w:customStyle="1">
    <w:name w:val="Нет списка20"/>
    <w:uiPriority w:val="99"/>
    <w:semiHidden/>
    <w:unhideWhenUsed/>
    <w:qFormat/>
    <w:pPr>
      <w:pBdr/>
      <w:spacing/>
      <w:ind/>
    </w:pPr>
  </w:style>
  <w:style w:type="numbering" w:styleId="13301" w:customStyle="1">
    <w:name w:val="Нет списка26"/>
    <w:uiPriority w:val="99"/>
    <w:semiHidden/>
    <w:qFormat/>
    <w:pPr>
      <w:pBdr/>
      <w:spacing/>
      <w:ind/>
    </w:pPr>
  </w:style>
  <w:style w:type="numbering" w:styleId="13308" w:customStyle="1">
    <w:name w:val="Нет списка27"/>
    <w:uiPriority w:val="99"/>
    <w:semiHidden/>
    <w:unhideWhenUsed/>
    <w:qFormat/>
    <w:pPr>
      <w:pBdr/>
      <w:spacing/>
      <w:ind/>
    </w:pPr>
  </w:style>
  <w:style w:type="numbering" w:styleId="13310" w:customStyle="1">
    <w:name w:val="Нет списка28"/>
    <w:uiPriority w:val="99"/>
    <w:semiHidden/>
    <w:qFormat/>
    <w:pPr>
      <w:pBdr/>
      <w:spacing/>
      <w:ind/>
    </w:pPr>
  </w:style>
  <w:style w:type="numbering" w:styleId="13311" w:customStyle="1">
    <w:name w:val="Нет списка35"/>
    <w:semiHidden/>
    <w:qFormat/>
    <w:pPr>
      <w:pBdr/>
      <w:spacing/>
      <w:ind/>
    </w:pPr>
  </w:style>
  <w:style w:type="numbering" w:styleId="13312" w:customStyle="1">
    <w:name w:val="Нет списка44"/>
    <w:uiPriority w:val="99"/>
    <w:semiHidden/>
    <w:unhideWhenUsed/>
    <w:qFormat/>
    <w:pPr>
      <w:pBdr/>
      <w:spacing/>
      <w:ind/>
    </w:pPr>
  </w:style>
  <w:style w:type="numbering" w:styleId="13314" w:customStyle="1">
    <w:name w:val="Нет списка214"/>
    <w:uiPriority w:val="99"/>
    <w:semiHidden/>
    <w:qFormat/>
    <w:pPr>
      <w:pBdr/>
      <w:spacing/>
      <w:ind/>
    </w:pPr>
  </w:style>
  <w:style w:type="numbering" w:styleId="13315" w:customStyle="1">
    <w:name w:val="Нет списка314"/>
    <w:semiHidden/>
    <w:qFormat/>
    <w:pPr>
      <w:pBdr/>
      <w:spacing/>
      <w:ind/>
    </w:pPr>
  </w:style>
  <w:style w:type="numbering" w:styleId="13317" w:customStyle="1">
    <w:name w:val="Нет списка29"/>
    <w:uiPriority w:val="99"/>
    <w:semiHidden/>
    <w:unhideWhenUsed/>
    <w:qFormat/>
    <w:pPr>
      <w:pBdr/>
      <w:spacing/>
      <w:ind/>
    </w:pPr>
  </w:style>
  <w:style w:type="numbering" w:styleId="13319" w:customStyle="1">
    <w:name w:val="Нет списка210"/>
    <w:uiPriority w:val="99"/>
    <w:semiHidden/>
    <w:qFormat/>
    <w:pPr>
      <w:pBdr/>
      <w:spacing/>
      <w:ind/>
    </w:pPr>
  </w:style>
  <w:style w:type="numbering" w:styleId="13324" w:customStyle="1">
    <w:name w:val="Нет списка315"/>
    <w:semiHidden/>
    <w:qFormat/>
    <w:pPr>
      <w:pBdr/>
      <w:spacing/>
      <w:ind/>
    </w:pPr>
  </w:style>
  <w:style w:type="numbering" w:styleId="13325" w:customStyle="1">
    <w:name w:val="Нет списка55"/>
    <w:uiPriority w:val="99"/>
    <w:semiHidden/>
    <w:unhideWhenUsed/>
    <w:qFormat/>
    <w:pPr>
      <w:pBdr/>
      <w:spacing/>
      <w:ind/>
    </w:pPr>
  </w:style>
  <w:style w:type="numbering" w:styleId="13326" w:customStyle="1">
    <w:name w:val="Нет списка30"/>
    <w:uiPriority w:val="99"/>
    <w:semiHidden/>
    <w:unhideWhenUsed/>
    <w:qFormat/>
    <w:pPr>
      <w:pBdr/>
      <w:spacing/>
      <w:ind/>
    </w:pPr>
  </w:style>
  <w:style w:type="numbering" w:styleId="13329" w:customStyle="1">
    <w:name w:val="Нет списка37"/>
    <w:uiPriority w:val="99"/>
    <w:semiHidden/>
    <w:unhideWhenUsed/>
    <w:qFormat/>
    <w:pPr>
      <w:pBdr/>
      <w:spacing/>
      <w:ind/>
    </w:pPr>
  </w:style>
  <w:style w:type="numbering" w:styleId="13332" w:customStyle="1">
    <w:name w:val="Нет списка63"/>
    <w:uiPriority w:val="99"/>
    <w:semiHidden/>
    <w:unhideWhenUsed/>
    <w:qFormat/>
    <w:pPr>
      <w:pBdr/>
      <w:spacing/>
      <w:ind/>
    </w:pPr>
  </w:style>
  <w:style w:type="numbering" w:styleId="13334" w:customStyle="1">
    <w:name w:val="Нет списка38"/>
    <w:uiPriority w:val="99"/>
    <w:semiHidden/>
    <w:unhideWhenUsed/>
    <w:qFormat/>
    <w:pPr>
      <w:pBdr/>
      <w:spacing/>
      <w:ind/>
    </w:pPr>
  </w:style>
  <w:style w:type="numbering" w:styleId="13337" w:customStyle="1">
    <w:name w:val="Нет списка39"/>
    <w:uiPriority w:val="99"/>
    <w:semiHidden/>
    <w:unhideWhenUsed/>
    <w:qFormat/>
    <w:pPr>
      <w:pBdr/>
      <w:spacing/>
      <w:ind/>
    </w:pPr>
  </w:style>
  <w:style w:type="numbering" w:styleId="13340" w:customStyle="1">
    <w:name w:val="Нет списка64"/>
    <w:uiPriority w:val="99"/>
    <w:semiHidden/>
    <w:unhideWhenUsed/>
    <w:qFormat/>
    <w:pPr>
      <w:pBdr/>
      <w:spacing/>
      <w:ind/>
    </w:pPr>
  </w:style>
  <w:style w:type="numbering" w:styleId="13341" w:customStyle="1">
    <w:name w:val="Нет списка74"/>
    <w:uiPriority w:val="99"/>
    <w:semiHidden/>
    <w:unhideWhenUsed/>
    <w:qFormat/>
    <w:pPr>
      <w:pBdr/>
      <w:spacing/>
      <w:ind/>
    </w:pPr>
  </w:style>
  <w:style w:type="numbering" w:styleId="13342" w:customStyle="1">
    <w:name w:val="Нет списка40"/>
    <w:uiPriority w:val="99"/>
    <w:semiHidden/>
    <w:unhideWhenUsed/>
    <w:qFormat/>
    <w:pPr>
      <w:pBdr/>
      <w:spacing/>
      <w:ind/>
    </w:pPr>
  </w:style>
  <w:style w:type="numbering" w:styleId="13345" w:customStyle="1">
    <w:name w:val="Нет списка310"/>
    <w:uiPriority w:val="99"/>
    <w:semiHidden/>
    <w:unhideWhenUsed/>
    <w:qFormat/>
    <w:pPr>
      <w:pBdr/>
      <w:spacing/>
      <w:ind/>
    </w:pPr>
  </w:style>
  <w:style w:type="numbering" w:styleId="13348" w:customStyle="1">
    <w:name w:val="Нет списка65"/>
    <w:uiPriority w:val="99"/>
    <w:semiHidden/>
    <w:unhideWhenUsed/>
    <w:qFormat/>
    <w:pPr>
      <w:pBdr/>
      <w:spacing/>
      <w:ind/>
    </w:pPr>
  </w:style>
  <w:style w:type="numbering" w:styleId="13349" w:customStyle="1">
    <w:name w:val="Нет списка75"/>
    <w:uiPriority w:val="99"/>
    <w:semiHidden/>
    <w:unhideWhenUsed/>
    <w:qFormat/>
    <w:pPr>
      <w:pBdr/>
      <w:spacing/>
      <w:ind/>
    </w:pPr>
  </w:style>
  <w:style w:type="numbering" w:styleId="13359" w:customStyle="1">
    <w:name w:val="Нет списка50"/>
    <w:uiPriority w:val="99"/>
    <w:semiHidden/>
    <w:unhideWhenUsed/>
    <w:qFormat/>
    <w:pPr>
      <w:pBdr/>
      <w:spacing/>
      <w:ind/>
    </w:pPr>
  </w:style>
  <w:style w:type="numbering" w:styleId="13363" w:customStyle="1">
    <w:name w:val="Нет списка413"/>
    <w:uiPriority w:val="99"/>
    <w:semiHidden/>
    <w:unhideWhenUsed/>
    <w:qFormat/>
    <w:pPr>
      <w:pBdr/>
      <w:spacing/>
      <w:ind/>
    </w:pPr>
  </w:style>
  <w:style w:type="numbering" w:styleId="13365" w:customStyle="1">
    <w:name w:val="Нет списка2113"/>
    <w:uiPriority w:val="99"/>
    <w:semiHidden/>
    <w:qFormat/>
    <w:pPr>
      <w:pBdr/>
      <w:spacing/>
      <w:ind/>
    </w:pPr>
  </w:style>
  <w:style w:type="numbering" w:styleId="13368" w:customStyle="1">
    <w:name w:val="Нет списка60"/>
    <w:uiPriority w:val="99"/>
    <w:semiHidden/>
    <w:unhideWhenUsed/>
    <w:qFormat/>
    <w:pPr>
      <w:pBdr/>
      <w:spacing/>
      <w:ind/>
    </w:pPr>
  </w:style>
  <w:style w:type="numbering" w:styleId="13370" w:customStyle="1">
    <w:name w:val="Нет списка223"/>
    <w:uiPriority w:val="99"/>
    <w:semiHidden/>
    <w:qFormat/>
    <w:pPr>
      <w:pBdr/>
      <w:spacing/>
      <w:ind/>
    </w:pPr>
  </w:style>
  <w:style w:type="numbering" w:styleId="13374" w:customStyle="1">
    <w:name w:val="Нет списка2114"/>
    <w:uiPriority w:val="99"/>
    <w:semiHidden/>
    <w:qFormat/>
    <w:pPr>
      <w:pBdr/>
      <w:spacing/>
      <w:ind/>
    </w:pPr>
  </w:style>
  <w:style w:type="numbering" w:styleId="13377" w:customStyle="1">
    <w:name w:val="Нет списка66"/>
    <w:uiPriority w:val="99"/>
    <w:semiHidden/>
    <w:unhideWhenUsed/>
    <w:qFormat/>
    <w:pPr>
      <w:pBdr/>
      <w:spacing/>
      <w:ind/>
    </w:pPr>
  </w:style>
  <w:style w:type="numbering" w:styleId="13379" w:customStyle="1">
    <w:name w:val="Нет списка224"/>
    <w:uiPriority w:val="99"/>
    <w:semiHidden/>
    <w:qFormat/>
    <w:pPr>
      <w:pBdr/>
      <w:spacing/>
      <w:ind/>
    </w:pPr>
  </w:style>
  <w:style w:type="numbering" w:styleId="13381" w:customStyle="1">
    <w:name w:val="Нет списка415"/>
    <w:uiPriority w:val="99"/>
    <w:semiHidden/>
    <w:unhideWhenUsed/>
    <w:qFormat/>
    <w:pPr>
      <w:pBdr/>
      <w:spacing/>
      <w:ind/>
    </w:pPr>
  </w:style>
  <w:style w:type="numbering" w:styleId="13383" w:customStyle="1">
    <w:name w:val="Нет списка2115"/>
    <w:uiPriority w:val="99"/>
    <w:semiHidden/>
    <w:qFormat/>
    <w:pPr>
      <w:pBdr/>
      <w:spacing/>
      <w:ind/>
    </w:pPr>
  </w:style>
  <w:style w:type="numbering" w:styleId="13384" w:customStyle="1">
    <w:name w:val="Нет списка3113"/>
    <w:semiHidden/>
    <w:qFormat/>
    <w:pPr>
      <w:pBdr/>
      <w:spacing/>
      <w:ind/>
    </w:pPr>
  </w:style>
  <w:style w:type="numbering" w:styleId="13385" w:customStyle="1">
    <w:name w:val="Нет списка514"/>
    <w:uiPriority w:val="99"/>
    <w:semiHidden/>
    <w:unhideWhenUsed/>
    <w:qFormat/>
    <w:pPr>
      <w:pBdr/>
      <w:spacing/>
      <w:ind/>
    </w:pPr>
  </w:style>
  <w:style w:type="numbering" w:styleId="13386" w:customStyle="1">
    <w:name w:val="Нет списка67"/>
    <w:uiPriority w:val="99"/>
    <w:semiHidden/>
    <w:unhideWhenUsed/>
    <w:qFormat/>
    <w:pPr>
      <w:pBdr/>
      <w:spacing/>
      <w:ind/>
    </w:pPr>
  </w:style>
  <w:style w:type="numbering" w:styleId="13387" w:customStyle="1">
    <w:name w:val="Нет списка133"/>
    <w:uiPriority w:val="99"/>
    <w:semiHidden/>
    <w:qFormat/>
    <w:pPr>
      <w:pBdr/>
      <w:spacing/>
      <w:ind/>
    </w:pPr>
  </w:style>
  <w:style w:type="numbering" w:styleId="13388" w:customStyle="1">
    <w:name w:val="Нет списка225"/>
    <w:uiPriority w:val="99"/>
    <w:semiHidden/>
    <w:qFormat/>
    <w:pPr>
      <w:pBdr/>
      <w:spacing/>
      <w:ind/>
    </w:pPr>
  </w:style>
  <w:style w:type="numbering" w:styleId="13389" w:customStyle="1">
    <w:name w:val="Нет списка323"/>
    <w:semiHidden/>
    <w:qFormat/>
    <w:pPr>
      <w:pBdr/>
      <w:spacing/>
      <w:ind/>
    </w:pPr>
  </w:style>
  <w:style w:type="numbering" w:styleId="13390" w:customStyle="1">
    <w:name w:val="Нет списка416"/>
    <w:uiPriority w:val="99"/>
    <w:semiHidden/>
    <w:unhideWhenUsed/>
    <w:qFormat/>
    <w:pPr>
      <w:pBdr/>
      <w:spacing/>
      <w:ind/>
    </w:pPr>
  </w:style>
  <w:style w:type="numbering" w:styleId="13392" w:customStyle="1">
    <w:name w:val="Нет списка2116"/>
    <w:uiPriority w:val="99"/>
    <w:semiHidden/>
    <w:qFormat/>
    <w:pPr>
      <w:pBdr/>
      <w:spacing/>
      <w:ind/>
    </w:pPr>
  </w:style>
  <w:style w:type="numbering" w:styleId="13393" w:customStyle="1">
    <w:name w:val="Нет списка3114"/>
    <w:semiHidden/>
    <w:qFormat/>
    <w:pPr>
      <w:pBdr/>
      <w:spacing/>
      <w:ind/>
    </w:pPr>
  </w:style>
  <w:style w:type="numbering" w:styleId="13395" w:customStyle="1">
    <w:name w:val="Нет списка68"/>
    <w:uiPriority w:val="99"/>
    <w:semiHidden/>
    <w:unhideWhenUsed/>
    <w:qFormat/>
    <w:pPr>
      <w:pBdr/>
      <w:spacing/>
      <w:ind/>
    </w:pPr>
  </w:style>
  <w:style w:type="numbering" w:styleId="13396" w:customStyle="1">
    <w:name w:val="Нет списка134"/>
    <w:uiPriority w:val="99"/>
    <w:semiHidden/>
    <w:qFormat/>
    <w:pPr>
      <w:pBdr/>
      <w:spacing/>
      <w:ind/>
    </w:pPr>
  </w:style>
  <w:style w:type="numbering" w:styleId="13397" w:customStyle="1">
    <w:name w:val="Нет списка226"/>
    <w:uiPriority w:val="99"/>
    <w:semiHidden/>
    <w:qFormat/>
    <w:pPr>
      <w:pBdr/>
      <w:spacing/>
      <w:ind/>
    </w:pPr>
  </w:style>
  <w:style w:type="numbering" w:styleId="13399" w:customStyle="1">
    <w:name w:val="Нет списка417"/>
    <w:uiPriority w:val="99"/>
    <w:semiHidden/>
    <w:unhideWhenUsed/>
    <w:qFormat/>
    <w:pPr>
      <w:pBdr/>
      <w:spacing/>
      <w:ind/>
    </w:pPr>
  </w:style>
  <w:style w:type="numbering" w:styleId="13401" w:customStyle="1">
    <w:name w:val="Нет списка2117"/>
    <w:uiPriority w:val="99"/>
    <w:semiHidden/>
    <w:qFormat/>
    <w:pPr>
      <w:pBdr/>
      <w:spacing/>
      <w:ind/>
    </w:pPr>
  </w:style>
  <w:style w:type="numbering" w:styleId="13402" w:customStyle="1">
    <w:name w:val="Нет списка3115"/>
    <w:semiHidden/>
    <w:qFormat/>
    <w:pPr>
      <w:pBdr/>
      <w:spacing/>
      <w:ind/>
    </w:pPr>
  </w:style>
  <w:style w:type="numbering" w:styleId="13406" w:customStyle="1">
    <w:name w:val="Нет списка227"/>
    <w:uiPriority w:val="99"/>
    <w:semiHidden/>
    <w:qFormat/>
    <w:pPr>
      <w:pBdr/>
      <w:spacing/>
      <w:ind/>
    </w:pPr>
  </w:style>
  <w:style w:type="numbering" w:styleId="13408" w:customStyle="1">
    <w:name w:val="Нет списка418"/>
    <w:uiPriority w:val="99"/>
    <w:semiHidden/>
    <w:unhideWhenUsed/>
    <w:qFormat/>
    <w:pPr>
      <w:pBdr/>
      <w:spacing/>
      <w:ind/>
    </w:pPr>
  </w:style>
  <w:style w:type="numbering" w:styleId="13409" w:customStyle="1">
    <w:name w:val="Нет списка1120"/>
    <w:uiPriority w:val="99"/>
    <w:semiHidden/>
    <w:qFormat/>
    <w:pPr>
      <w:pBdr/>
      <w:spacing/>
      <w:ind/>
    </w:pPr>
  </w:style>
  <w:style w:type="numbering" w:styleId="13410" w:customStyle="1">
    <w:name w:val="Нет списка2118"/>
    <w:uiPriority w:val="99"/>
    <w:semiHidden/>
    <w:qFormat/>
    <w:pPr>
      <w:pBdr/>
      <w:spacing/>
      <w:ind/>
    </w:pPr>
  </w:style>
  <w:style w:type="numbering" w:styleId="13411" w:customStyle="1">
    <w:name w:val="Нет списка3116"/>
    <w:semiHidden/>
    <w:qFormat/>
    <w:pPr>
      <w:pBdr/>
      <w:spacing/>
      <w:ind/>
    </w:pPr>
  </w:style>
  <w:style w:type="numbering" w:styleId="13412" w:customStyle="1">
    <w:name w:val="Нет списка517"/>
    <w:uiPriority w:val="99"/>
    <w:semiHidden/>
    <w:unhideWhenUsed/>
    <w:qFormat/>
    <w:pPr>
      <w:pBdr/>
      <w:spacing/>
      <w:ind/>
    </w:pPr>
  </w:style>
  <w:style w:type="numbering" w:styleId="13413" w:customStyle="1">
    <w:name w:val="Нет списка70"/>
    <w:uiPriority w:val="99"/>
    <w:semiHidden/>
    <w:unhideWhenUsed/>
    <w:qFormat/>
    <w:pPr>
      <w:pBdr/>
      <w:spacing/>
      <w:ind/>
    </w:pPr>
  </w:style>
  <w:style w:type="numbering" w:styleId="13415" w:customStyle="1">
    <w:name w:val="Нет списка228"/>
    <w:uiPriority w:val="99"/>
    <w:semiHidden/>
    <w:qFormat/>
    <w:pPr>
      <w:pBdr/>
      <w:spacing/>
      <w:ind/>
    </w:pPr>
  </w:style>
  <w:style w:type="numbering" w:styleId="13417" w:customStyle="1">
    <w:name w:val="Нет списка419"/>
    <w:uiPriority w:val="99"/>
    <w:semiHidden/>
    <w:unhideWhenUsed/>
    <w:qFormat/>
    <w:pPr>
      <w:pBdr/>
      <w:spacing/>
      <w:ind/>
    </w:pPr>
  </w:style>
  <w:style w:type="numbering" w:styleId="13419" w:customStyle="1">
    <w:name w:val="Нет списка2119"/>
    <w:uiPriority w:val="99"/>
    <w:semiHidden/>
    <w:qFormat/>
    <w:pPr>
      <w:pBdr/>
      <w:spacing/>
      <w:ind/>
    </w:pPr>
  </w:style>
  <w:style w:type="numbering" w:styleId="13420" w:customStyle="1">
    <w:name w:val="Нет списка3117"/>
    <w:semiHidden/>
    <w:qFormat/>
    <w:pPr>
      <w:pBdr/>
      <w:spacing/>
      <w:ind/>
    </w:pPr>
  </w:style>
  <w:style w:type="numbering" w:styleId="13421" w:customStyle="1">
    <w:name w:val="Нет списка518"/>
    <w:uiPriority w:val="99"/>
    <w:semiHidden/>
    <w:unhideWhenUsed/>
    <w:qFormat/>
    <w:pPr>
      <w:pBdr/>
      <w:spacing/>
      <w:ind/>
    </w:pPr>
  </w:style>
  <w:style w:type="numbering" w:styleId="13422" w:customStyle="1">
    <w:name w:val="Нет списка76"/>
    <w:uiPriority w:val="99"/>
    <w:semiHidden/>
    <w:unhideWhenUsed/>
    <w:qFormat/>
    <w:pPr>
      <w:pBdr/>
      <w:spacing/>
      <w:ind/>
    </w:pPr>
  </w:style>
  <w:style w:type="numbering" w:styleId="13424" w:customStyle="1">
    <w:name w:val="Нет списка229"/>
    <w:uiPriority w:val="99"/>
    <w:semiHidden/>
    <w:qFormat/>
    <w:pPr>
      <w:pBdr/>
      <w:spacing/>
      <w:ind/>
    </w:pPr>
  </w:style>
  <w:style w:type="numbering" w:styleId="13428" w:customStyle="1">
    <w:name w:val="Нет списка2120"/>
    <w:uiPriority w:val="99"/>
    <w:semiHidden/>
    <w:qFormat/>
    <w:pPr>
      <w:pBdr/>
      <w:spacing/>
      <w:ind/>
    </w:pPr>
  </w:style>
  <w:style w:type="numbering" w:styleId="13429" w:customStyle="1">
    <w:name w:val="Нет списка3118"/>
    <w:semiHidden/>
    <w:qFormat/>
    <w:pPr>
      <w:pBdr/>
      <w:spacing/>
      <w:ind/>
    </w:pPr>
  </w:style>
  <w:style w:type="numbering" w:styleId="13430" w:customStyle="1">
    <w:name w:val="Нет списка519"/>
    <w:uiPriority w:val="99"/>
    <w:semiHidden/>
    <w:unhideWhenUsed/>
    <w:qFormat/>
    <w:pPr>
      <w:pBdr/>
      <w:spacing/>
      <w:ind/>
    </w:pPr>
  </w:style>
  <w:style w:type="numbering" w:styleId="13431" w:customStyle="1">
    <w:name w:val="Нет списка77"/>
    <w:uiPriority w:val="99"/>
    <w:semiHidden/>
    <w:unhideWhenUsed/>
    <w:qFormat/>
    <w:pPr>
      <w:pBdr/>
      <w:spacing/>
      <w:ind/>
    </w:pPr>
  </w:style>
  <w:style w:type="numbering" w:styleId="13433" w:customStyle="1">
    <w:name w:val="Нет списка230"/>
    <w:uiPriority w:val="99"/>
    <w:semiHidden/>
    <w:qFormat/>
    <w:pPr>
      <w:pBdr/>
      <w:spacing/>
      <w:ind/>
    </w:pPr>
  </w:style>
  <w:style w:type="numbering" w:styleId="13437" w:customStyle="1">
    <w:name w:val="Нет списка2121"/>
    <w:uiPriority w:val="99"/>
    <w:semiHidden/>
    <w:qFormat/>
    <w:pPr>
      <w:pBdr/>
      <w:spacing/>
      <w:ind/>
    </w:pPr>
  </w:style>
  <w:style w:type="numbering" w:styleId="13438" w:customStyle="1">
    <w:name w:val="Нет списка3119"/>
    <w:semiHidden/>
    <w:qFormat/>
    <w:pPr>
      <w:pBdr/>
      <w:spacing/>
      <w:ind/>
    </w:pPr>
  </w:style>
  <w:style w:type="numbering" w:styleId="13442" w:customStyle="1">
    <w:name w:val="Нет списка233"/>
    <w:uiPriority w:val="99"/>
    <w:semiHidden/>
    <w:qFormat/>
    <w:pPr>
      <w:pBdr/>
      <w:spacing/>
      <w:ind/>
    </w:pPr>
  </w:style>
  <w:style w:type="numbering" w:styleId="13443" w:customStyle="1">
    <w:name w:val="Нет списка329"/>
    <w:semiHidden/>
    <w:qFormat/>
    <w:pPr>
      <w:pBdr/>
      <w:spacing/>
      <w:ind/>
    </w:pPr>
  </w:style>
  <w:style w:type="numbering" w:styleId="13444" w:customStyle="1">
    <w:name w:val="Нет списка422"/>
    <w:uiPriority w:val="99"/>
    <w:semiHidden/>
    <w:unhideWhenUsed/>
    <w:qFormat/>
    <w:pPr>
      <w:pBdr/>
      <w:spacing/>
      <w:ind/>
    </w:pPr>
  </w:style>
  <w:style w:type="numbering" w:styleId="13445" w:customStyle="1">
    <w:name w:val="Нет списка1126"/>
    <w:uiPriority w:val="99"/>
    <w:semiHidden/>
    <w:qFormat/>
    <w:pPr>
      <w:pBdr/>
      <w:spacing/>
      <w:ind/>
    </w:pPr>
  </w:style>
  <w:style w:type="numbering" w:styleId="13446" w:customStyle="1">
    <w:name w:val="Нет списка2122"/>
    <w:uiPriority w:val="99"/>
    <w:semiHidden/>
    <w:qFormat/>
    <w:pPr>
      <w:pBdr/>
      <w:spacing/>
      <w:ind/>
    </w:pPr>
  </w:style>
  <w:style w:type="numbering" w:styleId="13447" w:customStyle="1">
    <w:name w:val="Нет списка3120"/>
    <w:semiHidden/>
    <w:qFormat/>
    <w:pPr>
      <w:pBdr/>
      <w:spacing/>
      <w:ind/>
    </w:pPr>
  </w:style>
  <w:style w:type="numbering" w:styleId="13451" w:customStyle="1">
    <w:name w:val="Нет списка234"/>
    <w:uiPriority w:val="99"/>
    <w:semiHidden/>
    <w:qFormat/>
    <w:pPr>
      <w:pBdr/>
      <w:spacing/>
      <w:ind/>
    </w:pPr>
  </w:style>
  <w:style w:type="numbering" w:styleId="13452" w:customStyle="1">
    <w:name w:val="Нет списка330"/>
    <w:semiHidden/>
    <w:qFormat/>
    <w:pPr>
      <w:pBdr/>
      <w:spacing/>
      <w:ind/>
    </w:pPr>
  </w:style>
  <w:style w:type="numbering" w:styleId="13453" w:customStyle="1">
    <w:name w:val="Нет списка423"/>
    <w:uiPriority w:val="99"/>
    <w:semiHidden/>
    <w:unhideWhenUsed/>
    <w:qFormat/>
    <w:pPr>
      <w:pBdr/>
      <w:spacing/>
      <w:ind/>
    </w:pPr>
  </w:style>
  <w:style w:type="numbering" w:styleId="13454" w:customStyle="1">
    <w:name w:val="Нет списка1127"/>
    <w:uiPriority w:val="99"/>
    <w:semiHidden/>
    <w:qFormat/>
    <w:pPr>
      <w:pBdr/>
      <w:spacing/>
      <w:ind/>
    </w:pPr>
  </w:style>
  <w:style w:type="numbering" w:styleId="13455" w:customStyle="1">
    <w:name w:val="Нет списка2123"/>
    <w:uiPriority w:val="99"/>
    <w:semiHidden/>
    <w:qFormat/>
    <w:pPr>
      <w:pBdr/>
      <w:spacing/>
      <w:ind/>
    </w:pPr>
  </w:style>
  <w:style w:type="numbering" w:styleId="13456" w:customStyle="1">
    <w:name w:val="Нет списка3121"/>
    <w:semiHidden/>
    <w:qFormat/>
    <w:pPr>
      <w:pBdr/>
      <w:spacing/>
      <w:ind/>
    </w:pPr>
  </w:style>
  <w:style w:type="numbering" w:styleId="13458" w:customStyle="1">
    <w:name w:val="Нет списка80"/>
    <w:uiPriority w:val="99"/>
    <w:semiHidden/>
    <w:unhideWhenUsed/>
    <w:qFormat/>
    <w:pPr>
      <w:pBdr/>
      <w:spacing/>
      <w:ind/>
    </w:pPr>
  </w:style>
  <w:style w:type="numbering" w:styleId="13460" w:customStyle="1">
    <w:name w:val="Нет списка235"/>
    <w:uiPriority w:val="99"/>
    <w:semiHidden/>
    <w:qFormat/>
    <w:pPr>
      <w:pBdr/>
      <w:spacing/>
      <w:ind/>
    </w:pPr>
  </w:style>
  <w:style w:type="numbering" w:styleId="13462" w:customStyle="1">
    <w:name w:val="Нет списка424"/>
    <w:uiPriority w:val="99"/>
    <w:semiHidden/>
    <w:unhideWhenUsed/>
    <w:qFormat/>
    <w:pPr>
      <w:pBdr/>
      <w:spacing/>
      <w:ind/>
    </w:pPr>
  </w:style>
  <w:style w:type="numbering" w:styleId="13463" w:customStyle="1">
    <w:name w:val="Нет списка1128"/>
    <w:uiPriority w:val="99"/>
    <w:semiHidden/>
    <w:qFormat/>
    <w:pPr>
      <w:pBdr/>
      <w:spacing/>
      <w:ind/>
    </w:pPr>
  </w:style>
  <w:style w:type="numbering" w:styleId="13464" w:customStyle="1">
    <w:name w:val="Нет списка2124"/>
    <w:uiPriority w:val="99"/>
    <w:semiHidden/>
    <w:qFormat/>
    <w:pPr>
      <w:pBdr/>
      <w:spacing/>
      <w:ind/>
    </w:pPr>
  </w:style>
  <w:style w:type="numbering" w:styleId="13465" w:customStyle="1">
    <w:name w:val="Нет списка3122"/>
    <w:semiHidden/>
    <w:qFormat/>
    <w:pPr>
      <w:pBdr/>
      <w:spacing/>
      <w:ind/>
    </w:pPr>
  </w:style>
  <w:style w:type="numbering" w:styleId="13469" w:customStyle="1">
    <w:name w:val="Нет списка236"/>
    <w:uiPriority w:val="99"/>
    <w:semiHidden/>
    <w:unhideWhenUsed/>
    <w:qFormat/>
    <w:pPr>
      <w:pBdr/>
      <w:spacing/>
      <w:ind/>
    </w:pPr>
  </w:style>
  <w:style w:type="numbering" w:styleId="13470" w:customStyle="1">
    <w:name w:val="Нет списка332"/>
    <w:uiPriority w:val="99"/>
    <w:semiHidden/>
    <w:unhideWhenUsed/>
    <w:qFormat/>
    <w:pPr>
      <w:pBdr/>
      <w:spacing/>
      <w:ind/>
    </w:pPr>
  </w:style>
  <w:style w:type="numbering" w:styleId="13471" w:customStyle="1">
    <w:name w:val="Нет списка425"/>
    <w:uiPriority w:val="99"/>
    <w:semiHidden/>
    <w:unhideWhenUsed/>
    <w:qFormat/>
    <w:pPr>
      <w:pBdr/>
      <w:spacing/>
      <w:ind/>
    </w:pPr>
  </w:style>
  <w:style w:type="numbering" w:styleId="13477" w:customStyle="1">
    <w:name w:val="Нет списка1129"/>
    <w:uiPriority w:val="99"/>
    <w:semiHidden/>
    <w:unhideWhenUsed/>
    <w:qFormat/>
    <w:pPr>
      <w:pBdr/>
      <w:spacing/>
      <w:ind/>
    </w:pPr>
  </w:style>
  <w:style w:type="numbering" w:styleId="13478" w:customStyle="1">
    <w:name w:val="Заголовок 2 уровень4"/>
    <w:uiPriority w:val="99"/>
    <w:qFormat/>
    <w:pPr>
      <w:pBdr/>
      <w:spacing/>
      <w:ind/>
    </w:pPr>
  </w:style>
  <w:style w:type="numbering" w:styleId="13479" w:customStyle="1">
    <w:name w:val="Заголовок 3 ур4"/>
    <w:uiPriority w:val="99"/>
    <w:qFormat/>
    <w:pPr>
      <w:pBdr/>
      <w:spacing/>
      <w:ind/>
    </w:pPr>
  </w:style>
  <w:style w:type="numbering" w:styleId="13480" w:customStyle="1">
    <w:name w:val="1 / 1.1 / 1.1.23"/>
    <w:qFormat/>
    <w:pPr>
      <w:pBdr/>
      <w:spacing/>
      <w:ind/>
    </w:pPr>
  </w:style>
  <w:style w:type="numbering" w:styleId="13481" w:customStyle="1">
    <w:name w:val="1 / 1.1 / 1.1.33"/>
    <w:qFormat/>
    <w:pPr>
      <w:pBdr/>
      <w:spacing/>
      <w:ind/>
    </w:pPr>
  </w:style>
  <w:style w:type="numbering" w:styleId="13482" w:customStyle="1">
    <w:name w:val="Нет списка2125"/>
    <w:uiPriority w:val="99"/>
    <w:semiHidden/>
    <w:unhideWhenUsed/>
    <w:qFormat/>
    <w:pPr>
      <w:pBdr/>
      <w:spacing/>
      <w:ind/>
    </w:pPr>
  </w:style>
  <w:style w:type="numbering" w:styleId="13483" w:customStyle="1">
    <w:name w:val="1 / 1.1 / 1.1.43"/>
    <w:qFormat/>
    <w:pPr>
      <w:pBdr/>
      <w:spacing/>
      <w:ind/>
    </w:pPr>
  </w:style>
  <w:style w:type="numbering" w:styleId="13485" w:customStyle="1">
    <w:name w:val="Нет списка21110"/>
    <w:uiPriority w:val="99"/>
    <w:semiHidden/>
    <w:unhideWhenUsed/>
    <w:qFormat/>
    <w:pPr>
      <w:pBdr/>
      <w:spacing/>
      <w:ind/>
    </w:pPr>
  </w:style>
  <w:style w:type="numbering" w:styleId="13487" w:customStyle="1">
    <w:name w:val="Нет списка3123"/>
    <w:uiPriority w:val="99"/>
    <w:semiHidden/>
    <w:unhideWhenUsed/>
    <w:qFormat/>
    <w:pPr>
      <w:pBdr/>
      <w:spacing/>
      <w:ind/>
    </w:pPr>
  </w:style>
  <w:style w:type="numbering" w:styleId="13492" w:customStyle="1">
    <w:name w:val="Нет списка813"/>
    <w:uiPriority w:val="99"/>
    <w:semiHidden/>
    <w:unhideWhenUsed/>
    <w:qFormat/>
    <w:pPr>
      <w:pBdr/>
      <w:spacing/>
      <w:ind/>
    </w:pPr>
  </w:style>
  <w:style w:type="numbering" w:styleId="13493" w:customStyle="1">
    <w:name w:val="Нет списка93"/>
    <w:uiPriority w:val="99"/>
    <w:semiHidden/>
    <w:unhideWhenUsed/>
    <w:qFormat/>
    <w:pPr>
      <w:pBdr/>
      <w:spacing/>
      <w:ind/>
    </w:pPr>
  </w:style>
  <w:style w:type="numbering" w:styleId="13494" w:customStyle="1">
    <w:name w:val="Нет списка103"/>
    <w:uiPriority w:val="99"/>
    <w:semiHidden/>
    <w:unhideWhenUsed/>
    <w:qFormat/>
    <w:pPr>
      <w:pBdr/>
      <w:spacing/>
      <w:ind/>
    </w:pPr>
  </w:style>
  <w:style w:type="numbering" w:styleId="13495" w:customStyle="1">
    <w:name w:val="0.5 Список Заг.2"/>
    <w:uiPriority w:val="99"/>
    <w:qFormat/>
    <w:pPr>
      <w:pBdr/>
      <w:spacing/>
      <w:ind/>
    </w:pPr>
  </w:style>
  <w:style w:type="numbering" w:styleId="13497" w:customStyle="1">
    <w:name w:val="Со второго раздела"/>
    <w:uiPriority w:val="99"/>
    <w:qFormat/>
    <w:pPr>
      <w:pBdr/>
      <w:spacing/>
      <w:ind/>
    </w:pPr>
  </w:style>
  <w:style w:type="numbering" w:styleId="13498" w:customStyle="1">
    <w:name w:val="0.5 Список Заг."/>
    <w:uiPriority w:val="99"/>
    <w:qFormat/>
    <w:pPr>
      <w:pBdr/>
      <w:spacing/>
      <w:ind/>
    </w:pPr>
  </w:style>
  <w:style w:type="numbering" w:styleId="13499" w:customStyle="1">
    <w:name w:val="0.5 Список Заг.1"/>
    <w:uiPriority w:val="99"/>
    <w:qFormat/>
    <w:pPr>
      <w:pBdr/>
      <w:spacing/>
      <w:ind/>
    </w:pPr>
  </w:style>
  <w:style w:type="numbering" w:styleId="13500" w:customStyle="1">
    <w:name w:val="Стиль 0.5 Список Заг."/>
    <w:qFormat/>
    <w:pPr>
      <w:pBdr/>
      <w:spacing/>
      <w:ind/>
    </w:pPr>
  </w:style>
  <w:style w:type="numbering" w:styleId="13501" w:customStyle="1">
    <w:name w:val="0.5 Список Заг.21"/>
    <w:uiPriority w:val="99"/>
    <w:qFormat/>
    <w:pPr>
      <w:pBdr/>
      <w:spacing/>
      <w:ind/>
    </w:pPr>
  </w:style>
  <w:style w:type="numbering" w:styleId="13502" w:customStyle="1">
    <w:name w:val="0.5 Список Заг.11"/>
    <w:uiPriority w:val="99"/>
    <w:qFormat/>
    <w:pPr>
      <w:pBdr/>
      <w:spacing/>
      <w:ind/>
    </w:pPr>
  </w:style>
  <w:style w:type="numbering" w:styleId="13503" w:customStyle="1">
    <w:name w:val="Стиль 0.5 Список Заг.1"/>
    <w:qFormat/>
    <w:pPr>
      <w:pBdr/>
      <w:spacing/>
      <w:ind/>
    </w:pPr>
  </w:style>
  <w:style w:type="numbering" w:styleId="13504" w:customStyle="1">
    <w:name w:val="0.5 Список Заг.211"/>
    <w:uiPriority w:val="99"/>
    <w:qFormat/>
    <w:pPr>
      <w:pBdr/>
      <w:spacing/>
      <w:ind/>
    </w:pPr>
  </w:style>
  <w:style w:type="numbering" w:styleId="13505" w:customStyle="1">
    <w:name w:val="0.5 Список Заг.111"/>
    <w:uiPriority w:val="99"/>
    <w:qFormat/>
    <w:pPr>
      <w:pBdr/>
      <w:spacing/>
      <w:ind/>
    </w:pPr>
  </w:style>
  <w:style w:type="numbering" w:styleId="13506" w:customStyle="1">
    <w:name w:val="Стиль 0.5 Список Заг.11"/>
    <w:qFormat/>
    <w:pPr>
      <w:pBdr/>
      <w:spacing/>
      <w:ind/>
    </w:pPr>
  </w:style>
  <w:style w:type="numbering" w:styleId="13507" w:customStyle="1">
    <w:name w:val="Рис.14"/>
    <w:qFormat/>
    <w:pPr>
      <w:pBdr/>
      <w:spacing/>
      <w:ind/>
    </w:pPr>
  </w:style>
  <w:style w:type="numbering" w:styleId="13508" w:customStyle="1">
    <w:name w:val="Нет списка1210"/>
    <w:uiPriority w:val="99"/>
    <w:semiHidden/>
    <w:unhideWhenUsed/>
    <w:qFormat/>
    <w:pPr>
      <w:pBdr/>
      <w:spacing/>
      <w:ind/>
    </w:pPr>
  </w:style>
  <w:style w:type="numbering" w:styleId="13509" w:customStyle="1">
    <w:name w:val="Нет списка1310"/>
    <w:uiPriority w:val="99"/>
    <w:semiHidden/>
    <w:unhideWhenUsed/>
    <w:qFormat/>
    <w:pPr>
      <w:pBdr/>
      <w:spacing/>
      <w:ind/>
    </w:pPr>
  </w:style>
  <w:style w:type="numbering" w:styleId="13510" w:customStyle="1">
    <w:name w:val="1 / 1.1 / 1.1.117"/>
    <w:qFormat/>
    <w:pPr>
      <w:pBdr/>
      <w:spacing/>
      <w:ind/>
    </w:pPr>
  </w:style>
  <w:style w:type="numbering" w:styleId="13511" w:customStyle="1">
    <w:name w:val="Рис.23"/>
    <w:qFormat/>
    <w:pPr>
      <w:pBdr/>
      <w:spacing/>
      <w:ind/>
    </w:pPr>
  </w:style>
  <w:style w:type="numbering" w:styleId="13512" w:customStyle="1">
    <w:name w:val="Нет списка145"/>
    <w:uiPriority w:val="99"/>
    <w:semiHidden/>
    <w:unhideWhenUsed/>
    <w:qFormat/>
    <w:pPr>
      <w:pBdr/>
      <w:spacing/>
      <w:ind/>
    </w:pPr>
  </w:style>
  <w:style w:type="table" w:styleId="13513" w:default="1">
    <w:name w:val="Normal Table"/>
    <w:uiPriority w:val="99"/>
    <w:semiHidden/>
    <w:unhideWhenUsed/>
    <w:pPr>
      <w:pBdr/>
      <w:spacing/>
      <w:ind/>
    </w:pPr>
    <w:tblPr>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14">
    <w:name w:val="Table Grid"/>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15">
    <w:name w:val="Table Grid 5"/>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16" w:customStyle="1">
    <w:name w:val="Table Grid1"/>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17" w:customStyle="1">
    <w:name w:val="Папушкин"/>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18" w:customStyle="1">
    <w:name w:val="Сетка таблицы 5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19">
    <w:name w:val="Table Columns 3"/>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0">
    <w:name w:val="Table Columns 4"/>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1">
    <w:name w:val="Table Columns 5"/>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2">
    <w:name w:val="Table List 1"/>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3">
    <w:name w:val="Table Columns 2"/>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4">
    <w:name w:val="Table List 2"/>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5">
    <w:name w:val="Table Contemporary"/>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6" w:customStyle="1">
    <w:name w:val="Средний список 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7" w:customStyle="1">
    <w:name w:val="Средний список 1 - Акцент 1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8">
    <w:name w:val="Table Simple 2"/>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29">
    <w:name w:val="Table Professional"/>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0">
    <w:name w:val="Table Classic 1"/>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1">
    <w:name w:val="Table Simple 1"/>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2">
    <w:name w:val="Table Subtle 2"/>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3">
    <w:name w:val="Table Web 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4">
    <w:name w:val="Table Web 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5">
    <w:name w:val="Table Web 3"/>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6">
    <w:name w:val="Table Elegant"/>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7">
    <w:name w:val="Table Subtle 1"/>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8">
    <w:name w:val="Table Classic 2"/>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39" w:customStyle="1">
    <w:name w:val="Сетка таблицы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0" w:customStyle="1">
    <w:name w:val="Сетка таблицы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1">
    <w:name w:val="Table Grid 8"/>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2">
    <w:name w:val="Table Grid 2"/>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3">
    <w:name w:val="Table Grid 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4" w:customStyle="1">
    <w:name w:val="Светлая заливка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5" w:customStyle="1">
    <w:name w:val="Средний список 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6" w:customStyle="1">
    <w:name w:val="Сетка таблицы25"/>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7" w:customStyle="1">
    <w:name w:val="Светлая заливка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8" w:customStyle="1">
    <w:name w:val="Сетка таблицы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49">
    <w:name w:val="Table Simple 3"/>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0">
    <w:name w:val="Medium Shading 2 Accent 4"/>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1" w:customStyle="1">
    <w:name w:val="Светлая заливка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2" w:customStyle="1">
    <w:name w:val="Светлая заливка11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3" w:customStyle="1">
    <w:name w:val="Светлая заливка115"/>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4" w:customStyle="1">
    <w:name w:val="Светлая заливка1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5" w:customStyle="1">
    <w:name w:val="Светлая заливка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6" w:customStyle="1">
    <w:name w:val="Light Shading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7" w:customStyle="1">
    <w:name w:val="Светлая заливка1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8" w:customStyle="1">
    <w:name w:val="Сетка таблицы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59" w:customStyle="1">
    <w:name w:val="Светлая заливка11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0" w:customStyle="1">
    <w:name w:val="рпдлпжлопж"/>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rPr>
      <w:pPr>
        <w:pBdr/>
        <w:spacing/>
        <w:ind/>
        <w:jc w:val="right"/>
      </w:pPr>
      <w:tblPr>
        <w:tblBorders/>
      </w:tblPr>
      <w:tcPr>
        <w:tcBorders/>
      </w:tcPr>
    </w:tblStylePr>
    <w:tblStylePr w:type="band1Vert">
      <w:rPr>
        <w:sz w:val="18"/>
      </w:rPr>
      <w:pPr>
        <w:pBdr/>
        <w:spacing/>
        <w:ind/>
        <w:jc w:val="right"/>
      </w:pPr>
      <w:tblPr>
        <w:tblBorders/>
      </w:tblPr>
      <w:tcPr>
        <w:tcBorders/>
      </w:tcPr>
    </w:tblStylePr>
    <w:tblStylePr w:type="band2Horz">
      <w:rPr>
        <w:sz w:val="18"/>
      </w:rPr>
      <w:pPr>
        <w:pBdr/>
        <w:spacing/>
        <w:ind/>
        <w:jc w:val="right"/>
      </w:pPr>
      <w:tblPr>
        <w:tblBorders/>
      </w:tblPr>
      <w:tcPr>
        <w:shd w:val="clear" w:color="auto" w:fill="bfbfbf"/>
        <w:tcBorders/>
      </w:tcPr>
    </w:tblStylePr>
    <w:tblStylePr w:type="band2Vert">
      <w:rPr>
        <w:sz w:val="18"/>
      </w:rPr>
      <w:pPr>
        <w:pBdr/>
        <w:spacing/>
        <w:ind/>
        <w:jc w:val="right"/>
      </w:pPr>
      <w:tblPr>
        <w:tblBorders/>
      </w:tblPr>
      <w:tcPr>
        <w:tcBorders/>
      </w:tcPr>
    </w:tblStylePr>
    <w:tblStylePr w:type="firstCol">
      <w:rPr>
        <w:sz w:val="18"/>
      </w:rPr>
      <w:pPr>
        <w:pBdr/>
        <w:spacing/>
        <w:ind/>
      </w:pPr>
      <w:tblPr>
        <w:tblBorders/>
      </w:tblPr>
      <w:tcPr>
        <w:tcBorders>
          <w:right w:val="single" w:color="000000" w:sz="4" w:space="0"/>
        </w:tcBorders>
      </w:tcPr>
    </w:tblStylePr>
    <w:tblStylePr w:type="firstRow">
      <w:rPr>
        <w:b/>
        <w:sz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1" w:customStyle="1">
    <w:name w:val="Светлая заливка3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2" w:customStyle="1">
    <w:name w:val="Сетка таблицы5"/>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3" w:customStyle="1">
    <w:name w:val="Сетка таблицы 5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4" w:customStyle="1">
    <w:name w:val="Table Grid11"/>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5" w:customStyle="1">
    <w:name w:val="Папушкин1"/>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6" w:customStyle="1">
    <w:name w:val="Сетка таблицы 52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7" w:customStyle="1">
    <w:name w:val="Столбцы таблицы 31"/>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8" w:customStyle="1">
    <w:name w:val="Столбцы таблицы 41"/>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69" w:customStyle="1">
    <w:name w:val="Столбцы таблицы 51"/>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0" w:customStyle="1">
    <w:name w:val="Таблица-список 11"/>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1" w:customStyle="1">
    <w:name w:val="Столбцы таблицы 21"/>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2" w:customStyle="1">
    <w:name w:val="Таблица-список 21"/>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3" w:customStyle="1">
    <w:name w:val="Современная таблица1"/>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4" w:customStyle="1">
    <w:name w:val="Средний список 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5" w:customStyle="1">
    <w:name w:val="Средний список 1 - Акцент 11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6" w:customStyle="1">
    <w:name w:val="Простая таблица 21"/>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7" w:customStyle="1">
    <w:name w:val="Стандартная таблица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8" w:customStyle="1">
    <w:name w:val="Классическая таблица 11"/>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79" w:customStyle="1">
    <w:name w:val="Простая таблица 11"/>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0" w:customStyle="1">
    <w:name w:val="Изящная таблица 21"/>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1" w:customStyle="1">
    <w:name w:val="Веб-таблица 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2" w:customStyle="1">
    <w:name w:val="Веб-таблица 2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3" w:customStyle="1">
    <w:name w:val="Веб-таблица 31"/>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4" w:customStyle="1">
    <w:name w:val="Изысканная таблица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5" w:customStyle="1">
    <w:name w:val="Изящная таблица 11"/>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6" w:customStyle="1">
    <w:name w:val="Классическая таблица 21"/>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7" w:customStyle="1">
    <w:name w:val="Сетка таблицы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8" w:customStyle="1">
    <w:name w:val="Сетка таблицы2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89" w:customStyle="1">
    <w:name w:val="Сетка таблицы 81"/>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0" w:customStyle="1">
    <w:name w:val="Сетка таблицы 21"/>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1" w:customStyle="1">
    <w:name w:val="Сетка таблицы 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2" w:customStyle="1">
    <w:name w:val="Простая таблица 31"/>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3" w:customStyle="1">
    <w:name w:val="Средняя заливка 2 - Акцент 41"/>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4" w:customStyle="1">
    <w:name w:val="Средний список 1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5" w:customStyle="1">
    <w:name w:val="Средний список 1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6" w:customStyle="1">
    <w:name w:val="Светлая заливка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7" w:customStyle="1">
    <w:name w:val="Средний список 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8" w:customStyle="1">
    <w:name w:val="Средний список 11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99" w:customStyle="1">
    <w:name w:val="Светлая заливка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0" w:customStyle="1">
    <w:name w:val="Средний список 11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1" w:customStyle="1">
    <w:name w:val="Средний список 115"/>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2" w:customStyle="1">
    <w:name w:val="Средний список 116"/>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3" w:customStyle="1">
    <w:name w:val="Светлая заливка2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4" w:customStyle="1">
    <w:name w:val="Средний список 117"/>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5" w:customStyle="1">
    <w:name w:val="Средний список 118"/>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6" w:customStyle="1">
    <w:name w:val="Средний список 119"/>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7" w:customStyle="1">
    <w:name w:val="Средний список 1110"/>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8" w:customStyle="1">
    <w:name w:val="Средний список 11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09" w:customStyle="1">
    <w:name w:val="Светлая заливка3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0" w:customStyle="1">
    <w:name w:val="Средний список 1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1" w:customStyle="1">
    <w:name w:val="Средний список 111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2" w:customStyle="1">
    <w:name w:val="Средний список 111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3" w:customStyle="1">
    <w:name w:val="Средний список 1115"/>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4" w:customStyle="1">
    <w:name w:val="Средний список 1116"/>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5" w:customStyle="1">
    <w:name w:val="Светлая заливка116"/>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6" w:customStyle="1">
    <w:name w:val="Светлая заливка3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7" w:customStyle="1">
    <w:name w:val="Светлая заливка1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8" w:customStyle="1">
    <w:name w:val="Сетка таблицы 51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19" w:customStyle="1">
    <w:name w:val="Простая таблица 12"/>
    <w:basedOn w:val="13513"/>
    <w:semiHidden/>
    <w:unhideWhenUsed/>
    <w:pPr>
      <w:pBdr/>
      <w:spacing w:after="120" w:before="120" w:line="240" w:lineRule="auto"/>
      <w:ind/>
      <w:jc w:val="both"/>
    </w:pPr>
    <w:rPr>
      <w:sz w:val="20"/>
      <w:szCs w:val="20"/>
    </w:rPr>
    <w:tblPr>
      <w:tblBorders>
        <w:top w:val="single" w:color="008000" w:sz="12" w:space="0"/>
        <w:bottom w:val="single" w:color="008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0" w:customStyle="1">
    <w:name w:val="Простая таблица 22"/>
    <w:basedOn w:val="13513"/>
    <w:semiHidden/>
    <w:unhideWhenUsed/>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1" w:customStyle="1">
    <w:name w:val="Простая таблица 32"/>
    <w:basedOn w:val="13513"/>
    <w:semiHidden/>
    <w:unhideWhenUsed/>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2" w:customStyle="1">
    <w:name w:val="Классическая таблица 12"/>
    <w:basedOn w:val="13513"/>
    <w:semiHidden/>
    <w:unhideWhenUsed/>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3" w:customStyle="1">
    <w:name w:val="Классическая таблица 22"/>
    <w:basedOn w:val="13513"/>
    <w:semiHidden/>
    <w:unhideWhenUsed/>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4" w:customStyle="1">
    <w:name w:val="Столбцы таблицы 22"/>
    <w:basedOn w:val="13513"/>
    <w:semiHidden/>
    <w:unhideWhenUsed/>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5" w:customStyle="1">
    <w:name w:val="Столбцы таблицы 32"/>
    <w:basedOn w:val="13513"/>
    <w:semiHidden/>
    <w:unhideWhenUsed/>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6" w:customStyle="1">
    <w:name w:val="Столбцы таблицы 42"/>
    <w:basedOn w:val="13513"/>
    <w:semiHidden/>
    <w:unhideWhenUsed/>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7" w:customStyle="1">
    <w:name w:val="Столбцы таблицы 52"/>
    <w:basedOn w:val="13513"/>
    <w:semiHidden/>
    <w:unhideWhenUsed/>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8" w:customStyle="1">
    <w:name w:val="Сетка таблицы 1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29" w:customStyle="1">
    <w:name w:val="Сетка таблицы 22"/>
    <w:basedOn w:val="13513"/>
    <w:semiHidden/>
    <w:unhideWhenUsed/>
    <w:pPr>
      <w:pBdr/>
      <w:spacing w:after="120" w:before="120" w:line="240" w:lineRule="auto"/>
      <w:ind/>
      <w:jc w:val="both"/>
    </w:pPr>
    <w:rPr>
      <w:sz w:val="20"/>
      <w:szCs w:val="20"/>
    </w:rPr>
    <w:tblPr>
      <w:tblBorders>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0" w:customStyle="1">
    <w:name w:val="Сетка таблицы 53"/>
    <w:basedOn w:val="13513"/>
    <w:semiHidden/>
    <w:unhideWhenUsed/>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1" w:customStyle="1">
    <w:name w:val="Сетка таблицы 82"/>
    <w:basedOn w:val="13513"/>
    <w:semiHidden/>
    <w:unhideWhenUsed/>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2" w:customStyle="1">
    <w:name w:val="Таблица-список 12"/>
    <w:basedOn w:val="13513"/>
    <w:semiHidden/>
    <w:unhideWhenUsed/>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3" w:customStyle="1">
    <w:name w:val="Таблица-список 22"/>
    <w:basedOn w:val="13513"/>
    <w:semiHidden/>
    <w:unhideWhenUsed/>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4" w:customStyle="1">
    <w:name w:val="Современная таблица2"/>
    <w:basedOn w:val="13513"/>
    <w:semiHidden/>
    <w:unhideWhenUsed/>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5" w:customStyle="1">
    <w:name w:val="Изысканная таблица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6" w:customStyle="1">
    <w:name w:val="Стандартная таблица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7" w:customStyle="1">
    <w:name w:val="Изящная таблица 12"/>
    <w:basedOn w:val="13513"/>
    <w:semiHidden/>
    <w:unhideWhenUsed/>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8" w:customStyle="1">
    <w:name w:val="Изящная таблица 22"/>
    <w:basedOn w:val="13513"/>
    <w:semiHidden/>
    <w:unhideWhenUsed/>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39" w:customStyle="1">
    <w:name w:val="Веб-таблица 1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0" w:customStyle="1">
    <w:name w:val="Веб-таблица 2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1" w:customStyle="1">
    <w:name w:val="Веб-таблица 32"/>
    <w:basedOn w:val="13513"/>
    <w:unhideWhenUsed/>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2" w:customStyle="1">
    <w:name w:val="Средняя заливка 2 - Акцент 42"/>
    <w:basedOn w:val="13513"/>
    <w:uiPriority w:val="64"/>
    <w:unhideWhenUsed/>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Lines="0" w:beforeLines="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Lines="0" w:beforeLines="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3" w:customStyle="1">
    <w:name w:val="Папушкин2"/>
    <w:basedOn w:val="13514"/>
    <w:pPr>
      <w:pBdr/>
      <w:spacing/>
      <w:ind/>
      <w:jc w:val="center"/>
    </w:pPr>
    <w:rPr>
      <w:sz w:val="18"/>
      <w:szCs w:val="18"/>
    </w:rPr>
    <w:tblPr>
      <w:tblStyleRowBandSize w:val="1"/>
      <w:tblBorders/>
    </w:tblPr>
    <w:tcPr>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4" w:customStyle="1">
    <w:name w:val="Сетка таблицы 52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5" w:customStyle="1">
    <w:name w:val="Средний список 1117"/>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6" w:customStyle="1">
    <w:name w:val="Средний список 1 - Акцент 11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7" w:customStyle="1">
    <w:name w:val="Светлая заливка1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8" w:customStyle="1">
    <w:name w:val="Средний список 1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49" w:customStyle="1">
    <w:name w:val="Светлая заливка2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0" w:customStyle="1">
    <w:name w:val="Светлая заливка117"/>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1" w:customStyle="1">
    <w:name w:val="Светлая заливка113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2" w:customStyle="1">
    <w:name w:val="Светлая заливка115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3" w:customStyle="1">
    <w:name w:val="Светлая заливка11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4" w:customStyle="1">
    <w:name w:val="Светлая заливка3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5" w:customStyle="1">
    <w:name w:val="Light Shading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6" w:customStyle="1">
    <w:name w:val="Светлая заливка112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7" w:customStyle="1">
    <w:name w:val="Светлая заливка114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8" w:customStyle="1">
    <w:name w:val="рпдлпжлопж1"/>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szCs w:val="18"/>
      </w:rPr>
      <w:pPr>
        <w:pBdr/>
        <w:spacing/>
        <w:ind/>
        <w:jc w:val="right"/>
      </w:pPr>
      <w:tblPr>
        <w:tblBorders/>
      </w:tblPr>
      <w:tcPr>
        <w:tcBorders/>
      </w:tcPr>
    </w:tblStylePr>
    <w:tblStylePr w:type="band1Vert">
      <w:rPr>
        <w:sz w:val="18"/>
        <w:szCs w:val="18"/>
      </w:rPr>
      <w:pPr>
        <w:pBdr/>
        <w:spacing/>
        <w:ind/>
        <w:jc w:val="right"/>
      </w:pPr>
      <w:tblPr>
        <w:tblBorders/>
      </w:tblPr>
      <w:tcPr>
        <w:tcBorders/>
      </w:tcPr>
    </w:tblStylePr>
    <w:tblStylePr w:type="band2Horz">
      <w:rPr>
        <w:sz w:val="18"/>
        <w:szCs w:val="18"/>
      </w:rPr>
      <w:pPr>
        <w:pBdr/>
        <w:spacing/>
        <w:ind/>
        <w:jc w:val="right"/>
      </w:pPr>
      <w:tblPr>
        <w:tblBorders/>
      </w:tblPr>
      <w:tcPr>
        <w:shd w:val="clear" w:color="auto" w:fill="bfbfbf"/>
        <w:tcBorders/>
      </w:tcPr>
    </w:tblStylePr>
    <w:tblStylePr w:type="band2Vert">
      <w:rPr>
        <w:sz w:val="18"/>
        <w:szCs w:val="18"/>
      </w:rPr>
      <w:pPr>
        <w:pBdr/>
        <w:spacing/>
        <w:ind/>
        <w:jc w:val="right"/>
      </w:pPr>
      <w:tblPr>
        <w:tblBorders/>
      </w:tblPr>
      <w:tcPr>
        <w:tcBorders/>
      </w:tcPr>
    </w:tblStylePr>
    <w:tblStylePr w:type="firstCol">
      <w:rPr>
        <w:sz w:val="18"/>
        <w:szCs w:val="18"/>
      </w:rPr>
      <w:pPr>
        <w:pBdr/>
        <w:spacing/>
        <w:ind/>
      </w:pPr>
      <w:tblPr>
        <w:tblBorders/>
      </w:tblPr>
      <w:tcPr>
        <w:tcBorders>
          <w:right w:val="single" w:color="000000" w:sz="4" w:space="0"/>
        </w:tcBorders>
      </w:tcPr>
    </w:tblStylePr>
    <w:tblStylePr w:type="firstRow">
      <w:rPr>
        <w:b/>
        <w:sz w:val="18"/>
        <w:szCs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59" w:customStyle="1">
    <w:name w:val="Светлая заливка3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0" w:customStyle="1">
    <w:name w:val="Сетка таблицы 51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1" w:customStyle="1">
    <w:name w:val="Папушкин11"/>
    <w:basedOn w:val="13514"/>
    <w:pPr>
      <w:pBdr/>
      <w:spacing/>
      <w:ind/>
      <w:jc w:val="center"/>
    </w:pPr>
    <w:rPr>
      <w:sz w:val="18"/>
      <w:szCs w:val="18"/>
    </w:rPr>
    <w:tblPr>
      <w:tblStyleRowBandSize w:val="1"/>
      <w:tblBorders/>
    </w:tblPr>
    <w:tcPr>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2" w:customStyle="1">
    <w:name w:val="Сетка таблицы 521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3" w:customStyle="1">
    <w:name w:val="Столбцы таблицы 311"/>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4" w:customStyle="1">
    <w:name w:val="Столбцы таблицы 411"/>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5" w:customStyle="1">
    <w:name w:val="Столбцы таблицы 511"/>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6" w:customStyle="1">
    <w:name w:val="Таблица-список 111"/>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7" w:customStyle="1">
    <w:name w:val="Столбцы таблицы 211"/>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8" w:customStyle="1">
    <w:name w:val="Таблица-список 211"/>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69" w:customStyle="1">
    <w:name w:val="Современная таблица11"/>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0" w:customStyle="1">
    <w:name w:val="Средний список 1118"/>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1" w:customStyle="1">
    <w:name w:val="Средний список 1 - Акцент 111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2" w:customStyle="1">
    <w:name w:val="Простая таблица 211"/>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3" w:customStyle="1">
    <w:name w:val="Стандартная таблица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4" w:customStyle="1">
    <w:name w:val="Классическая таблица 111"/>
    <w:basedOn w:val="13513"/>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5" w:customStyle="1">
    <w:name w:val="Простая таблица 111"/>
    <w:basedOn w:val="13513"/>
    <w:pPr>
      <w:pBdr/>
      <w:spacing w:after="120" w:before="120" w:line="240" w:lineRule="auto"/>
      <w:ind/>
      <w:jc w:val="both"/>
    </w:pPr>
    <w:rPr>
      <w:sz w:val="20"/>
      <w:szCs w:val="20"/>
    </w:rPr>
    <w:tblPr>
      <w:tblBorders>
        <w:top w:val="single" w:color="008000" w:sz="12" w:space="0"/>
        <w:bottom w:val="single" w:color="008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6" w:customStyle="1">
    <w:name w:val="Изящная таблица 211"/>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7" w:customStyle="1">
    <w:name w:val="Веб-таблица 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8" w:customStyle="1">
    <w:name w:val="Веб-таблица 2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79" w:customStyle="1">
    <w:name w:val="Веб-таблица 311"/>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0" w:customStyle="1">
    <w:name w:val="Изысканная таблица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1" w:customStyle="1">
    <w:name w:val="Изящная таблица 111"/>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2" w:customStyle="1">
    <w:name w:val="Классическая таблица 211"/>
    <w:basedOn w:val="13513"/>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3" w:customStyle="1">
    <w:name w:val="Сетка таблицы 811"/>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4" w:customStyle="1">
    <w:name w:val="Сетка таблицы 211"/>
    <w:basedOn w:val="13513"/>
    <w:pPr>
      <w:pBdr/>
      <w:spacing w:after="120" w:before="120" w:line="240" w:lineRule="auto"/>
      <w:ind/>
      <w:jc w:val="both"/>
    </w:pPr>
    <w:rPr>
      <w:sz w:val="20"/>
      <w:szCs w:val="20"/>
    </w:rPr>
    <w:tblPr>
      <w:tblBorders>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5" w:customStyle="1">
    <w:name w:val="Сетка таблицы 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6" w:customStyle="1">
    <w:name w:val="Простая таблица 311"/>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7" w:customStyle="1">
    <w:name w:val="Средняя заливка 2 - Акцент 411"/>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Lines="0" w:beforeLines="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Lines="0" w:beforeLines="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8" w:customStyle="1">
    <w:name w:val="Средний список 13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89" w:customStyle="1">
    <w:name w:val="Средний список 11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0" w:customStyle="1">
    <w:name w:val="Светлая заливка4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1" w:customStyle="1">
    <w:name w:val="Средний список 11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2" w:customStyle="1">
    <w:name w:val="Средний список 113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3" w:customStyle="1">
    <w:name w:val="Светлая заливка12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4" w:customStyle="1">
    <w:name w:val="Средний список 114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5" w:customStyle="1">
    <w:name w:val="Средний список 115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6" w:customStyle="1">
    <w:name w:val="Средний список 116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7" w:customStyle="1">
    <w:name w:val="Светлая заливка2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8" w:customStyle="1">
    <w:name w:val="Средний список 117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99" w:customStyle="1">
    <w:name w:val="Средний список 118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0" w:customStyle="1">
    <w:name w:val="Средний список 119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1" w:customStyle="1">
    <w:name w:val="Средний список 1110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2" w:customStyle="1">
    <w:name w:val="Средний список 111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3" w:customStyle="1">
    <w:name w:val="Светлая заливка32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4" w:customStyle="1">
    <w:name w:val="Средний список 111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5" w:customStyle="1">
    <w:name w:val="Средний список 1113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6" w:customStyle="1">
    <w:name w:val="Средний список 1114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7" w:customStyle="1">
    <w:name w:val="Средний список 1115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8" w:customStyle="1">
    <w:name w:val="Средний список 1116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09" w:customStyle="1">
    <w:name w:val="Светлая заливка116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0" w:customStyle="1">
    <w:name w:val="Светлая заливка33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1" w:customStyle="1">
    <w:name w:val="Светлая заливка13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2" w:customStyle="1">
    <w:name w:val="Сетка таблицы 511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3" w:customStyle="1">
    <w:name w:val="Сетка таблицы6"/>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4" w:customStyle="1">
    <w:name w:val="Сетка таблицы7"/>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5" w:customStyle="1">
    <w:name w:val="Сетка таблицы4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6" w:customStyle="1">
    <w:name w:val="Изысканная таблица5"/>
    <w:basedOn w:val="13513"/>
    <w:pPr>
      <w:pBdr/>
      <w:spacing w:after="120" w:before="120" w:line="36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7" w:customStyle="1">
    <w:name w:val="Изящная таблица 15"/>
    <w:basedOn w:val="13513"/>
    <w:pPr>
      <w:pBdr/>
      <w:spacing w:after="120" w:before="120" w:line="36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8" w:customStyle="1">
    <w:name w:val="Классическая таблица 25"/>
    <w:basedOn w:val="13513"/>
    <w:pPr>
      <w:pBdr/>
      <w:spacing w:after="120" w:before="120" w:line="36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19" w:customStyle="1">
    <w:name w:val="Сетка таблицы14"/>
    <w:basedOn w:val="13513"/>
    <w:pPr>
      <w:pBdr/>
      <w:spacing w:after="0" w:line="360" w:lineRule="auto"/>
      <w:ind/>
      <w:jc w:val="both"/>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0" w:customStyle="1">
    <w:name w:val="Сетка таблицы23"/>
    <w:basedOn w:val="13513"/>
    <w:pPr>
      <w:pBdr/>
      <w:spacing w:after="0" w:line="360" w:lineRule="auto"/>
      <w:ind/>
      <w:jc w:val="both"/>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1" w:customStyle="1">
    <w:name w:val="Сетка таблицы 85"/>
    <w:basedOn w:val="13513"/>
    <w:pPr>
      <w:pBdr/>
      <w:spacing w:after="120" w:before="120" w:line="36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2" w:customStyle="1">
    <w:name w:val="Сетка таблицы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3" w:customStyle="1">
    <w:name w:val="Сетка таблицы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4" w:customStyle="1">
    <w:name w:val="Сетка таблицы10"/>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5" w:customStyle="1">
    <w:name w:val="Сетка таблицы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6" w:customStyle="1">
    <w:name w:val="Сетка таблицы1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7" w:customStyle="1">
    <w:name w:val="Сетка таблицы15"/>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8" w:customStyle="1">
    <w:name w:val="Сетка таблицы16"/>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29" w:customStyle="1">
    <w:name w:val="Сетка таблицы17"/>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0" w:customStyle="1">
    <w:name w:val="Сетка таблицы18"/>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1" w:customStyle="1">
    <w:name w:val="Table Grid Report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2" w:customStyle="1">
    <w:name w:val="Сетка таблицы2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3" w:customStyle="1">
    <w:name w:val="Сетка таблицы1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4" w:customStyle="1">
    <w:name w:val="Веб-таблица 33"/>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5" w:customStyle="1">
    <w:name w:val="Сетка таблицы21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6" w:customStyle="1">
    <w:name w:val="Сетка таблицы1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7" w:customStyle="1">
    <w:name w:val="Сетка таблицы3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8" w:customStyle="1">
    <w:name w:val="Веб-таблица 312"/>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39" w:customStyle="1">
    <w:name w:val="Table Grid Report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0" w:customStyle="1">
    <w:name w:val="Сетка таблицы1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1" w:customStyle="1">
    <w:name w:val="Table Normal"/>
    <w:uiPriority w:val="2"/>
    <w:semiHidden/>
    <w:unhideWhenUsed/>
    <w:qFormat/>
    <w:pPr>
      <w:pBdr/>
      <w:spacing w:after="0" w:line="240" w:lineRule="auto"/>
      <w:ind/>
    </w:pPr>
    <w:rPr>
      <w:lang w:val="en-US" w:eastAsia="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2" w:customStyle="1">
    <w:name w:val="Классическая таблица 13"/>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3" w:customStyle="1">
    <w:name w:val="Сетка таблицы6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4" w:customStyle="1">
    <w:name w:val="Сетка таблицы7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5" w:customStyle="1">
    <w:name w:val="Table Grid Report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6" w:customStyle="1">
    <w:name w:val="Сетка таблицы24"/>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7" w:customStyle="1">
    <w:name w:val="Сетка таблицы1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8" w:customStyle="1">
    <w:name w:val="Веб-таблица 34"/>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49" w:customStyle="1">
    <w:name w:val="Table Grid Report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0" w:customStyle="1">
    <w:name w:val="Сетка таблицы21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1" w:customStyle="1">
    <w:name w:val="Сетка таблицы1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2" w:customStyle="1">
    <w:name w:val="Сетка таблицы3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3" w:customStyle="1">
    <w:name w:val="Веб-таблица 313"/>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4" w:customStyle="1">
    <w:name w:val="Table Grid Report1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5" w:customStyle="1">
    <w:name w:val="Сетка таблицы22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6" w:customStyle="1">
    <w:name w:val="Сетка таблицы1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7" w:customStyle="1">
    <w:name w:val="Table Normal1"/>
    <w:uiPriority w:val="2"/>
    <w:semiHidden/>
    <w:unhideWhenUsed/>
    <w:qFormat/>
    <w:pPr>
      <w:pBdr/>
      <w:spacing w:after="0" w:line="240" w:lineRule="auto"/>
      <w:ind/>
    </w:pPr>
    <w:rPr>
      <w:lang w:val="en-US" w:eastAsia="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8" w:customStyle="1">
    <w:name w:val="Классическая таблица 14"/>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59" w:customStyle="1">
    <w:name w:val="Сетка таблицы6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0" w:customStyle="1">
    <w:name w:val="Сетка таблицы7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1" w:customStyle="1">
    <w:name w:val="Table Grid Report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2" w:customStyle="1">
    <w:name w:val="Сетка таблицы 54"/>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3" w:customStyle="1">
    <w:name w:val="Table Grid12"/>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4" w:customStyle="1">
    <w:name w:val="Папушкин3"/>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5" w:customStyle="1">
    <w:name w:val="Сетка таблицы 523"/>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6" w:customStyle="1">
    <w:name w:val="Столбцы таблицы 33"/>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7" w:customStyle="1">
    <w:name w:val="Столбцы таблицы 43"/>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8" w:customStyle="1">
    <w:name w:val="Столбцы таблицы 53"/>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69" w:customStyle="1">
    <w:name w:val="Таблица-список 13"/>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0" w:customStyle="1">
    <w:name w:val="Столбцы таблицы 23"/>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1" w:customStyle="1">
    <w:name w:val="Таблица-список 23"/>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2" w:customStyle="1">
    <w:name w:val="Современная таблица3"/>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3" w:customStyle="1">
    <w:name w:val="Средний список 1119"/>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4" w:customStyle="1">
    <w:name w:val="Средний список 1 - Акцент 113"/>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5" w:customStyle="1">
    <w:name w:val="Простая таблица 23"/>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6" w:customStyle="1">
    <w:name w:val="Стандартная таблица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7" w:customStyle="1">
    <w:name w:val="Классическая таблица 15"/>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8" w:customStyle="1">
    <w:name w:val="Простая таблица 13"/>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79" w:customStyle="1">
    <w:name w:val="Изящная таблица 23"/>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0" w:customStyle="1">
    <w:name w:val="Веб-таблица 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1" w:customStyle="1">
    <w:name w:val="Веб-таблица 2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2" w:customStyle="1">
    <w:name w:val="Веб-таблица 35"/>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3" w:customStyle="1">
    <w:name w:val="Изысканная таблица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4" w:customStyle="1">
    <w:name w:val="Изящная таблица 13"/>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5" w:customStyle="1">
    <w:name w:val="Классическая таблица 23"/>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6" w:customStyle="1">
    <w:name w:val="Сетка таблицы11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7" w:customStyle="1">
    <w:name w:val="Сетка таблицы2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8" w:customStyle="1">
    <w:name w:val="Сетка таблицы 83"/>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89" w:customStyle="1">
    <w:name w:val="Сетка таблицы 23"/>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0" w:customStyle="1">
    <w:name w:val="Сетка таблицы 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1" w:customStyle="1">
    <w:name w:val="Светлая заливка15"/>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2" w:customStyle="1">
    <w:name w:val="Средний список 1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3" w:customStyle="1">
    <w:name w:val="Сетка таблицы25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4" w:customStyle="1">
    <w:name w:val="Светлая заливка2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5" w:customStyle="1">
    <w:name w:val="Сетка таблицы3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6" w:customStyle="1">
    <w:name w:val="Простая таблица 33"/>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7" w:customStyle="1">
    <w:name w:val="Средняя заливка 2 - Акцент 43"/>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8" w:customStyle="1">
    <w:name w:val="Светлая заливка118"/>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799" w:customStyle="1">
    <w:name w:val="Светлая заливка113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0" w:customStyle="1">
    <w:name w:val="Светлая заливка115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1" w:customStyle="1">
    <w:name w:val="Светлая заливка11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2" w:customStyle="1">
    <w:name w:val="Светлая заливка35"/>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3" w:customStyle="1">
    <w:name w:val="Light Shading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4" w:customStyle="1">
    <w:name w:val="Светлая заливка112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5" w:customStyle="1">
    <w:name w:val="Сетка таблицы4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6" w:customStyle="1">
    <w:name w:val="Светлая заливка114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7" w:customStyle="1">
    <w:name w:val="рпдлпжлопж2"/>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rPr>
      <w:pPr>
        <w:pBdr/>
        <w:spacing/>
        <w:ind/>
        <w:jc w:val="right"/>
      </w:pPr>
      <w:tblPr>
        <w:tblBorders/>
      </w:tblPr>
      <w:tcPr>
        <w:tcBorders/>
      </w:tcPr>
    </w:tblStylePr>
    <w:tblStylePr w:type="band1Vert">
      <w:rPr>
        <w:sz w:val="18"/>
      </w:rPr>
      <w:pPr>
        <w:pBdr/>
        <w:spacing/>
        <w:ind/>
        <w:jc w:val="right"/>
      </w:pPr>
      <w:tblPr>
        <w:tblBorders/>
      </w:tblPr>
      <w:tcPr>
        <w:tcBorders/>
      </w:tcPr>
    </w:tblStylePr>
    <w:tblStylePr w:type="band2Horz">
      <w:rPr>
        <w:sz w:val="18"/>
      </w:rPr>
      <w:pPr>
        <w:pBdr/>
        <w:spacing/>
        <w:ind/>
        <w:jc w:val="right"/>
      </w:pPr>
      <w:tblPr>
        <w:tblBorders/>
      </w:tblPr>
      <w:tcPr>
        <w:shd w:val="clear" w:color="auto" w:fill="bfbfbf"/>
        <w:tcBorders/>
      </w:tcPr>
    </w:tblStylePr>
    <w:tblStylePr w:type="band2Vert">
      <w:rPr>
        <w:sz w:val="18"/>
      </w:rPr>
      <w:pPr>
        <w:pBdr/>
        <w:spacing/>
        <w:ind/>
        <w:jc w:val="right"/>
      </w:pPr>
      <w:tblPr>
        <w:tblBorders/>
      </w:tblPr>
      <w:tcPr>
        <w:tcBorders/>
      </w:tcPr>
    </w:tblStylePr>
    <w:tblStylePr w:type="firstCol">
      <w:rPr>
        <w:sz w:val="18"/>
      </w:rPr>
      <w:pPr>
        <w:pBdr/>
        <w:spacing/>
        <w:ind/>
      </w:pPr>
      <w:tblPr>
        <w:tblBorders/>
      </w:tblPr>
      <w:tcPr>
        <w:tcBorders>
          <w:right w:val="single" w:color="000000" w:sz="4" w:space="0"/>
        </w:tcBorders>
      </w:tcPr>
    </w:tblStylePr>
    <w:tblStylePr w:type="firstRow">
      <w:rPr>
        <w:b/>
        <w:sz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8" w:customStyle="1">
    <w:name w:val="Светлая заливка3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09" w:customStyle="1">
    <w:name w:val="Сетка таблицы5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0" w:customStyle="1">
    <w:name w:val="Сетка таблицы 513"/>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1" w:customStyle="1">
    <w:name w:val="Table Grid111"/>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2" w:customStyle="1">
    <w:name w:val="Папушкин12"/>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3" w:customStyle="1">
    <w:name w:val="Сетка таблицы 521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4" w:customStyle="1">
    <w:name w:val="Столбцы таблицы 312"/>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5" w:customStyle="1">
    <w:name w:val="Столбцы таблицы 412"/>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6" w:customStyle="1">
    <w:name w:val="Столбцы таблицы 512"/>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7" w:customStyle="1">
    <w:name w:val="Таблица-список 112"/>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8" w:customStyle="1">
    <w:name w:val="Столбцы таблицы 212"/>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19" w:customStyle="1">
    <w:name w:val="Таблица-список 212"/>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0" w:customStyle="1">
    <w:name w:val="Современная таблица12"/>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1" w:customStyle="1">
    <w:name w:val="Средний список 11110"/>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2" w:customStyle="1">
    <w:name w:val="Средний список 1 - Акцент 111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3" w:customStyle="1">
    <w:name w:val="Простая таблица 212"/>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4" w:customStyle="1">
    <w:name w:val="Стандартная таблица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5" w:customStyle="1">
    <w:name w:val="Классическая таблица 112"/>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6" w:customStyle="1">
    <w:name w:val="Простая таблица 112"/>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7" w:customStyle="1">
    <w:name w:val="Изящная таблица 212"/>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8" w:customStyle="1">
    <w:name w:val="Веб-таблица 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29" w:customStyle="1">
    <w:name w:val="Веб-таблица 2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0" w:customStyle="1">
    <w:name w:val="Веб-таблица 314"/>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1" w:customStyle="1">
    <w:name w:val="Изысканная таблица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2" w:customStyle="1">
    <w:name w:val="Изящная таблица 112"/>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3" w:customStyle="1">
    <w:name w:val="Классическая таблица 212"/>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4" w:customStyle="1">
    <w:name w:val="Сетка таблицы11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5" w:customStyle="1">
    <w:name w:val="Сетка таблицы213"/>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6" w:customStyle="1">
    <w:name w:val="Сетка таблицы 812"/>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7" w:customStyle="1">
    <w:name w:val="Сетка таблицы 212"/>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8" w:customStyle="1">
    <w:name w:val="Сетка таблицы 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39" w:customStyle="1">
    <w:name w:val="Простая таблица 312"/>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0" w:customStyle="1">
    <w:name w:val="Средняя заливка 2 - Акцент 412"/>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1" w:customStyle="1">
    <w:name w:val="Средний список 13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2" w:customStyle="1">
    <w:name w:val="Средний список 1111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3" w:customStyle="1">
    <w:name w:val="Светлая заливка4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4" w:customStyle="1">
    <w:name w:val="Средний список 11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5" w:customStyle="1">
    <w:name w:val="Средний список 113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6" w:customStyle="1">
    <w:name w:val="Светлая заливка12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7" w:customStyle="1">
    <w:name w:val="Средний список 114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8" w:customStyle="1">
    <w:name w:val="Средний список 115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49" w:customStyle="1">
    <w:name w:val="Средний список 116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0" w:customStyle="1">
    <w:name w:val="Светлая заливка2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1" w:customStyle="1">
    <w:name w:val="Средний список 117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2" w:customStyle="1">
    <w:name w:val="Средний список 118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3" w:customStyle="1">
    <w:name w:val="Средний список 119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4" w:customStyle="1">
    <w:name w:val="Средний список 1110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5" w:customStyle="1">
    <w:name w:val="Средний список 111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6" w:customStyle="1">
    <w:name w:val="Светлая заливка32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7" w:customStyle="1">
    <w:name w:val="Средний список 111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8" w:customStyle="1">
    <w:name w:val="Средний список 1113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59" w:customStyle="1">
    <w:name w:val="Средний список 1114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0" w:customStyle="1">
    <w:name w:val="Средний список 1115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1" w:customStyle="1">
    <w:name w:val="Средний список 1116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2" w:customStyle="1">
    <w:name w:val="Светлая заливка116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3" w:customStyle="1">
    <w:name w:val="Светлая заливка33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4" w:customStyle="1">
    <w:name w:val="Светлая заливка13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5" w:customStyle="1">
    <w:name w:val="Сетка таблицы 511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6" w:customStyle="1">
    <w:name w:val="Простая таблица 121"/>
    <w:basedOn w:val="13513"/>
    <w:semiHidden/>
    <w:unhideWhenUsed/>
    <w:pPr>
      <w:pBdr/>
      <w:spacing w:after="120" w:before="120" w:line="240" w:lineRule="auto"/>
      <w:ind/>
      <w:jc w:val="both"/>
    </w:pPr>
    <w:rPr>
      <w:sz w:val="20"/>
      <w:szCs w:val="20"/>
    </w:rPr>
    <w:tblPr>
      <w:tblBorders>
        <w:top w:val="single" w:color="008000" w:sz="12" w:space="0"/>
        <w:bottom w:val="single" w:color="008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7" w:customStyle="1">
    <w:name w:val="Простая таблица 221"/>
    <w:basedOn w:val="13513"/>
    <w:semiHidden/>
    <w:unhideWhenUsed/>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8" w:customStyle="1">
    <w:name w:val="Простая таблица 321"/>
    <w:basedOn w:val="13513"/>
    <w:semiHidden/>
    <w:unhideWhenUsed/>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69" w:customStyle="1">
    <w:name w:val="Классическая таблица 121"/>
    <w:basedOn w:val="13513"/>
    <w:semiHidden/>
    <w:unhideWhenUsed/>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0" w:customStyle="1">
    <w:name w:val="Классическая таблица 221"/>
    <w:basedOn w:val="13513"/>
    <w:semiHidden/>
    <w:unhideWhenUsed/>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1" w:customStyle="1">
    <w:name w:val="Столбцы таблицы 221"/>
    <w:basedOn w:val="13513"/>
    <w:semiHidden/>
    <w:unhideWhenUsed/>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2" w:customStyle="1">
    <w:name w:val="Столбцы таблицы 321"/>
    <w:basedOn w:val="13513"/>
    <w:semiHidden/>
    <w:unhideWhenUsed/>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3" w:customStyle="1">
    <w:name w:val="Столбцы таблицы 421"/>
    <w:basedOn w:val="13513"/>
    <w:semiHidden/>
    <w:unhideWhenUsed/>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4" w:customStyle="1">
    <w:name w:val="Столбцы таблицы 521"/>
    <w:basedOn w:val="13513"/>
    <w:semiHidden/>
    <w:unhideWhenUsed/>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5" w:customStyle="1">
    <w:name w:val="Сетка таблицы 121"/>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6" w:customStyle="1">
    <w:name w:val="Сетка таблицы 221"/>
    <w:basedOn w:val="13513"/>
    <w:semiHidden/>
    <w:unhideWhenUsed/>
    <w:pPr>
      <w:pBdr/>
      <w:spacing w:after="120" w:before="120" w:line="240" w:lineRule="auto"/>
      <w:ind/>
      <w:jc w:val="both"/>
    </w:pPr>
    <w:rPr>
      <w:sz w:val="20"/>
      <w:szCs w:val="20"/>
    </w:rPr>
    <w:tblPr>
      <w:tblBorders>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7" w:customStyle="1">
    <w:name w:val="Сетка таблицы 531"/>
    <w:basedOn w:val="13513"/>
    <w:semiHidden/>
    <w:unhideWhenUsed/>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8" w:customStyle="1">
    <w:name w:val="Сетка таблицы 821"/>
    <w:basedOn w:val="13513"/>
    <w:semiHidden/>
    <w:unhideWhenUsed/>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79" w:customStyle="1">
    <w:name w:val="Таблица-список 121"/>
    <w:basedOn w:val="13513"/>
    <w:semiHidden/>
    <w:unhideWhenUsed/>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0" w:customStyle="1">
    <w:name w:val="Таблица-список 221"/>
    <w:basedOn w:val="13513"/>
    <w:semiHidden/>
    <w:unhideWhenUsed/>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1" w:customStyle="1">
    <w:name w:val="Современная таблица21"/>
    <w:basedOn w:val="13513"/>
    <w:semiHidden/>
    <w:unhideWhenUsed/>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2" w:customStyle="1">
    <w:name w:val="Изысканная таблица21"/>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3" w:customStyle="1">
    <w:name w:val="Стандартная таблица21"/>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4" w:customStyle="1">
    <w:name w:val="Изящная таблица 121"/>
    <w:basedOn w:val="13513"/>
    <w:semiHidden/>
    <w:unhideWhenUsed/>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5" w:customStyle="1">
    <w:name w:val="Изящная таблица 221"/>
    <w:basedOn w:val="13513"/>
    <w:semiHidden/>
    <w:unhideWhenUsed/>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6" w:customStyle="1">
    <w:name w:val="Веб-таблица 121"/>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7" w:customStyle="1">
    <w:name w:val="Веб-таблица 221"/>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8" w:customStyle="1">
    <w:name w:val="Веб-таблица 321"/>
    <w:basedOn w:val="13513"/>
    <w:unhideWhenUsed/>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89" w:customStyle="1">
    <w:name w:val="Средняя заливка 2 - Акцент 421"/>
    <w:basedOn w:val="13513"/>
    <w:uiPriority w:val="64"/>
    <w:semiHidden/>
    <w:unhideWhenUsed/>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Lines="0" w:beforeLines="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Lines="0" w:beforeLines="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0" w:customStyle="1">
    <w:name w:val="Папушкин21"/>
    <w:basedOn w:val="13514"/>
    <w:pPr>
      <w:pBdr/>
      <w:spacing/>
      <w:ind/>
      <w:jc w:val="center"/>
    </w:pPr>
    <w:rPr>
      <w:sz w:val="18"/>
      <w:szCs w:val="18"/>
    </w:rPr>
    <w:tblPr>
      <w:tblStyleRowBandSize w:val="1"/>
      <w:tblBorders/>
    </w:tblPr>
    <w:tcPr>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1" w:customStyle="1">
    <w:name w:val="Сетка таблицы 522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2" w:customStyle="1">
    <w:name w:val="Средний список 1117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3" w:customStyle="1">
    <w:name w:val="Средний список 1 - Акцент 112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4" w:customStyle="1">
    <w:name w:val="Светлая заливка14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5" w:customStyle="1">
    <w:name w:val="Средний список 12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6" w:customStyle="1">
    <w:name w:val="Светлая заливка22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7" w:customStyle="1">
    <w:name w:val="Светлая заливка117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8" w:customStyle="1">
    <w:name w:val="Светлая заливка113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899" w:customStyle="1">
    <w:name w:val="Светлая заливка115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0" w:customStyle="1">
    <w:name w:val="Светлая заливка111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1" w:customStyle="1">
    <w:name w:val="Светлая заливка34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2" w:customStyle="1">
    <w:name w:val="Light Shading1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3" w:customStyle="1">
    <w:name w:val="Светлая заливка112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4" w:customStyle="1">
    <w:name w:val="Светлая заливка114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5" w:customStyle="1">
    <w:name w:val="рпдлпжлопж11"/>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szCs w:val="18"/>
      </w:rPr>
      <w:pPr>
        <w:pBdr/>
        <w:spacing/>
        <w:ind/>
        <w:jc w:val="right"/>
      </w:pPr>
      <w:tblPr>
        <w:tblBorders/>
      </w:tblPr>
      <w:tcPr>
        <w:tcBorders/>
      </w:tcPr>
    </w:tblStylePr>
    <w:tblStylePr w:type="band1Vert">
      <w:rPr>
        <w:sz w:val="18"/>
        <w:szCs w:val="18"/>
      </w:rPr>
      <w:pPr>
        <w:pBdr/>
        <w:spacing/>
        <w:ind/>
        <w:jc w:val="right"/>
      </w:pPr>
      <w:tblPr>
        <w:tblBorders/>
      </w:tblPr>
      <w:tcPr>
        <w:tcBorders/>
      </w:tcPr>
    </w:tblStylePr>
    <w:tblStylePr w:type="band2Horz">
      <w:rPr>
        <w:sz w:val="18"/>
        <w:szCs w:val="18"/>
      </w:rPr>
      <w:pPr>
        <w:pBdr/>
        <w:spacing/>
        <w:ind/>
        <w:jc w:val="right"/>
      </w:pPr>
      <w:tblPr>
        <w:tblBorders/>
      </w:tblPr>
      <w:tcPr>
        <w:shd w:val="clear" w:color="auto" w:fill="bfbfbf"/>
        <w:tcBorders/>
      </w:tcPr>
    </w:tblStylePr>
    <w:tblStylePr w:type="band2Vert">
      <w:rPr>
        <w:sz w:val="18"/>
        <w:szCs w:val="18"/>
      </w:rPr>
      <w:pPr>
        <w:pBdr/>
        <w:spacing/>
        <w:ind/>
        <w:jc w:val="right"/>
      </w:pPr>
      <w:tblPr>
        <w:tblBorders/>
      </w:tblPr>
      <w:tcPr>
        <w:tcBorders/>
      </w:tcPr>
    </w:tblStylePr>
    <w:tblStylePr w:type="firstCol">
      <w:rPr>
        <w:sz w:val="18"/>
        <w:szCs w:val="18"/>
      </w:rPr>
      <w:pPr>
        <w:pBdr/>
        <w:spacing/>
        <w:ind/>
      </w:pPr>
      <w:tblPr>
        <w:tblBorders/>
      </w:tblPr>
      <w:tcPr>
        <w:tcBorders>
          <w:right w:val="single" w:color="000000" w:sz="4" w:space="0"/>
        </w:tcBorders>
      </w:tcPr>
    </w:tblStylePr>
    <w:tblStylePr w:type="firstRow">
      <w:rPr>
        <w:b/>
        <w:sz w:val="18"/>
        <w:szCs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6" w:customStyle="1">
    <w:name w:val="Светлая заливка31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7" w:customStyle="1">
    <w:name w:val="Сетка таблицы 512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8" w:customStyle="1">
    <w:name w:val="Папушкин111"/>
    <w:basedOn w:val="13514"/>
    <w:pPr>
      <w:pBdr/>
      <w:spacing/>
      <w:ind/>
      <w:jc w:val="center"/>
    </w:pPr>
    <w:rPr>
      <w:sz w:val="18"/>
      <w:szCs w:val="18"/>
    </w:rPr>
    <w:tblPr>
      <w:tblStyleRowBandSize w:val="1"/>
      <w:tblBorders/>
    </w:tblPr>
    <w:tcPr>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09" w:customStyle="1">
    <w:name w:val="Сетка таблицы 5211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0" w:customStyle="1">
    <w:name w:val="Столбцы таблицы 3111"/>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1" w:customStyle="1">
    <w:name w:val="Столбцы таблицы 4111"/>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2" w:customStyle="1">
    <w:name w:val="Столбцы таблицы 5111"/>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3" w:customStyle="1">
    <w:name w:val="Таблица-список 1111"/>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4" w:customStyle="1">
    <w:name w:val="Столбцы таблицы 2111"/>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5" w:customStyle="1">
    <w:name w:val="Таблица-список 2111"/>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6" w:customStyle="1">
    <w:name w:val="Современная таблица111"/>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7" w:customStyle="1">
    <w:name w:val="Средний список 1118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8" w:customStyle="1">
    <w:name w:val="Средний список 1 - Акцент 1111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19" w:customStyle="1">
    <w:name w:val="Простая таблица 2111"/>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0" w:customStyle="1">
    <w:name w:val="Стандартная таблица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1" w:customStyle="1">
    <w:name w:val="Классическая таблица 1111"/>
    <w:basedOn w:val="13513"/>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2" w:customStyle="1">
    <w:name w:val="Простая таблица 1111"/>
    <w:basedOn w:val="13513"/>
    <w:pPr>
      <w:pBdr/>
      <w:spacing w:after="120" w:before="120" w:line="240" w:lineRule="auto"/>
      <w:ind/>
      <w:jc w:val="both"/>
    </w:pPr>
    <w:rPr>
      <w:sz w:val="20"/>
      <w:szCs w:val="20"/>
    </w:rPr>
    <w:tblPr>
      <w:tblBorders>
        <w:top w:val="single" w:color="008000" w:sz="12" w:space="0"/>
        <w:bottom w:val="single" w:color="008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3" w:customStyle="1">
    <w:name w:val="Изящная таблица 2111"/>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4" w:customStyle="1">
    <w:name w:val="Веб-таблица 1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5" w:customStyle="1">
    <w:name w:val="Веб-таблица 2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6" w:customStyle="1">
    <w:name w:val="Веб-таблица 3111"/>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7" w:customStyle="1">
    <w:name w:val="Изысканная таблица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8" w:customStyle="1">
    <w:name w:val="Изящная таблица 1111"/>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29" w:customStyle="1">
    <w:name w:val="Классическая таблица 2111"/>
    <w:basedOn w:val="13513"/>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0" w:customStyle="1">
    <w:name w:val="Сетка таблицы 8111"/>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1" w:customStyle="1">
    <w:name w:val="Сетка таблицы 2111"/>
    <w:basedOn w:val="13513"/>
    <w:pPr>
      <w:pBdr/>
      <w:spacing w:after="120" w:before="120" w:line="240" w:lineRule="auto"/>
      <w:ind/>
      <w:jc w:val="both"/>
    </w:pPr>
    <w:rPr>
      <w:sz w:val="20"/>
      <w:szCs w:val="20"/>
    </w:rPr>
    <w:tblPr>
      <w:tblBorders>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2" w:customStyle="1">
    <w:name w:val="Сетка таблицы 1111"/>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3" w:customStyle="1">
    <w:name w:val="Простая таблица 3111"/>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4" w:customStyle="1">
    <w:name w:val="Средняя заливка 2 - Акцент 4111"/>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Lines="0" w:beforeLines="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Lines="0" w:beforeLines="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5" w:customStyle="1">
    <w:name w:val="Средний список 13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6" w:customStyle="1">
    <w:name w:val="Средний список 1111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7" w:customStyle="1">
    <w:name w:val="Светлая заливка4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8" w:customStyle="1">
    <w:name w:val="Средний список 112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39" w:customStyle="1">
    <w:name w:val="Средний список 113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0" w:customStyle="1">
    <w:name w:val="Светлая заливка12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1" w:customStyle="1">
    <w:name w:val="Средний список 114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2" w:customStyle="1">
    <w:name w:val="Средний список 115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3" w:customStyle="1">
    <w:name w:val="Средний список 116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4" w:customStyle="1">
    <w:name w:val="Светлая заливка21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5" w:customStyle="1">
    <w:name w:val="Средний список 117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6" w:customStyle="1">
    <w:name w:val="Средний список 118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7" w:customStyle="1">
    <w:name w:val="Средний список 119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8" w:customStyle="1">
    <w:name w:val="Средний список 1110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49" w:customStyle="1">
    <w:name w:val="Средний список 1111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0" w:customStyle="1">
    <w:name w:val="Светлая заливка32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1" w:customStyle="1">
    <w:name w:val="Средний список 1112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2" w:customStyle="1">
    <w:name w:val="Средний список 1113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3" w:customStyle="1">
    <w:name w:val="Средний список 1114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4" w:customStyle="1">
    <w:name w:val="Средний список 1115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5" w:customStyle="1">
    <w:name w:val="Средний список 1116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6" w:customStyle="1">
    <w:name w:val="Светлая заливка116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7" w:customStyle="1">
    <w:name w:val="Светлая заливка33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8" w:customStyle="1">
    <w:name w:val="Светлая заливка1311"/>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59" w:customStyle="1">
    <w:name w:val="Сетка таблицы 51111"/>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0" w:customStyle="1">
    <w:name w:val="Сетка таблицы63"/>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1" w:customStyle="1">
    <w:name w:val="Сетка таблицы73"/>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2" w:customStyle="1">
    <w:name w:val="Сетка таблицы4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3" w:customStyle="1">
    <w:name w:val="Изысканная таблица51"/>
    <w:basedOn w:val="13513"/>
    <w:pPr>
      <w:pBdr/>
      <w:spacing w:after="120" w:before="120" w:line="36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4" w:customStyle="1">
    <w:name w:val="Изящная таблица 151"/>
    <w:basedOn w:val="13513"/>
    <w:pPr>
      <w:pBdr/>
      <w:spacing w:after="120" w:before="120" w:line="36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5" w:customStyle="1">
    <w:name w:val="Классическая таблица 251"/>
    <w:basedOn w:val="13513"/>
    <w:pPr>
      <w:pBdr/>
      <w:spacing w:after="120" w:before="120" w:line="36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6" w:customStyle="1">
    <w:name w:val="Сетка таблицы141"/>
    <w:basedOn w:val="13513"/>
    <w:pPr>
      <w:pBdr/>
      <w:spacing w:after="0" w:line="360" w:lineRule="auto"/>
      <w:ind/>
      <w:jc w:val="both"/>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7" w:customStyle="1">
    <w:name w:val="Сетка таблицы231"/>
    <w:basedOn w:val="13513"/>
    <w:pPr>
      <w:pBdr/>
      <w:spacing w:after="0" w:line="360" w:lineRule="auto"/>
      <w:ind/>
      <w:jc w:val="both"/>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8" w:customStyle="1">
    <w:name w:val="Сетка таблицы 851"/>
    <w:basedOn w:val="13513"/>
    <w:pPr>
      <w:pBdr/>
      <w:spacing w:after="120" w:before="120" w:line="36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69" w:customStyle="1">
    <w:name w:val="Сетка таблицы8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0" w:customStyle="1">
    <w:name w:val="Сетка таблицы9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1" w:customStyle="1">
    <w:name w:val="Сетка таблицы10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2" w:customStyle="1">
    <w:name w:val="Сетка таблицы12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3" w:customStyle="1">
    <w:name w:val="Сетка таблицы13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4" w:customStyle="1">
    <w:name w:val="Сетка таблицы15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5" w:customStyle="1">
    <w:name w:val="Сетка таблицы16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6" w:customStyle="1">
    <w:name w:val="Сетка таблицы17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7" w:customStyle="1">
    <w:name w:val="Сетка таблицы18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8" w:customStyle="1">
    <w:name w:val="Table Grid Report1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79" w:customStyle="1">
    <w:name w:val="Сетка таблицы22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0" w:customStyle="1">
    <w:name w:val="Сетка таблицы19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1" w:customStyle="1">
    <w:name w:val="Веб-таблица 331"/>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2" w:customStyle="1">
    <w:name w:val="Сетка таблицы211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3" w:customStyle="1">
    <w:name w:val="Сетка таблицы11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4" w:customStyle="1">
    <w:name w:val="Сетка таблицы3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5" w:customStyle="1">
    <w:name w:val="Веб-таблица 3121"/>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6" w:customStyle="1">
    <w:name w:val="Table Grid Report1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7" w:customStyle="1">
    <w:name w:val="Сетка таблицы12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8" w:customStyle="1">
    <w:name w:val="Table Normal2"/>
    <w:uiPriority w:val="2"/>
    <w:semiHidden/>
    <w:unhideWhenUsed/>
    <w:qFormat/>
    <w:pPr>
      <w:pBdr/>
      <w:spacing w:after="0" w:line="240" w:lineRule="auto"/>
      <w:ind/>
    </w:pPr>
    <w:rPr>
      <w:lang w:val="en-US" w:eastAsia="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89" w:customStyle="1">
    <w:name w:val="Классическая таблица 131"/>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0" w:customStyle="1">
    <w:name w:val="Сетка таблицы61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1" w:customStyle="1">
    <w:name w:val="Сетка таблицы71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2" w:customStyle="1">
    <w:name w:val="Table Grid Report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3" w:customStyle="1">
    <w:name w:val="Сетка таблицы24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4" w:customStyle="1">
    <w:name w:val="Сетка таблицы110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5" w:customStyle="1">
    <w:name w:val="Веб-таблица 341"/>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6" w:customStyle="1">
    <w:name w:val="Table Grid Report1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7" w:customStyle="1">
    <w:name w:val="Сетка таблицы212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8" w:customStyle="1">
    <w:name w:val="Сетка таблицы11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999" w:customStyle="1">
    <w:name w:val="Сетка таблицы3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0" w:customStyle="1">
    <w:name w:val="Веб-таблица 3131"/>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1" w:customStyle="1">
    <w:name w:val="Table Grid Report11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2" w:customStyle="1">
    <w:name w:val="Сетка таблицы2211"/>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3" w:customStyle="1">
    <w:name w:val="Сетка таблицы122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4" w:customStyle="1">
    <w:name w:val="Table Normal11"/>
    <w:uiPriority w:val="2"/>
    <w:semiHidden/>
    <w:unhideWhenUsed/>
    <w:qFormat/>
    <w:pPr>
      <w:pBdr/>
      <w:spacing w:after="0" w:line="240" w:lineRule="auto"/>
      <w:ind/>
    </w:pPr>
    <w:rPr>
      <w:lang w:val="en-US" w:eastAsia="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5" w:customStyle="1">
    <w:name w:val="Классическая таблица 141"/>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6" w:customStyle="1">
    <w:name w:val="Сетка таблицы62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7" w:customStyle="1">
    <w:name w:val="Сетка таблицы721"/>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8" w:customStyle="1">
    <w:name w:val="Table Grid Report31"/>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09" w:customStyle="1">
    <w:name w:val="Table Grid Report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0" w:customStyle="1">
    <w:name w:val="Table Grid Report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1" w:customStyle="1">
    <w:name w:val="Средний список 1119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2" w:customStyle="1">
    <w:name w:val="Средний список 1 - Акцент 113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3" w:customStyle="1">
    <w:name w:val="Средний список 12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4" w:customStyle="1">
    <w:name w:val="Средний список 11110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5" w:customStyle="1">
    <w:name w:val="Средний список 1 - Акцент 1112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6" w:customStyle="1">
    <w:name w:val="Средний список 13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7" w:customStyle="1">
    <w:name w:val="Средний список 11113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8" w:customStyle="1">
    <w:name w:val="Средний список 112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19" w:customStyle="1">
    <w:name w:val="Средний список 113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0" w:customStyle="1">
    <w:name w:val="Средний список 114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1" w:customStyle="1">
    <w:name w:val="Средний список 115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2" w:customStyle="1">
    <w:name w:val="Средний список 116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3" w:customStyle="1">
    <w:name w:val="Средний список 117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4" w:customStyle="1">
    <w:name w:val="Средний список 118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5" w:customStyle="1">
    <w:name w:val="Средний список 119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6" w:customStyle="1">
    <w:name w:val="Средний список 1110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7" w:customStyle="1">
    <w:name w:val="Средний список 11111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8" w:customStyle="1">
    <w:name w:val="Средний список 1112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29" w:customStyle="1">
    <w:name w:val="Средний список 1113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0" w:customStyle="1">
    <w:name w:val="Средний список 1114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1" w:customStyle="1">
    <w:name w:val="Средний список 1115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2" w:customStyle="1">
    <w:name w:val="Средний список 11162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3" w:customStyle="1">
    <w:name w:val="Средний список 1117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4" w:customStyle="1">
    <w:name w:val="Средний список 1 - Акцент 1121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5" w:customStyle="1">
    <w:name w:val="Средний список 12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6" w:customStyle="1">
    <w:name w:val="Средний список 1118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7" w:customStyle="1">
    <w:name w:val="Средний список 1 - Акцент 111111"/>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8" w:customStyle="1">
    <w:name w:val="Средний список 13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39" w:customStyle="1">
    <w:name w:val="Средний список 11112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0" w:customStyle="1">
    <w:name w:val="Средний список 112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1" w:customStyle="1">
    <w:name w:val="Средний список 113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2" w:customStyle="1">
    <w:name w:val="Средний список 114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3" w:customStyle="1">
    <w:name w:val="Средний список 115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4" w:customStyle="1">
    <w:name w:val="Средний список 116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5" w:customStyle="1">
    <w:name w:val="Средний список 117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6" w:customStyle="1">
    <w:name w:val="Средний список 118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7" w:customStyle="1">
    <w:name w:val="Средний список 119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8" w:customStyle="1">
    <w:name w:val="Средний список 1110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49" w:customStyle="1">
    <w:name w:val="Средний список 11111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0" w:customStyle="1">
    <w:name w:val="Средний список 1112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1" w:customStyle="1">
    <w:name w:val="Средний список 1113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2" w:customStyle="1">
    <w:name w:val="Средний список 1114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3" w:customStyle="1">
    <w:name w:val="Средний список 1115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4" w:customStyle="1">
    <w:name w:val="Средний список 1116111"/>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5" w:customStyle="1">
    <w:name w:val="Table Grid Report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6" w:customStyle="1">
    <w:name w:val="Сетка таблицы 55"/>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7" w:customStyle="1">
    <w:name w:val="Table Grid13"/>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8" w:customStyle="1">
    <w:name w:val="Папушкин4"/>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59" w:customStyle="1">
    <w:name w:val="Сетка таблицы 524"/>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0" w:customStyle="1">
    <w:name w:val="Столбцы таблицы 34"/>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1" w:customStyle="1">
    <w:name w:val="Столбцы таблицы 44"/>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2" w:customStyle="1">
    <w:name w:val="Столбцы таблицы 54"/>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3" w:customStyle="1">
    <w:name w:val="Таблица-список 14"/>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4" w:customStyle="1">
    <w:name w:val="Столбцы таблицы 24"/>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5" w:customStyle="1">
    <w:name w:val="Таблица-список 24"/>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6" w:customStyle="1">
    <w:name w:val="Современная таблица4"/>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7" w:customStyle="1">
    <w:name w:val="Средний список 1120"/>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8" w:customStyle="1">
    <w:name w:val="Средний список 1 - Акцент 114"/>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69" w:customStyle="1">
    <w:name w:val="Простая таблица 24"/>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0" w:customStyle="1">
    <w:name w:val="Стандартная таблица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1" w:customStyle="1">
    <w:name w:val="Классическая таблица 16"/>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2" w:customStyle="1">
    <w:name w:val="Простая таблица 14"/>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3" w:customStyle="1">
    <w:name w:val="Изящная таблица 24"/>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4" w:customStyle="1">
    <w:name w:val="Веб-таблица 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5" w:customStyle="1">
    <w:name w:val="Веб-таблица 2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6" w:customStyle="1">
    <w:name w:val="Веб-таблица 36"/>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7" w:customStyle="1">
    <w:name w:val="Изысканная таблица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8" w:customStyle="1">
    <w:name w:val="Изящная таблица 14"/>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79" w:customStyle="1">
    <w:name w:val="Классическая таблица 24"/>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0" w:customStyle="1">
    <w:name w:val="Сетка таблицы11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1" w:customStyle="1">
    <w:name w:val="Сетка таблицы2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2" w:customStyle="1">
    <w:name w:val="Сетка таблицы 84"/>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3" w:customStyle="1">
    <w:name w:val="Сетка таблицы 24"/>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4" w:customStyle="1">
    <w:name w:val="Сетка таблицы 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5" w:customStyle="1">
    <w:name w:val="Светлая заливка16"/>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6" w:customStyle="1">
    <w:name w:val="Средний список 12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7" w:customStyle="1">
    <w:name w:val="Сетка таблицы25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8" w:customStyle="1">
    <w:name w:val="Светлая заливка2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89" w:customStyle="1">
    <w:name w:val="Сетка таблицы3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0" w:customStyle="1">
    <w:name w:val="Простая таблица 34"/>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1" w:customStyle="1">
    <w:name w:val="Средняя заливка 2 - Акцент 44"/>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2" w:customStyle="1">
    <w:name w:val="Светлая заливка119"/>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3" w:customStyle="1">
    <w:name w:val="Светлая заливка113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4" w:customStyle="1">
    <w:name w:val="Светлая заливка115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5" w:customStyle="1">
    <w:name w:val="Светлая заливка111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6" w:customStyle="1">
    <w:name w:val="Светлая заливка36"/>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7" w:customStyle="1">
    <w:name w:val="Light Shading1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8" w:customStyle="1">
    <w:name w:val="Светлая заливка112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099" w:customStyle="1">
    <w:name w:val="Сетка таблицы4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0" w:customStyle="1">
    <w:name w:val="Светлая заливка114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1" w:customStyle="1">
    <w:name w:val="рпдлпжлопж3"/>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rPr>
      <w:pPr>
        <w:pBdr/>
        <w:spacing/>
        <w:ind/>
        <w:jc w:val="right"/>
      </w:pPr>
      <w:tblPr>
        <w:tblBorders/>
      </w:tblPr>
      <w:tcPr>
        <w:tcBorders/>
      </w:tcPr>
    </w:tblStylePr>
    <w:tblStylePr w:type="band1Vert">
      <w:rPr>
        <w:sz w:val="18"/>
      </w:rPr>
      <w:pPr>
        <w:pBdr/>
        <w:spacing/>
        <w:ind/>
        <w:jc w:val="right"/>
      </w:pPr>
      <w:tblPr>
        <w:tblBorders/>
      </w:tblPr>
      <w:tcPr>
        <w:tcBorders/>
      </w:tcPr>
    </w:tblStylePr>
    <w:tblStylePr w:type="band2Horz">
      <w:rPr>
        <w:sz w:val="18"/>
      </w:rPr>
      <w:pPr>
        <w:pBdr/>
        <w:spacing/>
        <w:ind/>
        <w:jc w:val="right"/>
      </w:pPr>
      <w:tblPr>
        <w:tblBorders/>
      </w:tblPr>
      <w:tcPr>
        <w:shd w:val="clear" w:color="auto" w:fill="bfbfbf"/>
        <w:tcBorders/>
      </w:tcPr>
    </w:tblStylePr>
    <w:tblStylePr w:type="band2Vert">
      <w:rPr>
        <w:sz w:val="18"/>
      </w:rPr>
      <w:pPr>
        <w:pBdr/>
        <w:spacing/>
        <w:ind/>
        <w:jc w:val="right"/>
      </w:pPr>
      <w:tblPr>
        <w:tblBorders/>
      </w:tblPr>
      <w:tcPr>
        <w:tcBorders/>
      </w:tcPr>
    </w:tblStylePr>
    <w:tblStylePr w:type="firstCol">
      <w:rPr>
        <w:sz w:val="18"/>
      </w:rPr>
      <w:pPr>
        <w:pBdr/>
        <w:spacing/>
        <w:ind/>
      </w:pPr>
      <w:tblPr>
        <w:tblBorders/>
      </w:tblPr>
      <w:tcPr>
        <w:tcBorders>
          <w:right w:val="single" w:color="000000" w:sz="4" w:space="0"/>
        </w:tcBorders>
      </w:tcPr>
    </w:tblStylePr>
    <w:tblStylePr w:type="firstRow">
      <w:rPr>
        <w:b/>
        <w:sz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2" w:customStyle="1">
    <w:name w:val="Светлая заливка31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3" w:customStyle="1">
    <w:name w:val="Сетка таблицы5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4" w:customStyle="1">
    <w:name w:val="Сетка таблицы 514"/>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5" w:customStyle="1">
    <w:name w:val="Table Grid112"/>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6" w:customStyle="1">
    <w:name w:val="Папушкин13"/>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7" w:customStyle="1">
    <w:name w:val="Сетка таблицы 5213"/>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8" w:customStyle="1">
    <w:name w:val="Столбцы таблицы 313"/>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09" w:customStyle="1">
    <w:name w:val="Столбцы таблицы 413"/>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0" w:customStyle="1">
    <w:name w:val="Столбцы таблицы 513"/>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1" w:customStyle="1">
    <w:name w:val="Таблица-список 113"/>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2" w:customStyle="1">
    <w:name w:val="Столбцы таблицы 213"/>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3" w:customStyle="1">
    <w:name w:val="Таблица-список 213"/>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4" w:customStyle="1">
    <w:name w:val="Современная таблица13"/>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5" w:customStyle="1">
    <w:name w:val="Средний список 1111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6" w:customStyle="1">
    <w:name w:val="Средний список 1 - Акцент 1113"/>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7" w:customStyle="1">
    <w:name w:val="Простая таблица 213"/>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8" w:customStyle="1">
    <w:name w:val="Стандартная таблица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19" w:customStyle="1">
    <w:name w:val="Классическая таблица 113"/>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0" w:customStyle="1">
    <w:name w:val="Простая таблица 113"/>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1" w:customStyle="1">
    <w:name w:val="Изящная таблица 213"/>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2" w:customStyle="1">
    <w:name w:val="Веб-таблица 1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3" w:customStyle="1">
    <w:name w:val="Веб-таблица 2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4" w:customStyle="1">
    <w:name w:val="Веб-таблица 315"/>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5" w:customStyle="1">
    <w:name w:val="Изысканная таблица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6" w:customStyle="1">
    <w:name w:val="Изящная таблица 113"/>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7" w:customStyle="1">
    <w:name w:val="Классическая таблица 213"/>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8" w:customStyle="1">
    <w:name w:val="Сетка таблицы11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29" w:customStyle="1">
    <w:name w:val="Сетка таблицы214"/>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0" w:customStyle="1">
    <w:name w:val="Сетка таблицы 813"/>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1" w:customStyle="1">
    <w:name w:val="Сетка таблицы 213"/>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2" w:customStyle="1">
    <w:name w:val="Сетка таблицы 113"/>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3" w:customStyle="1">
    <w:name w:val="Простая таблица 313"/>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4" w:customStyle="1">
    <w:name w:val="Средняя заливка 2 - Акцент 413"/>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5" w:customStyle="1">
    <w:name w:val="Средний список 13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6" w:customStyle="1">
    <w:name w:val="Средний список 11115"/>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7" w:customStyle="1">
    <w:name w:val="Светлая заливка4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8" w:customStyle="1">
    <w:name w:val="Средний список 112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39" w:customStyle="1">
    <w:name w:val="Средний список 113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0" w:customStyle="1">
    <w:name w:val="Светлая заливка12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1" w:customStyle="1">
    <w:name w:val="Средний список 114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2" w:customStyle="1">
    <w:name w:val="Средний список 115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3" w:customStyle="1">
    <w:name w:val="Средний список 116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4" w:customStyle="1">
    <w:name w:val="Светлая заливка21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5" w:customStyle="1">
    <w:name w:val="Средний список 117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6" w:customStyle="1">
    <w:name w:val="Средний список 118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7" w:customStyle="1">
    <w:name w:val="Средний список 119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8" w:customStyle="1">
    <w:name w:val="Средний список 1110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49" w:customStyle="1">
    <w:name w:val="Средний список 11111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0" w:customStyle="1">
    <w:name w:val="Светлая заливка32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1" w:customStyle="1">
    <w:name w:val="Средний список 1112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2" w:customStyle="1">
    <w:name w:val="Средний список 1113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3" w:customStyle="1">
    <w:name w:val="Средний список 1114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4" w:customStyle="1">
    <w:name w:val="Средний список 1115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5" w:customStyle="1">
    <w:name w:val="Средний список 11163"/>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6" w:customStyle="1">
    <w:name w:val="Светлая заливка116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7" w:customStyle="1">
    <w:name w:val="Светлая заливка33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8" w:customStyle="1">
    <w:name w:val="Светлая заливка133"/>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59" w:customStyle="1">
    <w:name w:val="Сетка таблицы 5113"/>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0" w:customStyle="1">
    <w:name w:val="Простая таблица 122"/>
    <w:basedOn w:val="13513"/>
    <w:semiHidden/>
    <w:unhideWhenUsed/>
    <w:pPr>
      <w:pBdr/>
      <w:spacing w:after="120" w:before="120" w:line="240" w:lineRule="auto"/>
      <w:ind/>
      <w:jc w:val="both"/>
    </w:pPr>
    <w:rPr>
      <w:sz w:val="20"/>
      <w:szCs w:val="20"/>
    </w:rPr>
    <w:tblPr>
      <w:tblBorders>
        <w:top w:val="single" w:color="008000" w:sz="12" w:space="0"/>
        <w:bottom w:val="single" w:color="008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1" w:customStyle="1">
    <w:name w:val="Простая таблица 222"/>
    <w:basedOn w:val="13513"/>
    <w:semiHidden/>
    <w:unhideWhenUsed/>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2" w:customStyle="1">
    <w:name w:val="Простая таблица 322"/>
    <w:basedOn w:val="13513"/>
    <w:semiHidden/>
    <w:unhideWhenUsed/>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3" w:customStyle="1">
    <w:name w:val="Классическая таблица 122"/>
    <w:basedOn w:val="13513"/>
    <w:semiHidden/>
    <w:unhideWhenUsed/>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4" w:customStyle="1">
    <w:name w:val="Классическая таблица 222"/>
    <w:basedOn w:val="13513"/>
    <w:semiHidden/>
    <w:unhideWhenUsed/>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5" w:customStyle="1">
    <w:name w:val="Столбцы таблицы 222"/>
    <w:basedOn w:val="13513"/>
    <w:semiHidden/>
    <w:unhideWhenUsed/>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6" w:customStyle="1">
    <w:name w:val="Столбцы таблицы 322"/>
    <w:basedOn w:val="13513"/>
    <w:semiHidden/>
    <w:unhideWhenUsed/>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7" w:customStyle="1">
    <w:name w:val="Столбцы таблицы 422"/>
    <w:basedOn w:val="13513"/>
    <w:semiHidden/>
    <w:unhideWhenUsed/>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8" w:customStyle="1">
    <w:name w:val="Столбцы таблицы 522"/>
    <w:basedOn w:val="13513"/>
    <w:semiHidden/>
    <w:unhideWhenUsed/>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69" w:customStyle="1">
    <w:name w:val="Сетка таблицы 12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0" w:customStyle="1">
    <w:name w:val="Сетка таблицы 222"/>
    <w:basedOn w:val="13513"/>
    <w:semiHidden/>
    <w:unhideWhenUsed/>
    <w:pPr>
      <w:pBdr/>
      <w:spacing w:after="120" w:before="120" w:line="240" w:lineRule="auto"/>
      <w:ind/>
      <w:jc w:val="both"/>
    </w:pPr>
    <w:rPr>
      <w:sz w:val="20"/>
      <w:szCs w:val="20"/>
    </w:rPr>
    <w:tblPr>
      <w:tblBorders>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1" w:customStyle="1">
    <w:name w:val="Сетка таблицы 532"/>
    <w:basedOn w:val="13513"/>
    <w:semiHidden/>
    <w:unhideWhenUsed/>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2" w:customStyle="1">
    <w:name w:val="Сетка таблицы 822"/>
    <w:basedOn w:val="13513"/>
    <w:semiHidden/>
    <w:unhideWhenUsed/>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3" w:customStyle="1">
    <w:name w:val="Таблица-список 122"/>
    <w:basedOn w:val="13513"/>
    <w:semiHidden/>
    <w:unhideWhenUsed/>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4" w:customStyle="1">
    <w:name w:val="Таблица-список 222"/>
    <w:basedOn w:val="13513"/>
    <w:semiHidden/>
    <w:unhideWhenUsed/>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5" w:customStyle="1">
    <w:name w:val="Современная таблица22"/>
    <w:basedOn w:val="13513"/>
    <w:semiHidden/>
    <w:unhideWhenUsed/>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6" w:customStyle="1">
    <w:name w:val="Изысканная таблица2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7" w:customStyle="1">
    <w:name w:val="Стандартная таблица2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8" w:customStyle="1">
    <w:name w:val="Изящная таблица 122"/>
    <w:basedOn w:val="13513"/>
    <w:semiHidden/>
    <w:unhideWhenUsed/>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79" w:customStyle="1">
    <w:name w:val="Изящная таблица 222"/>
    <w:basedOn w:val="13513"/>
    <w:semiHidden/>
    <w:unhideWhenUsed/>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0" w:customStyle="1">
    <w:name w:val="Веб-таблица 12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1" w:customStyle="1">
    <w:name w:val="Веб-таблица 222"/>
    <w:basedOn w:val="13513"/>
    <w:semiHidden/>
    <w:unhideWhenUsed/>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2" w:customStyle="1">
    <w:name w:val="Веб-таблица 322"/>
    <w:basedOn w:val="13513"/>
    <w:semiHidden/>
    <w:unhideWhenUsed/>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3" w:customStyle="1">
    <w:name w:val="Средняя заливка 2 - Акцент 422"/>
    <w:basedOn w:val="13513"/>
    <w:uiPriority w:val="64"/>
    <w:semiHidden/>
    <w:unhideWhenUsed/>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Lines="0" w:beforeLines="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Lines="0" w:beforeLines="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4" w:customStyle="1">
    <w:name w:val="Папушкин22"/>
    <w:basedOn w:val="13514"/>
    <w:pPr>
      <w:pBdr/>
      <w:spacing/>
      <w:ind/>
      <w:jc w:val="center"/>
    </w:pPr>
    <w:rPr>
      <w:sz w:val="18"/>
      <w:szCs w:val="18"/>
    </w:rPr>
    <w:tblPr>
      <w:tblStyleRowBandSize w:val="1"/>
      <w:tblBorders/>
    </w:tblPr>
    <w:tcPr>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5" w:customStyle="1">
    <w:name w:val="Сетка таблицы 522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6" w:customStyle="1">
    <w:name w:val="Средний список 1117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7" w:customStyle="1">
    <w:name w:val="Средний список 1 - Акцент 112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8" w:customStyle="1">
    <w:name w:val="Светлая заливка14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89" w:customStyle="1">
    <w:name w:val="Средний список 12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0" w:customStyle="1">
    <w:name w:val="Светлая заливка22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1" w:customStyle="1">
    <w:name w:val="Светлая заливка117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2" w:customStyle="1">
    <w:name w:val="Светлая заливка113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3" w:customStyle="1">
    <w:name w:val="Светлая заливка115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4" w:customStyle="1">
    <w:name w:val="Светлая заливка111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5" w:customStyle="1">
    <w:name w:val="Светлая заливка34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6" w:customStyle="1">
    <w:name w:val="Light Shading1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7" w:customStyle="1">
    <w:name w:val="Светлая заливка112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8" w:customStyle="1">
    <w:name w:val="Светлая заливка114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199" w:customStyle="1">
    <w:name w:val="рпдлпжлопж12"/>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szCs w:val="18"/>
      </w:rPr>
      <w:pPr>
        <w:pBdr/>
        <w:spacing/>
        <w:ind/>
        <w:jc w:val="right"/>
      </w:pPr>
      <w:tblPr>
        <w:tblBorders/>
      </w:tblPr>
      <w:tcPr>
        <w:tcBorders/>
      </w:tcPr>
    </w:tblStylePr>
    <w:tblStylePr w:type="band1Vert">
      <w:rPr>
        <w:sz w:val="18"/>
        <w:szCs w:val="18"/>
      </w:rPr>
      <w:pPr>
        <w:pBdr/>
        <w:spacing/>
        <w:ind/>
        <w:jc w:val="right"/>
      </w:pPr>
      <w:tblPr>
        <w:tblBorders/>
      </w:tblPr>
      <w:tcPr>
        <w:tcBorders/>
      </w:tcPr>
    </w:tblStylePr>
    <w:tblStylePr w:type="band2Horz">
      <w:rPr>
        <w:sz w:val="18"/>
        <w:szCs w:val="18"/>
      </w:rPr>
      <w:pPr>
        <w:pBdr/>
        <w:spacing/>
        <w:ind/>
        <w:jc w:val="right"/>
      </w:pPr>
      <w:tblPr>
        <w:tblBorders/>
      </w:tblPr>
      <w:tcPr>
        <w:shd w:val="clear" w:color="auto" w:fill="bfbfbf"/>
        <w:tcBorders/>
      </w:tcPr>
    </w:tblStylePr>
    <w:tblStylePr w:type="band2Vert">
      <w:rPr>
        <w:sz w:val="18"/>
        <w:szCs w:val="18"/>
      </w:rPr>
      <w:pPr>
        <w:pBdr/>
        <w:spacing/>
        <w:ind/>
        <w:jc w:val="right"/>
      </w:pPr>
      <w:tblPr>
        <w:tblBorders/>
      </w:tblPr>
      <w:tcPr>
        <w:tcBorders/>
      </w:tcPr>
    </w:tblStylePr>
    <w:tblStylePr w:type="firstCol">
      <w:rPr>
        <w:sz w:val="18"/>
        <w:szCs w:val="18"/>
      </w:rPr>
      <w:pPr>
        <w:pBdr/>
        <w:spacing/>
        <w:ind/>
      </w:pPr>
      <w:tblPr>
        <w:tblBorders/>
      </w:tblPr>
      <w:tcPr>
        <w:tcBorders>
          <w:right w:val="single" w:color="000000" w:sz="4" w:space="0"/>
        </w:tcBorders>
      </w:tcPr>
    </w:tblStylePr>
    <w:tblStylePr w:type="firstRow">
      <w:rPr>
        <w:b/>
        <w:sz w:val="18"/>
        <w:szCs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0" w:customStyle="1">
    <w:name w:val="Светлая заливка31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1" w:customStyle="1">
    <w:name w:val="Сетка таблицы 512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2" w:customStyle="1">
    <w:name w:val="Папушкин112"/>
    <w:basedOn w:val="13514"/>
    <w:pPr>
      <w:pBdr/>
      <w:spacing/>
      <w:ind/>
      <w:jc w:val="center"/>
    </w:pPr>
    <w:rPr>
      <w:sz w:val="18"/>
      <w:szCs w:val="18"/>
    </w:rPr>
    <w:tblPr>
      <w:tblStyleRowBandSize w:val="1"/>
      <w:tblBorders/>
    </w:tblPr>
    <w:tcPr>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3" w:customStyle="1">
    <w:name w:val="Сетка таблицы 5211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4" w:customStyle="1">
    <w:name w:val="Столбцы таблицы 3112"/>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5" w:customStyle="1">
    <w:name w:val="Столбцы таблицы 4112"/>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6" w:customStyle="1">
    <w:name w:val="Столбцы таблицы 5112"/>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7" w:customStyle="1">
    <w:name w:val="Таблица-список 1112"/>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8" w:customStyle="1">
    <w:name w:val="Столбцы таблицы 2112"/>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09" w:customStyle="1">
    <w:name w:val="Таблица-список 2112"/>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0" w:customStyle="1">
    <w:name w:val="Современная таблица112"/>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1" w:customStyle="1">
    <w:name w:val="Средний список 1118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2" w:customStyle="1">
    <w:name w:val="Средний список 1 - Акцент 1111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3" w:customStyle="1">
    <w:name w:val="Простая таблица 2112"/>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4" w:customStyle="1">
    <w:name w:val="Стандартная таблица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5" w:customStyle="1">
    <w:name w:val="Классическая таблица 1112"/>
    <w:basedOn w:val="13513"/>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6" w:customStyle="1">
    <w:name w:val="Простая таблица 1112"/>
    <w:basedOn w:val="13513"/>
    <w:pPr>
      <w:pBdr/>
      <w:spacing w:after="120" w:before="120" w:line="240" w:lineRule="auto"/>
      <w:ind/>
      <w:jc w:val="both"/>
    </w:pPr>
    <w:rPr>
      <w:sz w:val="20"/>
      <w:szCs w:val="20"/>
    </w:rPr>
    <w:tblPr>
      <w:tblBorders>
        <w:top w:val="single" w:color="008000" w:sz="12" w:space="0"/>
        <w:bottom w:val="single" w:color="008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7" w:customStyle="1">
    <w:name w:val="Изящная таблица 2112"/>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8" w:customStyle="1">
    <w:name w:val="Веб-таблица 1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19" w:customStyle="1">
    <w:name w:val="Веб-таблица 2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0" w:customStyle="1">
    <w:name w:val="Веб-таблица 3112"/>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1" w:customStyle="1">
    <w:name w:val="Изысканная таблица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2" w:customStyle="1">
    <w:name w:val="Изящная таблица 1112"/>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3" w:customStyle="1">
    <w:name w:val="Классическая таблица 2112"/>
    <w:basedOn w:val="13513"/>
    <w:pPr>
      <w:pBdr/>
      <w:spacing w:after="120" w:before="120" w:line="240" w:lineRule="auto"/>
      <w:ind/>
      <w:jc w:val="both"/>
    </w:pPr>
    <w:rPr>
      <w:sz w:val="20"/>
      <w:szCs w:val="20"/>
    </w:rPr>
    <w:tblPr>
      <w:tblBorders>
        <w:top w:val="single" w:color="000000" w:sz="12" w:space="0"/>
        <w:bottom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4" w:customStyle="1">
    <w:name w:val="Сетка таблицы 8112"/>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5" w:customStyle="1">
    <w:name w:val="Сетка таблицы 2112"/>
    <w:basedOn w:val="13513"/>
    <w:pPr>
      <w:pBdr/>
      <w:spacing w:after="120" w:before="120" w:line="240" w:lineRule="auto"/>
      <w:ind/>
      <w:jc w:val="both"/>
    </w:pPr>
    <w:rPr>
      <w:sz w:val="20"/>
      <w:szCs w:val="20"/>
    </w:rPr>
    <w:tblPr>
      <w:tblBorders>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6" w:customStyle="1">
    <w:name w:val="Сетка таблицы 1112"/>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7" w:customStyle="1">
    <w:name w:val="Простая таблица 3112"/>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8" w:customStyle="1">
    <w:name w:val="Средняя заливка 2 - Акцент 4112"/>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Lines="0" w:beforeLines="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Lines="0" w:beforeLines="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29" w:customStyle="1">
    <w:name w:val="Средний список 13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0" w:customStyle="1">
    <w:name w:val="Средний список 1111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1" w:customStyle="1">
    <w:name w:val="Светлая заливка4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2" w:customStyle="1">
    <w:name w:val="Средний список 112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3" w:customStyle="1">
    <w:name w:val="Средний список 113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4" w:customStyle="1">
    <w:name w:val="Светлая заливка12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5" w:customStyle="1">
    <w:name w:val="Средний список 114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6" w:customStyle="1">
    <w:name w:val="Средний список 115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7" w:customStyle="1">
    <w:name w:val="Средний список 116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8" w:customStyle="1">
    <w:name w:val="Светлая заливка21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39" w:customStyle="1">
    <w:name w:val="Средний список 117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0" w:customStyle="1">
    <w:name w:val="Средний список 118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1" w:customStyle="1">
    <w:name w:val="Средний список 119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2" w:customStyle="1">
    <w:name w:val="Средний список 1110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3" w:customStyle="1">
    <w:name w:val="Средний список 1111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4" w:customStyle="1">
    <w:name w:val="Светлая заливка32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5" w:customStyle="1">
    <w:name w:val="Средний список 1112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6" w:customStyle="1">
    <w:name w:val="Средний список 1113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7" w:customStyle="1">
    <w:name w:val="Средний список 1114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8" w:customStyle="1">
    <w:name w:val="Средний список 1115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49" w:customStyle="1">
    <w:name w:val="Средний список 1116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0" w:customStyle="1">
    <w:name w:val="Светлая заливка116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1" w:customStyle="1">
    <w:name w:val="Светлая заливка33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2" w:customStyle="1">
    <w:name w:val="Светлая заливка1312"/>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Lines="0" w:beforeLines="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3" w:customStyle="1">
    <w:name w:val="Сетка таблицы 51112"/>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4" w:customStyle="1">
    <w:name w:val="Сетка таблицы64"/>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5" w:customStyle="1">
    <w:name w:val="Сетка таблицы74"/>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6" w:customStyle="1">
    <w:name w:val="Сетка таблицы4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7" w:customStyle="1">
    <w:name w:val="Изысканная таблица52"/>
    <w:basedOn w:val="13513"/>
    <w:pPr>
      <w:pBdr/>
      <w:spacing w:after="120" w:before="120" w:line="36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8" w:customStyle="1">
    <w:name w:val="Изящная таблица 152"/>
    <w:basedOn w:val="13513"/>
    <w:pPr>
      <w:pBdr/>
      <w:spacing w:after="120" w:before="120" w:line="36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59" w:customStyle="1">
    <w:name w:val="Классическая таблица 252"/>
    <w:basedOn w:val="13513"/>
    <w:pPr>
      <w:pBdr/>
      <w:spacing w:after="120" w:before="120" w:line="36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0" w:customStyle="1">
    <w:name w:val="Сетка таблицы142"/>
    <w:basedOn w:val="13513"/>
    <w:pPr>
      <w:pBdr/>
      <w:spacing w:after="0" w:line="360" w:lineRule="auto"/>
      <w:ind/>
      <w:jc w:val="both"/>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1" w:customStyle="1">
    <w:name w:val="Сетка таблицы232"/>
    <w:basedOn w:val="13513"/>
    <w:pPr>
      <w:pBdr/>
      <w:spacing w:after="0" w:line="360" w:lineRule="auto"/>
      <w:ind/>
      <w:jc w:val="both"/>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2" w:customStyle="1">
    <w:name w:val="Сетка таблицы 852"/>
    <w:basedOn w:val="13513"/>
    <w:pPr>
      <w:pBdr/>
      <w:spacing w:after="120" w:before="120" w:line="36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3" w:customStyle="1">
    <w:name w:val="Сетка таблицы8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4" w:customStyle="1">
    <w:name w:val="Сетка таблицы9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5" w:customStyle="1">
    <w:name w:val="Сетка таблицы10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6" w:customStyle="1">
    <w:name w:val="Сетка таблицы12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7" w:customStyle="1">
    <w:name w:val="Сетка таблицы13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8" w:customStyle="1">
    <w:name w:val="Сетка таблицы15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69" w:customStyle="1">
    <w:name w:val="Сетка таблицы16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0" w:customStyle="1">
    <w:name w:val="Сетка таблицы17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1" w:customStyle="1">
    <w:name w:val="Сетка таблицы18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2" w:customStyle="1">
    <w:name w:val="Table Grid Report1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3" w:customStyle="1">
    <w:name w:val="Сетка таблицы223"/>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4" w:customStyle="1">
    <w:name w:val="Сетка таблицы19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5" w:customStyle="1">
    <w:name w:val="Веб-таблица 332"/>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6" w:customStyle="1">
    <w:name w:val="Сетка таблицы211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7" w:customStyle="1">
    <w:name w:val="Сетка таблицы11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8" w:customStyle="1">
    <w:name w:val="Сетка таблицы3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79" w:customStyle="1">
    <w:name w:val="Веб-таблица 3122"/>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0" w:customStyle="1">
    <w:name w:val="Table Grid Report11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1" w:customStyle="1">
    <w:name w:val="Сетка таблицы12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2" w:customStyle="1">
    <w:name w:val="Table Normal3"/>
    <w:uiPriority w:val="2"/>
    <w:semiHidden/>
    <w:unhideWhenUsed/>
    <w:qFormat/>
    <w:pPr>
      <w:pBdr/>
      <w:spacing w:after="0" w:line="240" w:lineRule="auto"/>
      <w:ind/>
    </w:pPr>
    <w:rPr>
      <w:lang w:val="en-US" w:eastAsia="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3" w:customStyle="1">
    <w:name w:val="Классическая таблица 132"/>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4" w:customStyle="1">
    <w:name w:val="Сетка таблицы61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5" w:customStyle="1">
    <w:name w:val="Сетка таблицы71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6" w:customStyle="1">
    <w:name w:val="Table Grid Report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7" w:customStyle="1">
    <w:name w:val="Сетка таблицы24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8" w:customStyle="1">
    <w:name w:val="Сетка таблицы110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89" w:customStyle="1">
    <w:name w:val="Веб-таблица 342"/>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0" w:customStyle="1">
    <w:name w:val="Table Grid Report1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1" w:customStyle="1">
    <w:name w:val="Сетка таблицы212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2" w:customStyle="1">
    <w:name w:val="Сетка таблицы11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3" w:customStyle="1">
    <w:name w:val="Сетка таблицы3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4" w:customStyle="1">
    <w:name w:val="Веб-таблица 3132"/>
    <w:basedOn w:val="13513"/>
    <w:pPr>
      <w:pBdr/>
      <w:spacing w:after="0" w:line="240" w:lineRule="auto"/>
      <w:ind/>
      <w:jc w:val="center"/>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5" w:customStyle="1">
    <w:name w:val="Table Grid Report111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6" w:customStyle="1">
    <w:name w:val="Сетка таблицы2212"/>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7" w:customStyle="1">
    <w:name w:val="Сетка таблицы1222"/>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8" w:customStyle="1">
    <w:name w:val="Table Normal12"/>
    <w:uiPriority w:val="2"/>
    <w:semiHidden/>
    <w:unhideWhenUsed/>
    <w:qFormat/>
    <w:pPr>
      <w:pBdr/>
      <w:spacing w:after="0" w:line="240" w:lineRule="auto"/>
      <w:ind/>
    </w:pPr>
    <w:rPr>
      <w:lang w:val="en-US" w:eastAsia="en-US"/>
    </w:rPr>
    <w:tblPr>
      <w:tblCellMar>
        <w:left w:w="0" w:type="dxa"/>
        <w:top w:w="0" w:type="dxa"/>
        <w:right w:w="0"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299" w:customStyle="1">
    <w:name w:val="Классическая таблица 142"/>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0" w:customStyle="1">
    <w:name w:val="Сетка таблицы62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1" w:customStyle="1">
    <w:name w:val="Сетка таблицы722"/>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2" w:customStyle="1">
    <w:name w:val="Table Grid Report32"/>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3" w:customStyle="1">
    <w:name w:val="Table Grid Report41"/>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4" w:customStyle="1">
    <w:name w:val="Table Grid Report5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5" w:customStyle="1">
    <w:name w:val="Средний список 1119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6" w:customStyle="1">
    <w:name w:val="Средний список 1 - Акцент 113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7" w:customStyle="1">
    <w:name w:val="Средний список 12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8" w:customStyle="1">
    <w:name w:val="Средний список 11110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09" w:customStyle="1">
    <w:name w:val="Средний список 1 - Акцент 1112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0" w:customStyle="1">
    <w:name w:val="Средний список 13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1" w:customStyle="1">
    <w:name w:val="Средний список 11113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2" w:customStyle="1">
    <w:name w:val="Средний список 112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3" w:customStyle="1">
    <w:name w:val="Средний список 113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4" w:customStyle="1">
    <w:name w:val="Средний список 114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5" w:customStyle="1">
    <w:name w:val="Средний список 115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6" w:customStyle="1">
    <w:name w:val="Средний список 116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7" w:customStyle="1">
    <w:name w:val="Средний список 117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8" w:customStyle="1">
    <w:name w:val="Средний список 118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19" w:customStyle="1">
    <w:name w:val="Средний список 119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0" w:customStyle="1">
    <w:name w:val="Средний список 1110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1" w:customStyle="1">
    <w:name w:val="Средний список 11111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2" w:customStyle="1">
    <w:name w:val="Средний список 1112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3" w:customStyle="1">
    <w:name w:val="Средний список 1113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4" w:customStyle="1">
    <w:name w:val="Средний список 1114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5" w:customStyle="1">
    <w:name w:val="Средний список 1115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6" w:customStyle="1">
    <w:name w:val="Средний список 11162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7" w:customStyle="1">
    <w:name w:val="Средний список 1117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8" w:customStyle="1">
    <w:name w:val="Средний список 1 - Акцент 1121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29" w:customStyle="1">
    <w:name w:val="Средний список 12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0" w:customStyle="1">
    <w:name w:val="Средний список 1118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1" w:customStyle="1">
    <w:name w:val="Средний список 1 - Акцент 111112"/>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2" w:customStyle="1">
    <w:name w:val="Средний список 13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3" w:customStyle="1">
    <w:name w:val="Средний список 11112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4" w:customStyle="1">
    <w:name w:val="Средний список 112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5" w:customStyle="1">
    <w:name w:val="Средний список 113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6" w:customStyle="1">
    <w:name w:val="Средний список 114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7" w:customStyle="1">
    <w:name w:val="Средний список 115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8" w:customStyle="1">
    <w:name w:val="Средний список 116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39" w:customStyle="1">
    <w:name w:val="Средний список 117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0" w:customStyle="1">
    <w:name w:val="Средний список 118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1" w:customStyle="1">
    <w:name w:val="Средний список 119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2" w:customStyle="1">
    <w:name w:val="Средний список 1110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3" w:customStyle="1">
    <w:name w:val="Средний список 11111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4" w:customStyle="1">
    <w:name w:val="Средний список 1112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5" w:customStyle="1">
    <w:name w:val="Средний список 1113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6" w:customStyle="1">
    <w:name w:val="Средний список 1114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7" w:customStyle="1">
    <w:name w:val="Средний список 1115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8" w:customStyle="1">
    <w:name w:val="Средний список 1116112"/>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49" w:customStyle="1">
    <w:name w:val="Сетка таблицы2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0" w:customStyle="1">
    <w:name w:val="Table Grid Report1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1" w:customStyle="1">
    <w:name w:val="Table Grid Report23"/>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2" w:customStyle="1">
    <w:name w:val="Table Grid Report33"/>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3" w:customStyle="1">
    <w:name w:val="Table Grid Report42"/>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4" w:customStyle="1">
    <w:name w:val="Сетка таблицы11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5" w:customStyle="1">
    <w:name w:val="Сетка таблицы2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6" w:customStyle="1">
    <w:name w:val="Сетка таблицы3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7" w:customStyle="1">
    <w:name w:val="Сетка таблицы2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8" w:customStyle="1">
    <w:name w:val="Table Grid Report1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59" w:customStyle="1">
    <w:name w:val="Table Grid Report2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0" w:customStyle="1">
    <w:name w:val="Table Grid Report3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1" w:customStyle="1">
    <w:name w:val="Сетка таблицы11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2" w:customStyle="1">
    <w:name w:val="Сетка таблицы2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3" w:customStyle="1">
    <w:name w:val="Сетка таблицы3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4" w:customStyle="1">
    <w:name w:val="Сетка таблицы3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5" w:customStyle="1">
    <w:name w:val="Table Grid Report1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6" w:customStyle="1">
    <w:name w:val="Table Grid Report2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7" w:customStyle="1">
    <w:name w:val="Table Grid Report3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8" w:customStyle="1">
    <w:name w:val="Сетка таблицы11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69" w:customStyle="1">
    <w:name w:val="Сетка таблицы21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0" w:customStyle="1">
    <w:name w:val="Сетка таблицы3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1" w:customStyle="1">
    <w:name w:val="Сетка таблицы38"/>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2" w:customStyle="1">
    <w:name w:val="Сетка таблицы12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3" w:customStyle="1">
    <w:name w:val="Сетка таблицы21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4" w:customStyle="1">
    <w:name w:val="Сетка таблицы3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5" w:customStyle="1">
    <w:name w:val="Сетка таблицы44"/>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6" w:customStyle="1">
    <w:name w:val="Сетка таблицы53"/>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7" w:customStyle="1">
    <w:name w:val="Сетка таблицы6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8" w:customStyle="1">
    <w:name w:val="Сетка таблицы7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79" w:customStyle="1">
    <w:name w:val="Сетка таблицы8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0" w:customStyle="1">
    <w:name w:val="Сетка таблицы40"/>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1" w:customStyle="1">
    <w:name w:val="Сетка таблицы12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2" w:customStyle="1">
    <w:name w:val="Сетка таблицы21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3" w:customStyle="1">
    <w:name w:val="Сетка таблицы3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4" w:customStyle="1">
    <w:name w:val="Сетка таблицы4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5" w:customStyle="1">
    <w:name w:val="Сетка таблицы54"/>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6" w:customStyle="1">
    <w:name w:val="Сетка таблицы6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7" w:customStyle="1">
    <w:name w:val="Сетка таблицы7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8" w:customStyle="1">
    <w:name w:val="Сетка таблицы8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89" w:customStyle="1">
    <w:name w:val="Сетка таблицы12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0" w:customStyle="1">
    <w:name w:val="Сетка таблицы46"/>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1" w:customStyle="1">
    <w:name w:val="Сетка таблицы21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2" w:customStyle="1">
    <w:name w:val="Сетка таблицы31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3" w:customStyle="1">
    <w:name w:val="Сетка таблицы4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4" w:customStyle="1">
    <w:name w:val="Сетка таблицы5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5" w:customStyle="1">
    <w:name w:val="Сетка таблицы6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6" w:customStyle="1">
    <w:name w:val="Сетка таблицы7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7" w:customStyle="1">
    <w:name w:val="Сетка таблицы8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8" w:customStyle="1">
    <w:name w:val="Сетка таблицы4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399" w:customStyle="1">
    <w:name w:val="Table Grid Report18"/>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0" w:customStyle="1">
    <w:name w:val="Table Grid Report2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1" w:customStyle="1">
    <w:name w:val="Table Grid Report3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2" w:customStyle="1">
    <w:name w:val="Сетка таблицы12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3" w:customStyle="1">
    <w:name w:val="Сетка таблицы21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4" w:customStyle="1">
    <w:name w:val="Сетка таблицы31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5" w:customStyle="1">
    <w:name w:val="Сетка таблицы4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6" w:customStyle="1">
    <w:name w:val="Table Grid Report19"/>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7" w:customStyle="1">
    <w:name w:val="Table Grid Report2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8" w:customStyle="1">
    <w:name w:val="Table Grid Report3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09" w:customStyle="1">
    <w:name w:val="Сетка таблицы12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0" w:customStyle="1">
    <w:name w:val="Сетка таблицы22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1" w:customStyle="1">
    <w:name w:val="Сетка таблицы31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2" w:customStyle="1">
    <w:name w:val="Сетка таблицы5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3" w:customStyle="1">
    <w:name w:val="Table Grid Report110"/>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4" w:customStyle="1">
    <w:name w:val="Table Grid Report28"/>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5" w:customStyle="1">
    <w:name w:val="Table Grid Report38"/>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6" w:customStyle="1">
    <w:name w:val="Table Grid Report43"/>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7" w:customStyle="1">
    <w:name w:val="Сетка таблицы12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8" w:customStyle="1">
    <w:name w:val="Сетка таблицы22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19" w:customStyle="1">
    <w:name w:val="Сетка таблицы31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0" w:customStyle="1">
    <w:name w:val="Сетка таблицы5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1" w:customStyle="1">
    <w:name w:val="Table Grid Report11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2" w:customStyle="1">
    <w:name w:val="Table Grid Report29"/>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3" w:customStyle="1">
    <w:name w:val="Table Grid Report39"/>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4" w:customStyle="1">
    <w:name w:val="Сетка таблицы13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5" w:customStyle="1">
    <w:name w:val="Сетка таблицы22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6" w:customStyle="1">
    <w:name w:val="Сетка таблицы31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7" w:customStyle="1">
    <w:name w:val="Сетка таблицы5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8" w:customStyle="1">
    <w:name w:val="Table Grid Report11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29" w:customStyle="1">
    <w:name w:val="Table Grid Report210"/>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0" w:customStyle="1">
    <w:name w:val="Table Grid Report310"/>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1" w:customStyle="1">
    <w:name w:val="Сетка таблицы13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2" w:customStyle="1">
    <w:name w:val="Сетка таблицы22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3" w:customStyle="1">
    <w:name w:val="Сетка таблицы31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4" w:customStyle="1">
    <w:name w:val="Сетка таблицы5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5" w:customStyle="1">
    <w:name w:val="Table Grid Report11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6" w:customStyle="1">
    <w:name w:val="Table Grid Report211"/>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7" w:customStyle="1">
    <w:name w:val="Table Grid Report311"/>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8" w:customStyle="1">
    <w:name w:val="Table Grid Report4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39" w:customStyle="1">
    <w:name w:val="Сетка таблицы13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0" w:customStyle="1">
    <w:name w:val="Сетка таблицы22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1" w:customStyle="1">
    <w:name w:val="Сетка таблицы31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2" w:customStyle="1">
    <w:name w:val="Сетка таблицы5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3" w:customStyle="1">
    <w:name w:val="Table Grid Report11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4" w:customStyle="1">
    <w:name w:val="Table Grid Report212"/>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5" w:customStyle="1">
    <w:name w:val="Table Grid Report312"/>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6" w:customStyle="1">
    <w:name w:val="Table Grid Report4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7" w:customStyle="1">
    <w:name w:val="Сетка таблицы13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8" w:customStyle="1">
    <w:name w:val="Сетка таблицы22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49" w:customStyle="1">
    <w:name w:val="Сетка таблицы32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0" w:customStyle="1">
    <w:name w:val="Сетка таблицы6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1" w:customStyle="1">
    <w:name w:val="Table Grid Report118"/>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2" w:customStyle="1">
    <w:name w:val="Table Grid Report213"/>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3" w:customStyle="1">
    <w:name w:val="Table Grid Report313"/>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4" w:customStyle="1">
    <w:name w:val="Table Grid Report4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5" w:customStyle="1">
    <w:name w:val="Сетка таблицы13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6" w:customStyle="1">
    <w:name w:val="Сетка таблицы22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7" w:customStyle="1">
    <w:name w:val="Сетка таблицы32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8" w:customStyle="1">
    <w:name w:val="Сетка таблицы6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59" w:customStyle="1">
    <w:name w:val="Table Grid Report119"/>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0" w:customStyle="1">
    <w:name w:val="Table Grid Report21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1" w:customStyle="1">
    <w:name w:val="Table Grid Report31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2" w:customStyle="1">
    <w:name w:val="Table Grid Report4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3" w:customStyle="1">
    <w:name w:val="Сетка таблицы13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4" w:customStyle="1">
    <w:name w:val="Сетка таблицы23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5" w:customStyle="1">
    <w:name w:val="Сетка таблицы32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6" w:customStyle="1">
    <w:name w:val="Сетка таблицы6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7" w:customStyle="1">
    <w:name w:val="Table Grid Report120"/>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8" w:customStyle="1">
    <w:name w:val="Table Grid Report21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69" w:customStyle="1">
    <w:name w:val="Table Grid Report31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0" w:customStyle="1">
    <w:name w:val="Сетка таблицы13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1" w:customStyle="1">
    <w:name w:val="Сетка таблицы23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2" w:customStyle="1">
    <w:name w:val="Сетка таблицы32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3" w:customStyle="1">
    <w:name w:val="Сетка таблицы7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4" w:customStyle="1">
    <w:name w:val="Table Grid Report123"/>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5" w:customStyle="1">
    <w:name w:val="Table Grid Report21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6" w:customStyle="1">
    <w:name w:val="Table Grid Report316"/>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7" w:customStyle="1">
    <w:name w:val="Сетка таблицы13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8" w:customStyle="1">
    <w:name w:val="Сетка таблицы23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79" w:customStyle="1">
    <w:name w:val="Сетка таблицы32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0" w:customStyle="1">
    <w:name w:val="Сетка таблицы7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1" w:customStyle="1">
    <w:name w:val="Table Grid Report124"/>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2" w:customStyle="1">
    <w:name w:val="Table Grid Report21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3" w:customStyle="1">
    <w:name w:val="Table Grid Report317"/>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4" w:customStyle="1">
    <w:name w:val="Сетка таблицы14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5" w:customStyle="1">
    <w:name w:val="Сетка таблицы235"/>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6" w:customStyle="1">
    <w:name w:val="Сетка таблицы32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7" w:customStyle="1">
    <w:name w:val="Сетка таблицы7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8" w:customStyle="1">
    <w:name w:val="Table Grid Report125"/>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89" w:customStyle="1">
    <w:name w:val="Table Grid Report218"/>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0" w:customStyle="1">
    <w:name w:val="Table Grid Report318"/>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1" w:customStyle="1">
    <w:name w:val="Сетка таблицы14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2" w:customStyle="1">
    <w:name w:val="Сетка таблицы23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3" w:customStyle="1">
    <w:name w:val="Сетка таблицы328"/>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4" w:customStyle="1">
    <w:name w:val="Сетка таблицы144"/>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5" w:customStyle="1">
    <w:name w:val="Сетка таблицы80"/>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6" w:customStyle="1">
    <w:name w:val="Сетка таблицы237"/>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7" w:customStyle="1">
    <w:name w:val="Сетка таблицы329"/>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8" w:customStyle="1">
    <w:name w:val="Сетка таблицы4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499" w:customStyle="1">
    <w:name w:val="Сетка таблицы5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0" w:customStyle="1">
    <w:name w:val="Сетка таблицы6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1" w:customStyle="1">
    <w:name w:val="Сетка таблицы7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2" w:customStyle="1">
    <w:name w:val="Сетка таблицы8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3" w:customStyle="1">
    <w:name w:val="Table Grid Report126"/>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4" w:customStyle="1">
    <w:name w:val="Сетка таблицы 56"/>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5" w:customStyle="1">
    <w:name w:val="Table Grid14"/>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6" w:customStyle="1">
    <w:name w:val="Папушкин5"/>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7" w:customStyle="1">
    <w:name w:val="Сетка таблицы 525"/>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8" w:customStyle="1">
    <w:name w:val="Столбцы таблицы 35"/>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09" w:customStyle="1">
    <w:name w:val="Столбцы таблицы 45"/>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0" w:customStyle="1">
    <w:name w:val="Столбцы таблицы 55"/>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1" w:customStyle="1">
    <w:name w:val="Таблица-список 15"/>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2" w:customStyle="1">
    <w:name w:val="Столбцы таблицы 25"/>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3" w:customStyle="1">
    <w:name w:val="Таблица-список 25"/>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4" w:customStyle="1">
    <w:name w:val="Современная таблица5"/>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5" w:customStyle="1">
    <w:name w:val="Средний список 112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6" w:customStyle="1">
    <w:name w:val="Средний список 1 - Акцент 115"/>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7" w:customStyle="1">
    <w:name w:val="Простая таблица 25"/>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8" w:customStyle="1">
    <w:name w:val="Стандартная таблица5"/>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19" w:customStyle="1">
    <w:name w:val="Классическая таблица 17"/>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0" w:customStyle="1">
    <w:name w:val="Простая таблица 15"/>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1" w:customStyle="1">
    <w:name w:val="Изящная таблица 25"/>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2" w:customStyle="1">
    <w:name w:val="Веб-таблица 15"/>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3" w:customStyle="1">
    <w:name w:val="Веб-таблица 25"/>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4" w:customStyle="1">
    <w:name w:val="Веб-таблица 37"/>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5" w:customStyle="1">
    <w:name w:val="Изысканная таблица6"/>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6" w:customStyle="1">
    <w:name w:val="Изящная таблица 16"/>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7" w:customStyle="1">
    <w:name w:val="Классическая таблица 26"/>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8" w:customStyle="1">
    <w:name w:val="Сетка таблицы1110"/>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29" w:customStyle="1">
    <w:name w:val="Сетка таблицы2110"/>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0" w:customStyle="1">
    <w:name w:val="Сетка таблицы 86"/>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1" w:customStyle="1">
    <w:name w:val="Сетка таблицы 25"/>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2" w:customStyle="1">
    <w:name w:val="Сетка таблицы 15"/>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3" w:customStyle="1">
    <w:name w:val="Светлая заливка17"/>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4" w:customStyle="1">
    <w:name w:val="Средний список 12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5" w:customStyle="1">
    <w:name w:val="Сетка таблицы253"/>
    <w:basedOn w:val="13513"/>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6" w:customStyle="1">
    <w:name w:val="Светлая заливка25"/>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7" w:customStyle="1">
    <w:name w:val="Сетка таблицы31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8" w:customStyle="1">
    <w:name w:val="Светлая заливка1110"/>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39" w:customStyle="1">
    <w:name w:val="Простая таблица 35"/>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0" w:customStyle="1">
    <w:name w:val="Средняя заливка 2 - Акцент 414"/>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1" w:customStyle="1">
    <w:name w:val="Светлая заливка113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2" w:customStyle="1">
    <w:name w:val="Светлая заливка115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3" w:customStyle="1">
    <w:name w:val="Светлая заливка111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4" w:customStyle="1">
    <w:name w:val="Светлая заливка37"/>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5" w:customStyle="1">
    <w:name w:val="Light Shading1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6" w:customStyle="1">
    <w:name w:val="Светлая заливка112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7" w:customStyle="1">
    <w:name w:val="Светлая заливка114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8" w:customStyle="1">
    <w:name w:val="рпдлпжлопж4"/>
    <w:basedOn w:val="13513"/>
    <w:uiPriority w:val="99"/>
    <w:pPr>
      <w:pBdr/>
      <w:spacing w:after="0" w:line="240" w:lineRule="auto"/>
      <w:ind/>
      <w:jc w:val="right"/>
    </w:pPr>
    <w:rPr>
      <w:sz w:val="18"/>
      <w:szCs w:val="20"/>
    </w:rPr>
    <w:tblPr>
      <w:tblStyleRowBandSize w:val="1"/>
      <w:tblStyleColBandSize w:val="1"/>
      <w:tblBorders/>
    </w:tblPr>
    <w:tcPr>
      <w:tcBorders/>
      <w:vAlign w:val="center"/>
    </w:tcPr>
    <w:tblStylePr w:type="band1Horz">
      <w:rPr>
        <w:sz w:val="18"/>
      </w:rPr>
      <w:pPr>
        <w:pBdr/>
        <w:spacing/>
        <w:ind/>
        <w:jc w:val="right"/>
      </w:pPr>
      <w:tblPr>
        <w:tblBorders/>
      </w:tblPr>
      <w:tcPr>
        <w:tcBorders/>
      </w:tcPr>
    </w:tblStylePr>
    <w:tblStylePr w:type="band1Vert">
      <w:rPr>
        <w:sz w:val="18"/>
      </w:rPr>
      <w:pPr>
        <w:pBdr/>
        <w:spacing/>
        <w:ind/>
        <w:jc w:val="right"/>
      </w:pPr>
      <w:tblPr>
        <w:tblBorders/>
      </w:tblPr>
      <w:tcPr>
        <w:tcBorders/>
      </w:tcPr>
    </w:tblStylePr>
    <w:tblStylePr w:type="band2Horz">
      <w:rPr>
        <w:sz w:val="18"/>
      </w:rPr>
      <w:pPr>
        <w:pBdr/>
        <w:spacing/>
        <w:ind/>
        <w:jc w:val="right"/>
      </w:pPr>
      <w:tblPr>
        <w:tblBorders/>
      </w:tblPr>
      <w:tcPr>
        <w:shd w:val="clear" w:color="auto" w:fill="bfbfbf"/>
        <w:tcBorders/>
      </w:tcPr>
    </w:tblStylePr>
    <w:tblStylePr w:type="band2Vert">
      <w:rPr>
        <w:sz w:val="18"/>
      </w:rPr>
      <w:pPr>
        <w:pBdr/>
        <w:spacing/>
        <w:ind/>
        <w:jc w:val="right"/>
      </w:pPr>
      <w:tblPr>
        <w:tblBorders/>
      </w:tblPr>
      <w:tcPr>
        <w:tcBorders/>
      </w:tcPr>
    </w:tblStylePr>
    <w:tblStylePr w:type="firstCol">
      <w:rPr>
        <w:sz w:val="18"/>
      </w:rPr>
      <w:pPr>
        <w:pBdr/>
        <w:spacing/>
        <w:ind/>
      </w:pPr>
      <w:tblPr>
        <w:tblBorders/>
      </w:tblPr>
      <w:tcPr>
        <w:tcBorders>
          <w:right w:val="single" w:color="000000" w:sz="4" w:space="0"/>
        </w:tcBorders>
      </w:tcPr>
    </w:tblStylePr>
    <w:tblStylePr w:type="firstRow">
      <w:rPr>
        <w:b/>
        <w:sz w:val="18"/>
      </w:rPr>
      <w:pPr>
        <w:pBdr/>
        <w:spacing/>
        <w:ind/>
        <w:jc w:val="right"/>
      </w:pPr>
      <w:tblPr>
        <w:tblBorders/>
      </w:tblPr>
      <w:tcPr>
        <w:shd w:val="clear" w:color="auto" w:fill="bfbfbf"/>
        <w:tcBorders>
          <w:bottom w:val="single" w:color="000000" w:sz="4" w:space="0"/>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49" w:customStyle="1">
    <w:name w:val="Светлая заливка31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0" w:customStyle="1">
    <w:name w:val="Сетка таблицы 515"/>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1" w:customStyle="1">
    <w:name w:val="Table Grid113"/>
    <w:basedOn w:val="13513"/>
    <w:pPr>
      <w:pBdr/>
      <w:spacing w:after="0" w:line="240" w:lineRule="auto"/>
      <w:ind/>
    </w:pPr>
    <w:rPr>
      <w:sz w:val="20"/>
      <w:szCs w:val="20"/>
    </w:rPr>
    <w:tblPr>
      <w:tblStyleRowBandSize w:val="1"/>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shd w:val="clear" w:color="auto" w:fill="d9d9d9"/>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shd w:val="clear" w:color="auto" w:fill="d9d9d9"/>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2" w:customStyle="1">
    <w:name w:val="Папушкин14"/>
    <w:basedOn w:val="13514"/>
    <w:pPr>
      <w:pBdr/>
      <w:spacing/>
      <w:ind/>
      <w:jc w:val="center"/>
    </w:pPr>
    <w:rPr>
      <w:sz w:val="18"/>
      <w:szCs w:val="18"/>
    </w:rPr>
    <w:tblPr>
      <w:tblStyleRowBandSize w:val="1"/>
      <w:tblBorders/>
    </w:tblPr>
    <w:tcPr>
      <w:shd w:val="clear" w:color="auto" w:fill="auto"/>
      <w:tcBorders/>
      <w:vAlign w:val="center"/>
    </w:tcPr>
    <w:tblStylePr w:type="band1Horz">
      <w:pPr>
        <w:pBdr/>
        <w:spacing/>
        <w:ind/>
      </w:pPr>
      <w:tblPr>
        <w:tblBorders/>
      </w:tblPr>
      <w:tcPr>
        <w:shd w:val="clear" w:color="auto" w:fill="d9d9d9"/>
        <w:tcBorders>
          <w:top w:val="single" w:color="000000" w:sz="6" w:space="0"/>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shd w:val="clear" w:color="auto"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rPr>
      <w:pPr>
        <w:pBdr/>
        <w:spacing/>
        <w:ind/>
      </w:pPr>
      <w:tblPr>
        <w:tblBorders/>
      </w:tblPr>
      <w:tcPr>
        <w:shd w:val="clear" w:color="auto" w:fill="d9d9d9"/>
        <w:tcBorders>
          <w:top w:val="single" w:color="000000" w:sz="24" w:space="0"/>
          <w:bottom w:val="single" w:color="000000" w:sz="24" w:space="0"/>
        </w:tcBorders>
      </w:tcPr>
    </w:tblStylePr>
    <w:tblStylePr w:type="lastCol">
      <w:pPr>
        <w:pBdr/>
        <w:spacing/>
        <w:ind/>
      </w:pPr>
      <w:tblPr>
        <w:tblBorders/>
      </w:tblPr>
      <w:tcPr>
        <w:tcBorders/>
      </w:tcPr>
    </w:tblStylePr>
    <w:tblStylePr w:type="lastRow">
      <w:pPr>
        <w:pBdr/>
        <w:spacing/>
        <w:ind/>
      </w:pPr>
      <w:tblPr>
        <w:tblBorders/>
      </w:tblPr>
      <w:tcPr>
        <w:shd w:val="clear" w:color="auto" w:fill="d9d9d9"/>
        <w:tcBorders>
          <w:bottom w:val="single" w:color="000000" w:sz="2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3" w:customStyle="1">
    <w:name w:val="Сетка таблицы 5214"/>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4" w:customStyle="1">
    <w:name w:val="Столбцы таблицы 314"/>
    <w:basedOn w:val="13513"/>
    <w:pPr>
      <w:pBdr/>
      <w:spacing w:after="0" w:line="360" w:lineRule="atLeast"/>
      <w:ind/>
      <w:jc w:val="both"/>
    </w:pPr>
    <w:rPr>
      <w:b/>
      <w:bCs/>
      <w:sz w:val="20"/>
      <w:szCs w:val="20"/>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op w:val="single" w:color="000080" w:sz="6"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5" w:customStyle="1">
    <w:name w:val="Столбцы таблицы 414"/>
    <w:basedOn w:val="13513"/>
    <w:pPr>
      <w:pBdr/>
      <w:spacing w:after="0" w:line="360" w:lineRule="atLeast"/>
      <w:ind/>
      <w:jc w:val="both"/>
    </w:pPr>
    <w:rPr>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50" w:color="008080" w:fill="ffffff"/>
        <w:tcBorders/>
      </w:tcPr>
    </w:tblStylePr>
    <w:tblStylePr w:type="band2Horz">
      <w:pPr>
        <w:pBdr/>
        <w:spacing/>
        <w:ind/>
      </w:pPr>
      <w:tblPr>
        <w:tblBorders/>
      </w:tblPr>
      <w:tcPr>
        <w:tcBorders/>
      </w:tcPr>
    </w:tblStylePr>
    <w:tblStylePr w:type="band2Vert">
      <w:pPr>
        <w:pBdr/>
        <w:spacing/>
        <w:ind/>
      </w:pPr>
      <w:tblPr>
        <w:tblBorders/>
      </w:tblPr>
      <w:tcPr>
        <w:shd w:val="pct10" w:color="000000" w:fill="ffffff"/>
        <w:tcBorders/>
      </w:tcPr>
    </w:tblStylePr>
    <w:tblStylePr w:type="firstCol">
      <w:pPr>
        <w:pBdr/>
        <w:spacing/>
        <w:ind/>
      </w:pPr>
      <w:tblPr>
        <w:tblBorders/>
      </w:tblPr>
      <w:tcPr>
        <w:tcBorders/>
      </w:tcPr>
    </w:tblStylePr>
    <w:tblStylePr w:type="firstRow">
      <w:pPr>
        <w:pBdr/>
        <w:spacing/>
        <w:ind/>
      </w:pPr>
      <w:tblPr>
        <w:tblBorders/>
      </w:tblPr>
      <w:tcPr>
        <w:shd w:val="solid" w:color="00000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6" w:customStyle="1">
    <w:name w:val="Столбцы таблицы 514"/>
    <w:basedOn w:val="13513"/>
    <w:pPr>
      <w:pBdr/>
      <w:spacing w:after="0" w:line="360" w:lineRule="atLeast"/>
      <w:ind/>
      <w:jc w:val="both"/>
    </w:pPr>
    <w:rPr>
      <w:sz w:val="20"/>
      <w:szCs w:val="20"/>
    </w:r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cPr>
      <w:tcBorders/>
    </w:tcPr>
    <w:tblStylePr w:type="band1Horz">
      <w:pPr>
        <w:pBdr/>
        <w:spacing/>
        <w:ind/>
      </w:pPr>
      <w:tblPr>
        <w:tblBorders/>
      </w:tblPr>
      <w:tcPr>
        <w:tcBorders/>
      </w:tcPr>
    </w:tblStylePr>
    <w:tblStylePr w:type="band1Vert">
      <w:pPr>
        <w:pBdr/>
        <w:spacing/>
        <w:ind/>
      </w:pPr>
      <w:tblPr>
        <w:tblBorders/>
      </w:tblPr>
      <w:tcPr>
        <w:shd w:val="solid" w:color="c0c0c0" w:fill="fffff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tcBorders>
          <w:bottom w:val="single" w:color="808080" w:sz="6"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80808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7" w:customStyle="1">
    <w:name w:val="Таблица-список 114"/>
    <w:basedOn w:val="13513"/>
    <w:pPr>
      <w:pBdr/>
      <w:spacing w:after="0" w:line="360" w:lineRule="atLeast"/>
      <w:ind/>
      <w:jc w:val="both"/>
    </w:pPr>
    <w:rPr>
      <w:sz w:val="20"/>
      <w:szCs w:val="20"/>
    </w:rPr>
    <w:tblPr>
      <w:tblStyleRowBandSize w:val="1"/>
      <w:tblBorders>
        <w:top w:val="single" w:color="008080" w:sz="12" w:space="0"/>
        <w:left w:val="single" w:color="008080" w:sz="6" w:space="0"/>
        <w:bottom w:val="single" w:color="008080" w:sz="12" w:space="0"/>
        <w:right w:val="single" w:color="008080" w:sz="6" w:space="0"/>
      </w:tblBorders>
    </w:tblPr>
    <w:tcPr>
      <w:tcBorders/>
    </w:tcPr>
    <w:tblStylePr w:type="band1Horz">
      <w:pPr>
        <w:pBdr/>
        <w:spacing/>
        <w:ind/>
      </w:pPr>
      <w:tblPr>
        <w:tblBorders/>
      </w:tblPr>
      <w:tcPr>
        <w:shd w:val="solid" w:color="c0c0c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i/>
      </w:rPr>
      <w:pPr>
        <w:pBdr/>
        <w:spacing/>
        <w:ind/>
      </w:pPr>
      <w:tblPr>
        <w:tblBorders/>
      </w:tblPr>
      <w:tcPr>
        <w:shd w:val="solid" w:color="c0c0c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8" w:customStyle="1">
    <w:name w:val="Столбцы таблицы 214"/>
    <w:basedOn w:val="13513"/>
    <w:pPr>
      <w:pBdr/>
      <w:spacing w:after="0" w:line="360" w:lineRule="atLeast"/>
      <w:ind/>
      <w:jc w:val="both"/>
    </w:pPr>
    <w:rPr>
      <w:b/>
      <w:bCs/>
      <w:sz w:val="20"/>
      <w:szCs w:val="20"/>
    </w:rPr>
    <w:tblPr>
      <w:tblStyleColBandSize w:val="1"/>
      <w:tblBorders/>
    </w:tblPr>
    <w:tcPr>
      <w:tcBorders/>
    </w:tcPr>
    <w:tblStylePr w:type="band1Horz">
      <w:pPr>
        <w:pBdr/>
        <w:spacing/>
        <w:ind/>
      </w:pPr>
      <w:tblPr>
        <w:tblBorders/>
      </w:tblPr>
      <w:tcPr>
        <w:tcBorders/>
      </w:tcPr>
    </w:tblStylePr>
    <w:tblStylePr w:type="band1Vert">
      <w:pPr>
        <w:pBdr/>
        <w:spacing/>
        <w:ind/>
      </w:pPr>
      <w:tblPr>
        <w:tblBorders/>
      </w:tblPr>
      <w:tcPr>
        <w:shd w:val="pct30" w:color="000000" w:fill="ffffff"/>
        <w:tcBorders/>
      </w:tcPr>
    </w:tblStylePr>
    <w:tblStylePr w:type="band2Horz">
      <w:pPr>
        <w:pBdr/>
        <w:spacing/>
        <w:ind/>
      </w:pPr>
      <w:tblPr>
        <w:tblBorders/>
      </w:tblPr>
      <w:tcPr>
        <w:tcBorders/>
      </w:tcPr>
    </w:tblStylePr>
    <w:tblStylePr w:type="band2Vert">
      <w:pPr>
        <w:pBdr/>
        <w:spacing/>
        <w:ind/>
      </w:pPr>
      <w:tblPr>
        <w:tblBorders/>
      </w:tblPr>
      <w:tcPr>
        <w:shd w:val="pct25" w:color="00ff00" w:fill="ffffff"/>
        <w:tcBorders/>
      </w:tcPr>
    </w:tblStylePr>
    <w:tblStylePr w:type="firstCol">
      <w:rPr>
        <w:b w:val="0"/>
        <w:bCs w:val="0"/>
      </w:rPr>
      <w:pPr>
        <w:pBdr/>
        <w:spacing/>
        <w:ind/>
      </w:pPr>
      <w:tblPr>
        <w:tblBorders/>
      </w:tblPr>
      <w:tcPr>
        <w:tcBorders/>
      </w:tcPr>
    </w:tblStylePr>
    <w:tblStylePr w:type="firstRow">
      <w:pPr>
        <w:pBdr/>
        <w:spacing/>
        <w:ind/>
      </w:pPr>
      <w:tblPr>
        <w:tblBorders/>
      </w:tblPr>
      <w:tcPr>
        <w:shd w:val="solid" w:color="000080" w:fill="ffffff"/>
        <w:tcBorders/>
      </w:tcPr>
    </w:tblStylePr>
    <w:tblStylePr w:type="lastCol">
      <w:rPr>
        <w:b w:val="0"/>
        <w:bCs w:val="0"/>
      </w:rPr>
      <w:pPr>
        <w:pBdr/>
        <w:spacing/>
        <w:ind/>
      </w:pPr>
      <w:tblPr>
        <w:tblBorders/>
      </w:tblPr>
      <w:tcPr>
        <w:tcBorders/>
      </w:tcPr>
    </w:tblStylePr>
    <w:tblStylePr w:type="lastRow">
      <w:rPr>
        <w:b w:val="0"/>
        <w:bCs w:val="0"/>
      </w:rPr>
      <w:pPr>
        <w:pBdr/>
        <w:spacing/>
        <w:ind/>
      </w:pPr>
      <w:tblPr>
        <w:tblBorders/>
      </w:tblPr>
      <w:tcPr>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59" w:customStyle="1">
    <w:name w:val="Таблица-список 214"/>
    <w:basedOn w:val="13513"/>
    <w:pPr>
      <w:pBdr/>
      <w:spacing w:after="0" w:line="360" w:lineRule="atLeast"/>
      <w:ind/>
      <w:jc w:val="both"/>
    </w:pPr>
    <w:rPr>
      <w:sz w:val="20"/>
      <w:szCs w:val="20"/>
    </w:rPr>
    <w:tblPr>
      <w:tblStyleRowBandSize w:val="2"/>
      <w:tblBorders>
        <w:bottom w:val="single" w:color="808080" w:sz="12" w:space="0"/>
      </w:tblBorders>
    </w:tblPr>
    <w:tcPr>
      <w:tcBorders/>
    </w:tcPr>
    <w:tblStylePr w:type="band1Horz">
      <w:pPr>
        <w:pBdr/>
        <w:spacing/>
        <w:ind/>
      </w:pPr>
      <w:tblPr>
        <w:tblBorders/>
      </w:tblPr>
      <w:tcPr>
        <w:shd w:val="pct20" w:color="00ff00" w:fill="ffffff"/>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75" w:color="008080" w:fill="008000"/>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0" w:customStyle="1">
    <w:name w:val="Современная таблица14"/>
    <w:basedOn w:val="13513"/>
    <w:pPr>
      <w:pBdr/>
      <w:spacing w:after="0" w:line="360" w:lineRule="atLeast"/>
      <w:ind/>
      <w:jc w:val="both"/>
    </w:pPr>
    <w:rPr>
      <w:sz w:val="20"/>
      <w:szCs w:val="20"/>
    </w:rPr>
    <w:tblPr>
      <w:tblStyleRowBandSize w:val="1"/>
      <w:tblBorders>
        <w:insideH w:val="single" w:color="ffffff" w:sz="18" w:space="0"/>
        <w:insideV w:val="single" w:color="ffffff" w:sz="18" w:space="0"/>
      </w:tblBorders>
    </w:tblPr>
    <w:tcPr>
      <w:tcBorders/>
    </w:tcPr>
    <w:tblStylePr w:type="band1Horz">
      <w:pPr>
        <w:pBdr/>
        <w:spacing/>
        <w:ind/>
      </w:pPr>
      <w:tblPr>
        <w:tblBorders/>
      </w:tblPr>
      <w:tcPr>
        <w:shd w:val="pct5" w:color="000000" w:fill="ffffff"/>
        <w:tcBorders/>
      </w:tcPr>
    </w:tblStylePr>
    <w:tblStylePr w:type="band1Vert">
      <w:pPr>
        <w:pBdr/>
        <w:spacing/>
        <w:ind/>
      </w:pPr>
      <w:tblPr>
        <w:tblBorders/>
      </w:tblPr>
      <w:tcPr>
        <w:tcBorders/>
      </w:tcPr>
    </w:tblStylePr>
    <w:tblStylePr w:type="band2Horz">
      <w:pPr>
        <w:pBdr/>
        <w:spacing/>
        <w:ind/>
      </w:pPr>
      <w:tblPr>
        <w:tblBorders/>
      </w:tblPr>
      <w:tcPr>
        <w:shd w:val="pct20" w:color="000000" w:fill="ffffff"/>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pct20"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1" w:customStyle="1">
    <w:name w:val="Средний список 11116"/>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2" w:customStyle="1">
    <w:name w:val="Средний список 1 - Акцент 1114"/>
    <w:basedOn w:val="13513"/>
    <w:uiPriority w:val="65"/>
    <w:pPr>
      <w:pBdr/>
      <w:spacing w:after="0" w:line="240" w:lineRule="auto"/>
      <w:ind/>
    </w:pPr>
    <w:rPr>
      <w:sz w:val="20"/>
      <w:szCs w:val="20"/>
    </w:rPr>
    <w:tblPr>
      <w:tblStyleRowBandSize w:val="1"/>
      <w:tblStyleColBandSize w:val="1"/>
      <w:tblBorders>
        <w:top w:val="single" w:color="4f81bd" w:sz="8" w:space="0"/>
        <w:bottom w:val="single" w:color="4f81bd" w:sz="8" w:space="0"/>
      </w:tblBorders>
    </w:tblPr>
    <w:tcPr>
      <w:tcBorders/>
    </w:tcPr>
    <w:tblStylePr w:type="band1Horz">
      <w:pPr>
        <w:pBdr/>
        <w:spacing/>
        <w:ind/>
      </w:pPr>
      <w:tblPr>
        <w:tblBorders/>
      </w:tblPr>
      <w:tcPr>
        <w:shd w:val="clear" w:color="auto" w:fill="d3dfee"/>
        <w:tcBorders/>
      </w:tcPr>
    </w:tblStylePr>
    <w:tblStylePr w:type="band1Vert">
      <w:pPr>
        <w:pBdr/>
        <w:spacing/>
        <w:ind/>
      </w:pPr>
      <w:tblPr>
        <w:tblBorders/>
      </w:tblPr>
      <w:tcPr>
        <w:shd w:val="clear" w:color="auto" w:fill="d3dfee"/>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4f81bd" w:sz="8" w:space="0"/>
        </w:tcBorders>
      </w:tcPr>
    </w:tblStylePr>
    <w:tblStylePr w:type="lastCol">
      <w:rPr>
        <w:b/>
        <w:bCs/>
      </w:rPr>
      <w:pPr>
        <w:pBdr/>
        <w:spacing/>
        <w:ind/>
      </w:pPr>
      <w:tblPr>
        <w:tblBorders/>
      </w:tblPr>
      <w:tcPr>
        <w:tcBorders>
          <w:top w:val="single" w:color="4f81bd" w:sz="8" w:space="0"/>
          <w:bottom w:val="single" w:color="4f81bd" w:sz="8" w:space="0"/>
        </w:tcBorders>
      </w:tcPr>
    </w:tblStylePr>
    <w:tblStylePr w:type="lastRow">
      <w:rPr>
        <w:b/>
        <w:bCs/>
      </w:rPr>
      <w:pPr>
        <w:pBdr/>
        <w:spacing/>
        <w:ind/>
      </w:pPr>
      <w:tblPr>
        <w:tblBorders/>
      </w:tblPr>
      <w:tcPr>
        <w:tcBorders>
          <w:top w:val="single" w:color="4f81bd" w:sz="8" w:space="0"/>
          <w:bottom w:val="single" w:color="4f81bd"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3" w:customStyle="1">
    <w:name w:val="Простая таблица 214"/>
    <w:basedOn w:val="13513"/>
    <w:pPr>
      <w:pBdr/>
      <w:spacing w:after="0" w:line="360" w:lineRule="atLeast"/>
      <w:ind/>
      <w:jc w:val="both"/>
    </w:pPr>
    <w:rPr>
      <w:sz w:val="20"/>
      <w:szCs w:val="20"/>
    </w:rPr>
    <w:tblP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right w:val="single" w:color="000000" w:sz="12" w:space="0"/>
        </w:tcBorders>
      </w:tcPr>
    </w:tblStylePr>
    <w:tblStylePr w:type="firstRow">
      <w:rPr>
        <w:b/>
        <w:bCs/>
      </w:rPr>
      <w:pPr>
        <w:pBdr/>
        <w:spacing/>
        <w:ind/>
      </w:pPr>
      <w:tblPr>
        <w:tblBorders/>
      </w:tblPr>
      <w:tcPr>
        <w:tcBorders>
          <w:bottom w:val="single" w:color="000000" w:sz="12" w:space="0"/>
        </w:tcBorders>
      </w:tcPr>
    </w:tblStylePr>
    <w:tblStylePr w:type="lastCol">
      <w:rPr>
        <w:b/>
        <w:bCs/>
      </w:rPr>
      <w:pPr>
        <w:pBdr/>
        <w:spacing/>
        <w:ind/>
      </w:pPr>
      <w:tblPr>
        <w:tblBorders/>
      </w:tblPr>
      <w:tcPr>
        <w:tcBorders>
          <w:left w:val="single" w:color="000000" w:sz="6" w:space="0"/>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rPr>
      <w:pPr>
        <w:pBdr/>
        <w:spacing/>
        <w:ind/>
      </w:pPr>
      <w:tblPr>
        <w:tblBorders/>
      </w:tblPr>
      <w:tcPr>
        <w:tcBorders>
          <w:left w:val="none" w:color="000000" w:sz="0" w:space="0"/>
        </w:tcBorders>
      </w:tcPr>
    </w:tblStylePr>
    <w:tblStylePr w:type="swCell">
      <w:rPr>
        <w:b/>
        <w:bCs/>
      </w:rPr>
      <w:pPr>
        <w:pBdr/>
        <w:spacing/>
        <w:ind/>
      </w:pPr>
      <w:tblPr>
        <w:tblBorders/>
      </w:tblPr>
      <w:tcPr>
        <w:tcBorders>
          <w:top w:val="none" w:color="000000" w:sz="0"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4" w:customStyle="1">
    <w:name w:val="Стандартная таблица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5" w:customStyle="1">
    <w:name w:val="Классическая таблица 114"/>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6" w:space="0"/>
        </w:tcBorders>
      </w:tcPr>
    </w:tblStylePr>
    <w:tblStylePr w:type="firstRow">
      <w:rPr>
        <w:i/>
      </w:rPr>
      <w:pPr>
        <w:pBdr/>
        <w:spacing/>
        <w:ind/>
      </w:pPr>
      <w:tblPr>
        <w:tblBorders/>
      </w:tblPr>
      <w:tcPr>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rPr>
        <w:b/>
        <w:bCs/>
        <w:i w:val="0"/>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6" w:customStyle="1">
    <w:name w:val="Простая таблица 114"/>
    <w:basedOn w:val="13513"/>
    <w:pPr>
      <w:pBdr/>
      <w:spacing w:after="120" w:before="120" w:line="240" w:lineRule="auto"/>
      <w:ind/>
      <w:jc w:val="both"/>
    </w:pPr>
    <w:rPr>
      <w:sz w:val="20"/>
      <w:szCs w:val="20"/>
    </w:rPr>
    <w:tblPr>
      <w:tblBorders>
        <w:top w:val="single" w:color="008000" w:sz="12" w:space="0"/>
        <w:bottom w:val="single" w:color="008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8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8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7" w:customStyle="1">
    <w:name w:val="Изящная таблица 214"/>
    <w:basedOn w:val="13513"/>
    <w:pPr>
      <w:pBdr/>
      <w:spacing w:after="120" w:before="120" w:line="240" w:lineRule="auto"/>
      <w:ind/>
      <w:jc w:val="both"/>
    </w:pPr>
    <w:rPr>
      <w:sz w:val="20"/>
      <w:szCs w:val="20"/>
    </w:rPr>
    <w:tblPr>
      <w:tblBorders>
        <w:left w:val="single" w:color="000000" w:sz="6" w:space="0"/>
        <w:right w:val="single" w:color="000000" w:sz="6"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pct25" w:color="008000" w:fill="ffffff"/>
        <w:tcBorders>
          <w:right w:val="single" w:color="000000" w:sz="12" w:space="0"/>
        </w:tcBorders>
      </w:tcPr>
    </w:tblStylePr>
    <w:tblStylePr w:type="firstRow">
      <w:pPr>
        <w:pBdr/>
        <w:spacing/>
        <w:ind/>
      </w:pPr>
      <w:tblPr>
        <w:tblBorders/>
      </w:tblPr>
      <w:tcPr>
        <w:tcBorders>
          <w:bottom w:val="single" w:color="000000" w:sz="12" w:space="0"/>
        </w:tcBorders>
      </w:tcPr>
    </w:tblStylePr>
    <w:tblStylePr w:type="lastCol">
      <w:pPr>
        <w:pBdr/>
        <w:spacing/>
        <w:ind/>
      </w:pPr>
      <w:tblPr>
        <w:tblBorders/>
      </w:tblPr>
      <w:tcPr>
        <w:shd w:val="pct25" w:color="808000" w:fill="ffffff"/>
        <w:tcBorders>
          <w:left w:val="single" w:color="000000" w:sz="12" w:space="0"/>
        </w:tcBorders>
      </w:tcPr>
    </w:tblStylePr>
    <w:tblStylePr w:type="lastRow">
      <w:pPr>
        <w:pBdr/>
        <w:spacing/>
        <w:ind/>
      </w:pPr>
      <w:tblPr>
        <w:tblBorders/>
      </w:tblPr>
      <w:tcPr>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8" w:customStyle="1">
    <w:name w:val="Веб-таблица 1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69" w:customStyle="1">
    <w:name w:val="Веб-таблица 2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0" w:customStyle="1">
    <w:name w:val="Веб-таблица 316"/>
    <w:basedOn w:val="13513"/>
    <w:pPr>
      <w:pBdr/>
      <w:spacing w:after="120" w:before="120" w:line="240" w:lineRule="auto"/>
      <w:ind/>
      <w:jc w:val="both"/>
    </w:pPr>
    <w:rPr>
      <w:sz w:val="20"/>
      <w:szCs w:val="20"/>
    </w:rPr>
    <w:tblPr>
      <w:tblBorders>
        <w:top w:val="single" w:color="000000" w:sz="24" w:space="0"/>
        <w:left w:val="single" w:color="000000" w:sz="24" w:space="0"/>
        <w:bottom w:val="single" w:color="000000" w:sz="24" w:space="0"/>
        <w:right w:val="single" w:color="000000" w:sz="24"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1" w:customStyle="1">
    <w:name w:val="Изысканная таблица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caps/>
      </w:rPr>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2" w:customStyle="1">
    <w:name w:val="Изящная таблица 114"/>
    <w:basedOn w:val="13513"/>
    <w:pPr>
      <w:pBdr/>
      <w:spacing w:after="120" w:before="120" w:line="240" w:lineRule="auto"/>
      <w:ind/>
      <w:jc w:val="both"/>
    </w:pPr>
    <w:rPr>
      <w:sz w:val="20"/>
      <w:szCs w:val="20"/>
    </w:rPr>
    <w:tblPr>
      <w:tblStyleRowBandSize w:val="1"/>
      <w:tblBorders/>
    </w:tblPr>
    <w:tcPr>
      <w:tcBorders/>
    </w:tcPr>
    <w:tblStylePr w:type="band1Horz">
      <w:pPr>
        <w:pBdr/>
        <w:spacing/>
        <w:ind/>
      </w:pPr>
      <w:tblPr>
        <w:tblBorders/>
      </w:tblPr>
      <w:tcPr>
        <w:shd w:val="pct25" w:color="808000" w:fill="ffffff"/>
        <w:tcBorders>
          <w:bottom w:val="single" w:color="000000" w:sz="6"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right w:val="single" w:color="000000" w:sz="12" w:space="0"/>
        </w:tcBorders>
      </w:tcPr>
    </w:tblStylePr>
    <w:tblStylePr w:type="firstRow">
      <w:pPr>
        <w:pBdr/>
        <w:spacing/>
        <w:ind/>
      </w:pPr>
      <w:tblPr>
        <w:tblBorders/>
      </w:tblPr>
      <w:tcPr>
        <w:tcBorders>
          <w:top w:val="single" w:color="000000" w:sz="6" w:space="0"/>
          <w:bottom w:val="single" w:color="000000" w:sz="12" w:space="0"/>
        </w:tcBorders>
      </w:tcPr>
    </w:tblStylePr>
    <w:tblStylePr w:type="lastCol">
      <w:pPr>
        <w:pBdr/>
        <w:spacing/>
        <w:ind/>
      </w:pPr>
      <w:tblPr>
        <w:tblBorders/>
      </w:tblPr>
      <w:tcPr>
        <w:tcBorders>
          <w:left w:val="single" w:color="000000" w:sz="12" w:space="0"/>
        </w:tcBorders>
      </w:tcPr>
    </w:tblStylePr>
    <w:tblStylePr w:type="lastRow">
      <w:pPr>
        <w:pBdr/>
        <w:spacing/>
        <w:ind/>
      </w:pPr>
      <w:tblPr>
        <w:tblBorders/>
      </w:tblPr>
      <w:tcPr>
        <w:shd w:val="pct25" w:color="800080" w:fill="ffffff"/>
        <w:tcBorders>
          <w:top w:val="single" w:color="000000" w:sz="12" w:space="0"/>
        </w:tcBorders>
      </w:tcPr>
    </w:tblStylePr>
    <w:tblStylePr w:type="nwCell">
      <w:pPr>
        <w:pBdr/>
        <w:spacing/>
        <w:ind/>
      </w:pPr>
      <w:tblPr>
        <w:tblBorders/>
      </w:tblPr>
      <w:tcPr>
        <w:tcBorders/>
      </w:tcPr>
    </w:tblStylePr>
    <w:tblStylePr w:type="neCell">
      <w:rPr>
        <w:b/>
        <w:bCs/>
      </w:rPr>
      <w:pPr>
        <w:pBdr/>
        <w:spacing/>
        <w:ind/>
      </w:pPr>
      <w:tblPr>
        <w:tblBorders/>
      </w:tblPr>
      <w:tcPr>
        <w:tcBorders/>
      </w:tcPr>
    </w:tblStylePr>
    <w:tblStylePr w:type="swCell">
      <w:rPr>
        <w:b/>
        <w:bCs/>
      </w:rPr>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3" w:customStyle="1">
    <w:name w:val="Классическая таблица 214"/>
    <w:basedOn w:val="13513"/>
    <w:pPr>
      <w:pBdr/>
      <w:spacing w:after="120" w:before="120" w:line="240" w:lineRule="auto"/>
      <w:ind/>
      <w:jc w:val="both"/>
    </w:pPr>
    <w:rPr>
      <w:sz w:val="20"/>
      <w:szCs w:val="20"/>
    </w:rPr>
    <w:tblPr>
      <w:tblBorders>
        <w:top w:val="single" w:color="000000" w:sz="12" w:space="0"/>
        <w:bottom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solid" w:color="c0c0c0" w:fill="ffffff"/>
        <w:tcBorders/>
      </w:tcPr>
    </w:tblStylePr>
    <w:tblStylePr w:type="firstRow">
      <w:pPr>
        <w:pBdr/>
        <w:spacing/>
        <w:ind/>
      </w:pPr>
      <w:tblPr>
        <w:tblBorders/>
      </w:tblPr>
      <w:tcPr>
        <w:shd w:val="solid" w:color="8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tcBorders>
          <w:top w:val="single" w:color="000000" w:sz="6" w:space="0"/>
        </w:tcBorders>
      </w:tcPr>
    </w:tblStylePr>
    <w:tblStylePr w:type="nwCell">
      <w:pPr>
        <w:pBdr/>
        <w:spacing/>
        <w:ind/>
      </w:pPr>
      <w:tblPr>
        <w:tblBorders/>
      </w:tblPr>
      <w:tcPr>
        <w:shd w:val="solid" w:color="800080" w:fill="ffffff"/>
        <w:tcBorders/>
      </w:tcPr>
    </w:tblStylePr>
    <w:tblStylePr w:type="neCell">
      <w:rPr>
        <w:b/>
        <w:bCs/>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4" w:customStyle="1">
    <w:name w:val="Сетка таблицы 814"/>
    <w:basedOn w:val="13513"/>
    <w:pPr>
      <w:pBdr/>
      <w:spacing w:after="120" w:before="120" w:line="240" w:lineRule="auto"/>
      <w:ind/>
      <w:jc w:val="both"/>
    </w:pPr>
    <w:rPr>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80" w:fill="ffffff"/>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5" w:customStyle="1">
    <w:name w:val="Сетка таблицы 214"/>
    <w:basedOn w:val="13513"/>
    <w:pPr>
      <w:pBdr/>
      <w:spacing w:after="120" w:before="120" w:line="240" w:lineRule="auto"/>
      <w:ind/>
      <w:jc w:val="both"/>
    </w:pPr>
    <w:rPr>
      <w:sz w:val="20"/>
      <w:szCs w:val="20"/>
    </w:rPr>
    <w:tblPr>
      <w:tblBorders>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000000"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6" w:customStyle="1">
    <w:name w:val="Сетка таблицы 114"/>
    <w:basedOn w:val="13513"/>
    <w:pPr>
      <w:pBdr/>
      <w:spacing w:after="120" w:before="120" w:line="240" w:lineRule="auto"/>
      <w:ind/>
      <w:jc w:val="both"/>
    </w:pPr>
    <w:rPr>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rPr>
        <w:i/>
      </w:rPr>
      <w:pPr>
        <w:pBdr/>
        <w:spacing/>
        <w:ind/>
      </w:pPr>
      <w:tblPr>
        <w:tblBorders/>
      </w:tblPr>
      <w:tcPr>
        <w:tcBorders/>
      </w:tcPr>
    </w:tblStylePr>
    <w:tblStylePr w:type="lastRow">
      <w:rPr>
        <w:i/>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7" w:customStyle="1">
    <w:name w:val="Простая таблица 314"/>
    <w:basedOn w:val="13513"/>
    <w:pPr>
      <w:pBdr/>
      <w:spacing w:after="120" w:before="120" w:line="240" w:lineRule="auto"/>
      <w:ind/>
      <w:jc w:val="both"/>
    </w:pPr>
    <w:rPr>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rPr>
        <w:b/>
        <w:bCs/>
      </w:rPr>
      <w:pPr>
        <w:pBdr/>
        <w:spacing/>
        <w:ind/>
      </w:pPr>
      <w:tblPr>
        <w:tblBorders/>
      </w:tblPr>
      <w:tcPr>
        <w:shd w:val="solid" w:color="000000" w:fill="ffffff"/>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8" w:customStyle="1">
    <w:name w:val="Средняя заливка 2 - Акцент 4113"/>
    <w:basedOn w:val="13513"/>
    <w:uiPriority w:val="64"/>
    <w:pPr>
      <w:pBdr/>
      <w:spacing w:after="0" w:line="240" w:lineRule="auto"/>
      <w:ind/>
    </w:pPr>
    <w:rPr>
      <w:sz w:val="20"/>
      <w:szCs w:val="20"/>
    </w:rPr>
    <w:tblPr>
      <w:tblStyleRowBandSize w:val="1"/>
      <w:tblStyleColBandSize w:val="1"/>
      <w:tblBorders>
        <w:top w:val="single" w:color="000000" w:sz="18" w:space="0"/>
        <w:bottom w:val="single" w:color="000000" w:sz="18" w:space="0"/>
      </w:tblBorders>
    </w:tblPr>
    <w:tcPr>
      <w:tcBorders/>
    </w:tcPr>
    <w:tblStylePr w:type="band1Horz">
      <w:pPr>
        <w:pBdr/>
        <w:spacing/>
        <w:ind/>
      </w:pPr>
      <w:tblPr>
        <w:tblBorders/>
      </w:tblPr>
      <w:tcPr>
        <w:shd w:val="clear" w:color="auto" w:fill="d8d8d8"/>
        <w:tcBorders/>
      </w:tcPr>
    </w:tblStylePr>
    <w:tblStylePr w:type="band1Vert">
      <w:pPr>
        <w:pBdr/>
        <w:spacing/>
        <w:ind/>
      </w:pPr>
      <w:tblPr>
        <w:tblBorders/>
      </w:tblPr>
      <w:tcPr>
        <w:shd w:val="clear" w:color="auto" w:fill="d8d8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8064a2"/>
        <w:tcBorders>
          <w:top w:val="none" w:color="000000" w:sz="4" w:space="0"/>
          <w:left w:val="none" w:color="000000" w:sz="4" w:space="0"/>
          <w:bottom w:val="single" w:color="000000" w:sz="18" w:space="0"/>
          <w:right w:val="none" w:color="000000" w:sz="4" w:space="0"/>
        </w:tcBorders>
      </w:tcPr>
    </w:tblStylePr>
    <w:tblStylePr w:type="firstRow">
      <w:rPr>
        <w:b/>
        <w:bCs/>
      </w:rPr>
      <w:pPr>
        <w:pBdr/>
        <w:spacing w:after="0" w:before="0" w:line="240" w:lineRule="auto"/>
        <w:ind/>
      </w:pPr>
      <w:tblPr>
        <w:tblBorders/>
      </w:tblPr>
      <w:tcPr>
        <w:shd w:val="clear" w:color="auto" w:fill="8064a2"/>
        <w:tcBorders>
          <w:top w:val="single" w:color="000000" w:sz="18" w:space="0"/>
          <w:left w:val="none" w:color="000000" w:sz="4" w:space="0"/>
          <w:bottom w:val="single" w:color="000000" w:sz="18" w:space="0"/>
          <w:right w:val="none" w:color="000000" w:sz="4" w:space="0"/>
        </w:tcBorders>
      </w:tcPr>
    </w:tblStylePr>
    <w:tblStylePr w:type="lastCol">
      <w:rPr>
        <w:b/>
        <w:bCs/>
      </w:rPr>
      <w:pPr>
        <w:pBdr/>
        <w:spacing/>
        <w:ind/>
      </w:pPr>
      <w:tblPr>
        <w:tblBorders/>
      </w:tblPr>
      <w:tcPr>
        <w:shd w:val="clear" w:color="auto" w:fill="8064a2"/>
        <w:tcBorders>
          <w:left w:val="none" w:color="000000" w:sz="4" w:space="0"/>
          <w:right w:val="none" w:color="000000" w:sz="4" w:space="0"/>
        </w:tcBorders>
      </w:tcPr>
    </w:tblStylePr>
    <w:tblStylePr w:type="lastRow">
      <w:pPr>
        <w:pBdr/>
        <w:spacing w:after="0" w:before="0" w:line="240" w:lineRule="auto"/>
        <w:ind/>
      </w:pPr>
      <w:tblPr>
        <w:tblBorders/>
      </w:tblPr>
      <w:tcPr>
        <w:shd w:val="clear" w:color="auto" w:fill="ffffff"/>
        <w:tcBorders>
          <w:top w:val="single" w:color="000000" w:sz="6" w:space="0"/>
          <w:left w:val="none" w:color="000000" w:sz="4" w:space="0"/>
          <w:bottom w:val="single" w:color="000000" w:sz="18" w:space="0"/>
          <w:right w:val="none" w:color="000000" w:sz="4" w:space="0"/>
        </w:tcBorders>
      </w:tcPr>
    </w:tblStylePr>
    <w:tblStylePr w:type="nw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79" w:customStyle="1">
    <w:name w:val="Средний список 13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0" w:customStyle="1">
    <w:name w:val="Средний список 11117"/>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1" w:customStyle="1">
    <w:name w:val="Светлая заливка4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2" w:customStyle="1">
    <w:name w:val="Средний список 1125"/>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3" w:customStyle="1">
    <w:name w:val="Средний список 113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4" w:customStyle="1">
    <w:name w:val="Светлая заливка12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5" w:customStyle="1">
    <w:name w:val="Средний список 114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6" w:customStyle="1">
    <w:name w:val="Средний список 115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7" w:customStyle="1">
    <w:name w:val="Средний список 116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8" w:customStyle="1">
    <w:name w:val="Светлая заливка21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89" w:customStyle="1">
    <w:name w:val="Средний список 117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0" w:customStyle="1">
    <w:name w:val="Средний список 118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1" w:customStyle="1">
    <w:name w:val="Средний список 119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2" w:customStyle="1">
    <w:name w:val="Средний список 1110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3" w:customStyle="1">
    <w:name w:val="Средний список 11111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4" w:customStyle="1">
    <w:name w:val="Светлая заливка32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5" w:customStyle="1">
    <w:name w:val="Средний список 1112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6" w:customStyle="1">
    <w:name w:val="Средний список 1113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7" w:customStyle="1">
    <w:name w:val="Средний список 1114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8" w:customStyle="1">
    <w:name w:val="Средний список 1115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599" w:customStyle="1">
    <w:name w:val="Средний список 11164"/>
    <w:basedOn w:val="13513"/>
    <w:uiPriority w:val="65"/>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tcPr>
    </w:tblStylePr>
    <w:tblStylePr w:type="band1Vert">
      <w:pPr>
        <w:pBdr/>
        <w:spacing/>
        <w:ind/>
      </w:pPr>
      <w:tblPr>
        <w:tblBorders/>
      </w:tblPr>
      <w:tcPr>
        <w:shd w:val="clear" w:color="auto" w:fill="c0c0c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pPr>
        <w:pBdr/>
        <w:spacing/>
        <w:ind/>
      </w:pPr>
      <w:tblPr>
        <w:tblBorders/>
      </w:tblPr>
      <w:tcPr>
        <w:tcBorders>
          <w:top w:val="none" w:color="000000" w:sz="4" w:space="0"/>
          <w:bottom w:val="single" w:color="000000" w:sz="8" w:space="0"/>
        </w:tcBorders>
      </w:tcPr>
    </w:tblStylePr>
    <w:tblStylePr w:type="lastCol">
      <w:rPr>
        <w:b/>
        <w:bCs/>
      </w:rPr>
      <w:pPr>
        <w:pBdr/>
        <w:spacing/>
        <w:ind/>
      </w:pPr>
      <w:tblPr>
        <w:tblBorders/>
      </w:tblPr>
      <w:tcPr>
        <w:tcBorders>
          <w:top w:val="single" w:color="000000" w:sz="8" w:space="0"/>
          <w:bottom w:val="single" w:color="000000" w:sz="8" w:space="0"/>
        </w:tcBorders>
      </w:tcPr>
    </w:tblStylePr>
    <w:tblStylePr w:type="lastRow">
      <w:rPr>
        <w:b/>
        <w:bCs/>
      </w:rPr>
      <w:pPr>
        <w:pBdr/>
        <w:spacing/>
        <w:ind/>
      </w:pPr>
      <w:tblPr>
        <w:tblBorders/>
      </w:tblPr>
      <w:tcPr>
        <w:tcBorders>
          <w:top w:val="single" w:color="000000" w:sz="8" w:space="0"/>
          <w:bottom w:val="single" w:color="000000"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0" w:customStyle="1">
    <w:name w:val="Светлая заливка116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1" w:customStyle="1">
    <w:name w:val="Светлая заливка33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2" w:customStyle="1">
    <w:name w:val="Светлая заливка134"/>
    <w:basedOn w:val="13513"/>
    <w:uiPriority w:val="60"/>
    <w:pPr>
      <w:pBdr/>
      <w:spacing w:after="0" w:line="240" w:lineRule="auto"/>
      <w:ind/>
    </w:pPr>
    <w:rPr>
      <w:sz w:val="20"/>
      <w:szCs w:val="20"/>
    </w:rPr>
    <w:tblPr>
      <w:tblStyleRowBandSize w:val="1"/>
      <w:tblStyleColBandSize w:val="1"/>
      <w:tblBorders>
        <w:top w:val="single" w:color="000000" w:sz="8" w:space="0"/>
        <w:bottom w:val="single" w:color="000000" w:sz="8" w:space="0"/>
      </w:tblBorders>
    </w:tblPr>
    <w:tcPr>
      <w:tcBorders/>
    </w:tcPr>
    <w:tblStylePr w:type="band1Horz">
      <w:pPr>
        <w:pBdr/>
        <w:spacing/>
        <w:ind/>
      </w:pPr>
      <w:tblPr>
        <w:tblBorders/>
      </w:tblPr>
      <w:tcPr>
        <w:shd w:val="clear" w:color="auto" w:fill="c0c0c0"/>
        <w:tcBorders>
          <w:left w:val="none" w:color="000000" w:sz="4" w:space="0"/>
          <w:right w:val="none" w:color="000000" w:sz="4" w:space="0"/>
        </w:tcBorders>
      </w:tcPr>
    </w:tblStylePr>
    <w:tblStylePr w:type="band1Vert">
      <w:pPr>
        <w:pBdr/>
        <w:spacing/>
        <w:ind/>
      </w:pPr>
      <w:tblPr>
        <w:tblBorders/>
      </w:tblPr>
      <w:tcPr>
        <w:shd w:val="clear" w:color="auto" w:fill="c0c0c0"/>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sz="8" w:space="0"/>
          <w:left w:val="none" w:color="000000" w:sz="4" w:space="0"/>
          <w:bottom w:val="single" w:color="000000"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3" w:customStyle="1">
    <w:name w:val="Сетка таблицы 5114"/>
    <w:basedOn w:val="13513"/>
    <w:pPr>
      <w:pBdr/>
      <w:spacing w:after="0" w:line="240" w:lineRule="auto"/>
      <w:ind/>
    </w:pPr>
    <w:rPr>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bottom w:val="single" w:color="000000" w:sz="12"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4">
    <w:name w:val="Table Classic 4"/>
    <w:basedOn w:val="13513"/>
    <w:pPr>
      <w:pBdr/>
      <w:spacing w:after="120" w:before="120" w:line="240" w:lineRule="auto"/>
      <w:ind/>
      <w:jc w:val="both"/>
    </w:pPr>
    <w:rPr>
      <w:sz w:val="20"/>
      <w:szCs w:val="20"/>
    </w:rPr>
    <w:tblPr>
      <w:tblBorders>
        <w:top w:val="single" w:color="000000" w:sz="12" w:space="0"/>
        <w:left w:val="single" w:color="000000" w:sz="6" w:space="0"/>
        <w:bottom w:val="single" w:color="000000" w:sz="12" w:space="0"/>
        <w:right w:val="single" w:color="000000" w:sz="6" w:space="0"/>
      </w:tblBorders>
    </w:tblPr>
    <w:tcPr>
      <w:shd w:val="clear" w:color="auto" w:fill="auto"/>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i/>
      </w:rPr>
      <w:pPr>
        <w:pBdr/>
        <w:spacing/>
        <w:ind/>
      </w:pPr>
      <w:tblPr>
        <w:tblBorders/>
      </w:tblPr>
      <w:tcPr>
        <w:shd w:val="pct50" w:color="000080" w:fill="ffffff"/>
        <w:tcBorders>
          <w:bottom w:val="single" w:color="000000" w:sz="6" w:space="0"/>
        </w:tcBorders>
      </w:tcPr>
    </w:tblStylePr>
    <w:tblStylePr w:type="lastCol">
      <w:pPr>
        <w:pBdr/>
        <w:spacing/>
        <w:ind/>
      </w:pPr>
      <w:tblPr>
        <w:tblBorders/>
      </w:tblPr>
      <w:tcPr>
        <w:tcBorders/>
      </w:tcPr>
    </w:tblStylePr>
    <w:tblStylePr w:type="lastRow">
      <w:pPr>
        <w:pBdr/>
        <w:spacing/>
        <w:ind/>
      </w:pPr>
      <w:tblPr>
        <w:tblBorders/>
      </w:tblPr>
      <w:tcPr>
        <w:shd w:val="pct50" w:color="000000" w:fill="ffffff"/>
        <w:tcBorders>
          <w:bottom w:val="single" w:color="000000" w:sz="6" w:space="0"/>
        </w:tcBorders>
      </w:tcPr>
    </w:tblStylePr>
    <w:tblStylePr w:type="nwCell">
      <w:rPr>
        <w:b/>
        <w:bCs/>
      </w:rPr>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5" w:customStyle="1">
    <w:name w:val="Сетка таблицы613"/>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6" w:customStyle="1">
    <w:name w:val="Table Grid Report1110"/>
    <w:basedOn w:val="13513"/>
    <w:uiPriority w:val="59"/>
    <w:pPr>
      <w:pBdr/>
      <w:spacing w:after="0" w:line="240" w:lineRule="auto"/>
      <w:ind/>
      <w:jc w:val="center"/>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7" w:customStyle="1">
    <w:name w:val="Таблица-сетка 5 темная — акцент 31"/>
    <w:basedOn w:val="13513"/>
    <w:uiPriority w:val="50"/>
    <w:pPr>
      <w:pBdr/>
      <w:spacing w:after="0" w:line="240" w:lineRule="auto"/>
      <w:ind/>
    </w:pPr>
    <w:rPr>
      <w:sz w:val="20"/>
      <w:szCs w:val="20"/>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eaf1dd"/>
      <w:tcBorders/>
    </w:tcPr>
    <w:tblStylePr w:type="band1Horz">
      <w:pPr>
        <w:pBdr/>
        <w:spacing/>
        <w:ind/>
      </w:pPr>
      <w:tblPr>
        <w:tblBorders/>
      </w:tblPr>
      <w:tcPr>
        <w:shd w:val="clear" w:color="auto" w:fill="d6e3bc"/>
        <w:tcBorders/>
      </w:tcPr>
    </w:tblStylePr>
    <w:tblStylePr w:type="band1Vert">
      <w:pPr>
        <w:pBdr/>
        <w:spacing/>
        <w:ind/>
      </w:pPr>
      <w:tblPr>
        <w:tblBorders/>
      </w:tblPr>
      <w:tcPr>
        <w:shd w:val="clear" w:color="auto" w:fill="d6e3bc"/>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9bbb59"/>
        <w:tcBorders>
          <w:top w:val="single" w:color="ffffff" w:sz="4" w:space="0"/>
          <w:left w:val="single" w:color="ffffff" w:sz="4" w:space="0"/>
          <w:bottom w:val="single" w:color="ffffff" w:sz="4" w:space="0"/>
        </w:tcBorders>
      </w:tcPr>
    </w:tblStylePr>
    <w:tblStylePr w:type="firstRow">
      <w:rPr>
        <w:b/>
        <w:bCs/>
      </w:rPr>
      <w:pPr>
        <w:pBdr/>
        <w:spacing/>
        <w:ind/>
      </w:pPr>
      <w:tblPr>
        <w:tblBorders/>
      </w:tblPr>
      <w:tcPr>
        <w:shd w:val="clear" w:color="auto" w:fill="9bbb59"/>
        <w:tcBorders>
          <w:top w:val="single" w:color="ffffff" w:sz="4" w:space="0"/>
          <w:left w:val="single" w:color="ffffff" w:sz="4" w:space="0"/>
          <w:right w:val="single" w:color="ffffff" w:sz="4" w:space="0"/>
        </w:tcBorders>
      </w:tcPr>
    </w:tblStylePr>
    <w:tblStylePr w:type="lastCol">
      <w:rPr>
        <w:b/>
        <w:bCs/>
      </w:rPr>
      <w:pPr>
        <w:pBdr/>
        <w:spacing/>
        <w:ind/>
      </w:pPr>
      <w:tblPr>
        <w:tblBorders/>
      </w:tblPr>
      <w:tcPr>
        <w:shd w:val="clear" w:color="auto" w:fill="9bbb59"/>
        <w:tcBorders>
          <w:top w:val="single" w:color="ffffff" w:sz="4" w:space="0"/>
          <w:bottom w:val="single" w:color="ffffff" w:sz="4" w:space="0"/>
          <w:right w:val="single" w:color="ffffff" w:sz="4" w:space="0"/>
        </w:tcBorders>
      </w:tcPr>
    </w:tblStylePr>
    <w:tblStylePr w:type="lastRow">
      <w:rPr>
        <w:b/>
        <w:bCs/>
      </w:rPr>
      <w:pPr>
        <w:pBdr/>
        <w:spacing/>
        <w:ind/>
      </w:pPr>
      <w:tblPr>
        <w:tblBorders/>
      </w:tblPr>
      <w:tcPr>
        <w:shd w:val="clear" w:color="auto" w:fill="9bbb59"/>
        <w:tcBorders>
          <w:left w:val="single" w:color="ffffff" w:sz="4" w:space="0"/>
          <w:bottom w:val="single" w:color="ffffff" w:sz="4" w:space="0"/>
          <w:right w:val="single" w:color="ffffff"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8" w:customStyle="1">
    <w:name w:val="Таблица-сетка 4 — акцент 31"/>
    <w:basedOn w:val="13513"/>
    <w:uiPriority w:val="49"/>
    <w:pPr>
      <w:pBdr/>
      <w:spacing w:after="0" w:line="240" w:lineRule="auto"/>
      <w:ind/>
    </w:pPr>
    <w:rPr>
      <w:sz w:val="20"/>
      <w:szCs w:val="20"/>
    </w:rPr>
    <w:tblPr>
      <w:tblStyleRowBandSize w:val="1"/>
      <w:tblStyleColBandSize w:val="1"/>
      <w:tblBorders>
        <w:top w:val="single" w:color="c2d69b" w:sz="4" w:space="0"/>
        <w:left w:val="single" w:color="c2d69b" w:sz="4" w:space="0"/>
        <w:bottom w:val="single" w:color="c2d69b" w:sz="4" w:space="0"/>
        <w:right w:val="single" w:color="c2d69b" w:sz="4" w:space="0"/>
        <w:insideH w:val="single" w:color="c2d69b" w:sz="4" w:space="0"/>
        <w:insideV w:val="single" w:color="c2d69b" w:sz="4" w:space="0"/>
      </w:tblBorders>
    </w:tblPr>
    <w:tcPr>
      <w:tcBorders/>
    </w:tcPr>
    <w:tblStylePr w:type="band1Horz">
      <w:pPr>
        <w:pBdr/>
        <w:spacing/>
        <w:ind/>
      </w:pPr>
      <w:tblPr>
        <w:tblBorders/>
      </w:tblPr>
      <w:tcPr>
        <w:shd w:val="clear" w:color="auto" w:fill="eaf1dd"/>
        <w:tcBorders/>
      </w:tcPr>
    </w:tblStylePr>
    <w:tblStylePr w:type="band1Vert">
      <w:pPr>
        <w:pBdr/>
        <w:spacing/>
        <w:ind/>
      </w:pPr>
      <w:tblPr>
        <w:tblBorders/>
      </w:tblPr>
      <w:tcPr>
        <w:shd w:val="clear" w:color="auto" w:fill="eaf1d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shd w:val="clear" w:color="auto" w:fill="9bbb59"/>
        <w:tcBorders>
          <w:top w:val="single" w:color="9bbb59" w:sz="4" w:space="0"/>
          <w:left w:val="single" w:color="9bbb59" w:sz="4" w:space="0"/>
          <w:bottom w:val="single" w:color="9bbb59" w:sz="4" w:space="0"/>
          <w:right w:val="single" w:color="9bbb59" w:sz="4" w:space="0"/>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9bbb59"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09" w:customStyle="1">
    <w:name w:val="Таблица-сетка 5 темная1"/>
    <w:basedOn w:val="13513"/>
    <w:uiPriority w:val="50"/>
    <w:pPr>
      <w:pBdr/>
      <w:spacing w:after="0" w:line="240" w:lineRule="auto"/>
      <w:ind/>
    </w:pPr>
    <w:rPr>
      <w:sz w:val="20"/>
      <w:szCs w:val="20"/>
    </w:rPr>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cccccc"/>
      <w:tcBorders/>
    </w:tcPr>
    <w:tblStylePr w:type="band1Horz">
      <w:pPr>
        <w:pBdr/>
        <w:spacing/>
        <w:ind/>
      </w:pPr>
      <w:tblPr>
        <w:tblBorders/>
      </w:tblPr>
      <w:tcPr>
        <w:shd w:val="clear" w:color="auto" w:fill="999999"/>
        <w:tcBorders/>
      </w:tcPr>
    </w:tblStylePr>
    <w:tblStylePr w:type="band1Vert">
      <w:pPr>
        <w:pBdr/>
        <w:spacing/>
        <w:ind/>
      </w:pPr>
      <w:tblPr>
        <w:tblBorders/>
      </w:tblPr>
      <w:tcPr>
        <w:shd w:val="clear" w:color="auto" w:fill="999999"/>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shd w:val="clear" w:color="auto" w:fill="000000"/>
        <w:tcBorders>
          <w:top w:val="single" w:color="ffffff" w:sz="4" w:space="0"/>
          <w:left w:val="single" w:color="ffffff" w:sz="4" w:space="0"/>
          <w:bottom w:val="single" w:color="ffffff" w:sz="4" w:space="0"/>
        </w:tcBorders>
      </w:tcPr>
    </w:tblStylePr>
    <w:tblStylePr w:type="firstRow">
      <w:rPr>
        <w:b/>
        <w:bCs/>
      </w:rPr>
      <w:pPr>
        <w:pBdr/>
        <w:spacing/>
        <w:ind/>
      </w:pPr>
      <w:tblPr>
        <w:tblBorders/>
      </w:tblPr>
      <w:tcPr>
        <w:shd w:val="clear" w:color="auto" w:fill="000000"/>
        <w:tcBorders>
          <w:top w:val="single" w:color="ffffff" w:sz="4" w:space="0"/>
          <w:left w:val="single" w:color="ffffff" w:sz="4" w:space="0"/>
          <w:right w:val="single" w:color="ffffff" w:sz="4" w:space="0"/>
        </w:tcBorders>
      </w:tcPr>
    </w:tblStylePr>
    <w:tblStylePr w:type="lastCol">
      <w:rPr>
        <w:b/>
        <w:bCs/>
      </w:rPr>
      <w:pPr>
        <w:pBdr/>
        <w:spacing/>
        <w:ind/>
      </w:pPr>
      <w:tblPr>
        <w:tblBorders/>
      </w:tblPr>
      <w:tcPr>
        <w:shd w:val="clear" w:color="auto" w:fill="000000"/>
        <w:tcBorders>
          <w:top w:val="single" w:color="ffffff" w:sz="4" w:space="0"/>
          <w:bottom w:val="single" w:color="ffffff" w:sz="4" w:space="0"/>
          <w:right w:val="single" w:color="ffffff" w:sz="4" w:space="0"/>
        </w:tcBorders>
      </w:tcPr>
    </w:tblStylePr>
    <w:tblStylePr w:type="lastRow">
      <w:rPr>
        <w:b/>
        <w:bCs/>
      </w:rPr>
      <w:pPr>
        <w:pBdr/>
        <w:spacing/>
        <w:ind/>
      </w:pPr>
      <w:tblPr>
        <w:tblBorders/>
      </w:tblPr>
      <w:tcPr>
        <w:shd w:val="clear" w:color="auto" w:fill="000000"/>
        <w:tcBorders>
          <w:left w:val="single" w:color="ffffff" w:sz="4" w:space="0"/>
          <w:bottom w:val="single" w:color="ffffff" w:sz="4" w:space="0"/>
          <w:right w:val="single" w:color="ffffff"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0" w:customStyle="1">
    <w:name w:val="3.1 Таблица"/>
    <w:basedOn w:val="13513"/>
    <w:uiPriority w:val="99"/>
    <w:pPr>
      <w:pBdr/>
      <w:spacing w:after="0" w:line="240" w:lineRule="auto"/>
      <w:ind/>
    </w:pPr>
    <w:rPr>
      <w:sz w:val="20"/>
      <w:szCs w:val="20"/>
    </w:rPr>
    <w:tblPr>
      <w:tblStyleRowBandSize w:val="1"/>
      <w:tblStyleColBandSize w:val="1"/>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Borders/>
    </w:tcPr>
    <w:tblStylePr w:type="band1Horz">
      <w:pPr>
        <w:pBdr/>
        <w:spacing/>
        <w:ind/>
      </w:pPr>
      <w:tblPr>
        <w:tblBorders/>
      </w:tblPr>
      <w:tcPr>
        <w:shd w:val="clear" w:color="auto" w:fill="cdddac"/>
        <w:tcBorders>
          <w:top w:val="single" w:color="ffffff" w:sz="8" w:space="0"/>
          <w:left w:val="single" w:color="ffffff" w:sz="8" w:space="0"/>
          <w:bottom w:val="single" w:color="ffffff" w:sz="8" w:space="0"/>
          <w:right w:val="single" w:color="ffffff" w:sz="8" w:space="0"/>
        </w:tcBorders>
      </w:tcPr>
    </w:tblStylePr>
    <w:tblStylePr w:type="band1Vert">
      <w:pPr>
        <w:pBdr/>
        <w:spacing/>
        <w:ind/>
      </w:pPr>
      <w:tblPr>
        <w:tblBorders/>
      </w:tblPr>
      <w:tcPr>
        <w:shd w:val="clear" w:color="auto" w:fill="cdddac"/>
        <w:tcBorders>
          <w:top w:val="single" w:color="ffffff" w:sz="8" w:space="0"/>
          <w:left w:val="single" w:color="ffffff" w:sz="8" w:space="0"/>
          <w:bottom w:val="single" w:color="ffffff" w:sz="8" w:space="0"/>
          <w:right w:val="single" w:color="ffffff"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rPr>
      <w:pPr>
        <w:pBdr/>
        <w:spacing/>
        <w:ind/>
      </w:pPr>
      <w:tblPr>
        <w:tblBorders/>
      </w:tblPr>
      <w:tcPr>
        <w:shd w:val="clear" w:color="auto" w:fill="9bbb59"/>
        <w:tcBorders>
          <w:left w:val="single" w:color="ffffff" w:sz="8" w:space="0"/>
          <w:right w:val="single" w:color="ffffff" w:sz="24" w:space="0"/>
        </w:tcBorders>
      </w:tcPr>
    </w:tblStylePr>
    <w:tblStylePr w:type="firstRow">
      <w:rPr>
        <w:b/>
        <w:bCs/>
        <w:i w:val="0"/>
      </w:rPr>
      <w:pPr>
        <w:pBdr/>
        <w:spacing/>
        <w:ind/>
      </w:pPr>
      <w:tblPr>
        <w:tblBorders/>
      </w:tblPr>
      <w:tcPr>
        <w:shd w:val="clear" w:color="auto" w:fill="9bbb59"/>
        <w:tcBorders>
          <w:top w:val="single" w:color="ffffff" w:sz="8" w:space="0"/>
          <w:left w:val="single" w:color="ffffff" w:sz="8" w:space="0"/>
          <w:bottom w:val="single" w:color="ffffff" w:sz="24" w:space="0"/>
          <w:right w:val="single" w:color="ffffff" w:sz="8" w:space="0"/>
        </w:tcBorders>
      </w:tcPr>
    </w:tblStylePr>
    <w:tblStylePr w:type="lastCol">
      <w:rPr>
        <w:b/>
        <w:bCs/>
        <w:i w:val="0"/>
      </w:rPr>
      <w:pPr>
        <w:pBdr/>
        <w:spacing/>
        <w:ind/>
      </w:pPr>
      <w:tblPr>
        <w:tblBorders/>
      </w:tblPr>
      <w:tcPr>
        <w:shd w:val="clear" w:color="auto" w:fill="9bbb59"/>
        <w:tcBorders>
          <w:top w:val="none" w:color="000000" w:sz="4" w:space="0"/>
          <w:left w:val="single" w:color="ffffff" w:sz="24" w:space="0"/>
          <w:bottom w:val="none" w:color="000000" w:sz="4" w:space="0"/>
          <w:right w:val="none" w:color="000000" w:sz="4" w:space="0"/>
        </w:tcBorders>
      </w:tcPr>
    </w:tblStylePr>
    <w:tblStylePr w:type="lastRow">
      <w:rPr>
        <w:b/>
        <w:bCs/>
        <w:i w:val="0"/>
      </w:rPr>
      <w:pPr>
        <w:pBdr/>
        <w:spacing/>
        <w:ind/>
      </w:pPr>
      <w:tblPr>
        <w:tblBorders/>
      </w:tblPr>
      <w:tcPr>
        <w:shd w:val="clear" w:color="auto" w:fill="9bbb59"/>
        <w:tcBorders>
          <w:top w:val="single" w:color="ffffff" w:sz="24" w:space="0"/>
          <w:left w:val="single" w:color="ffffff" w:sz="8" w:space="0"/>
          <w:bottom w:val="single" w:color="ffffff" w:sz="8" w:space="0"/>
          <w:right w:val="single" w:color="fffff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1" w:customStyle="1">
    <w:name w:val="Средняя сетка 3 - Акцент 31"/>
    <w:basedOn w:val="13513"/>
    <w:uiPriority w:val="69"/>
    <w:unhideWhenUsed/>
    <w:pPr>
      <w:pBdr/>
      <w:spacing w:after="0" w:line="240" w:lineRule="auto"/>
      <w:ind/>
    </w:pPr>
    <w:rPr>
      <w:sz w:val="20"/>
      <w:szCs w:val="20"/>
    </w:rPr>
    <w:tblPr>
      <w:tblStyleRowBandSize w:val="1"/>
      <w:tblStyleColBandSize w:val="1"/>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Borders/>
    </w:tcPr>
    <w:tblStylePr w:type="band1Horz">
      <w:pPr>
        <w:pBdr/>
        <w:spacing/>
        <w:ind/>
      </w:pPr>
      <w:tblPr>
        <w:tblBorders/>
      </w:tblPr>
      <w:tcPr>
        <w:shd w:val="clear" w:color="auto" w:fill="cdddac"/>
        <w:tcBorders>
          <w:top w:val="single" w:color="ffffff" w:sz="8" w:space="0"/>
          <w:left w:val="single" w:color="ffffff" w:sz="8" w:space="0"/>
          <w:bottom w:val="single" w:color="ffffff" w:sz="8" w:space="0"/>
          <w:right w:val="single" w:color="ffffff" w:sz="8" w:space="0"/>
        </w:tcBorders>
      </w:tcPr>
    </w:tblStylePr>
    <w:tblStylePr w:type="band1Vert">
      <w:pPr>
        <w:pBdr/>
        <w:spacing/>
        <w:ind/>
      </w:pPr>
      <w:tblPr>
        <w:tblBorders/>
      </w:tblPr>
      <w:tcPr>
        <w:shd w:val="clear" w:color="auto" w:fill="cdddac"/>
        <w:tcBorders>
          <w:top w:val="single" w:color="ffffff" w:sz="8" w:space="0"/>
          <w:left w:val="single" w:color="ffffff" w:sz="8" w:space="0"/>
          <w:bottom w:val="single" w:color="ffffff" w:sz="8" w:space="0"/>
          <w:right w:val="single" w:color="ffffff"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rPr>
      <w:pPr>
        <w:pBdr/>
        <w:spacing/>
        <w:ind/>
      </w:pPr>
      <w:tblPr>
        <w:tblBorders/>
      </w:tblPr>
      <w:tcPr>
        <w:shd w:val="clear" w:color="auto" w:fill="9bbb59"/>
        <w:tcBorders>
          <w:left w:val="single" w:color="ffffff" w:sz="8" w:space="0"/>
          <w:right w:val="single" w:color="ffffff" w:sz="24" w:space="0"/>
        </w:tcBorders>
      </w:tcPr>
    </w:tblStylePr>
    <w:tblStylePr w:type="firstRow">
      <w:rPr>
        <w:b/>
        <w:bCs/>
        <w:i w:val="0"/>
      </w:rPr>
      <w:pPr>
        <w:pBdr/>
        <w:spacing/>
        <w:ind/>
      </w:pPr>
      <w:tblPr>
        <w:tblBorders/>
      </w:tblPr>
      <w:tcPr>
        <w:shd w:val="clear" w:color="auto" w:fill="9bbb59"/>
        <w:tcBorders>
          <w:top w:val="single" w:color="ffffff" w:sz="8" w:space="0"/>
          <w:left w:val="single" w:color="ffffff" w:sz="8" w:space="0"/>
          <w:bottom w:val="single" w:color="ffffff" w:sz="24" w:space="0"/>
          <w:right w:val="single" w:color="ffffff" w:sz="8" w:space="0"/>
        </w:tcBorders>
      </w:tcPr>
    </w:tblStylePr>
    <w:tblStylePr w:type="lastCol">
      <w:rPr>
        <w:b/>
        <w:bCs/>
        <w:i w:val="0"/>
      </w:rPr>
      <w:pPr>
        <w:pBdr/>
        <w:spacing/>
        <w:ind/>
      </w:pPr>
      <w:tblPr>
        <w:tblBorders/>
      </w:tblPr>
      <w:tcPr>
        <w:shd w:val="clear" w:color="auto" w:fill="9bbb59"/>
        <w:tcBorders>
          <w:top w:val="none" w:color="000000" w:sz="4" w:space="0"/>
          <w:left w:val="single" w:color="ffffff" w:sz="24" w:space="0"/>
          <w:bottom w:val="none" w:color="000000" w:sz="4" w:space="0"/>
          <w:right w:val="none" w:color="000000" w:sz="4" w:space="0"/>
        </w:tcBorders>
      </w:tcPr>
    </w:tblStylePr>
    <w:tblStylePr w:type="lastRow">
      <w:rPr>
        <w:b/>
        <w:bCs/>
        <w:i w:val="0"/>
      </w:rPr>
      <w:pPr>
        <w:pBdr/>
        <w:spacing/>
        <w:ind/>
      </w:pPr>
      <w:tblPr>
        <w:tblBorders/>
      </w:tblPr>
      <w:tcPr>
        <w:shd w:val="clear" w:color="auto" w:fill="9bbb59"/>
        <w:tcBorders>
          <w:top w:val="single" w:color="ffffff" w:sz="24" w:space="0"/>
          <w:left w:val="single" w:color="ffffff" w:sz="8" w:space="0"/>
          <w:bottom w:val="single" w:color="ffffff" w:sz="8" w:space="0"/>
          <w:right w:val="single" w:color="fffff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2" w:customStyle="1">
    <w:name w:val="Сетка таблицы светлая1"/>
    <w:basedOn w:val="13513"/>
    <w:uiPriority w:val="40"/>
    <w:pPr>
      <w:pBdr/>
      <w:spacing w:after="0" w:line="240" w:lineRule="auto"/>
      <w:ind/>
    </w:pPr>
    <w:rPr>
      <w:sz w:val="20"/>
      <w:szCs w:val="20"/>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3" w:customStyle="1">
    <w:name w:val="Сетка таблицы12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4" w:customStyle="1">
    <w:name w:val="3.1 Таблица1"/>
    <w:basedOn w:val="13513"/>
    <w:uiPriority w:val="99"/>
    <w:pPr>
      <w:pBdr/>
      <w:spacing w:after="0" w:line="240" w:lineRule="auto"/>
      <w:ind/>
    </w:pPr>
    <w:rPr>
      <w:sz w:val="20"/>
      <w:szCs w:val="20"/>
    </w:rPr>
    <w:tblPr>
      <w:tblStyleRowBandSize w:val="1"/>
      <w:tblStyleColBandSize w:val="1"/>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Borders/>
      <w:vAlign w:val="center"/>
    </w:tcPr>
    <w:tblStylePr w:type="band1Horz">
      <w:rPr>
        <w:sz w:val="20"/>
      </w:rPr>
      <w:pPr>
        <w:pBdr/>
        <w:spacing/>
        <w:ind/>
        <w:jc w:val="center"/>
      </w:pPr>
      <w:tblPr>
        <w:tblBorders/>
      </w:tblPr>
      <w:tcPr>
        <w:shd w:val="clear" w:color="auto" w:fill="cdddac"/>
        <w:tcBorders>
          <w:top w:val="single" w:color="ffffff" w:sz="4" w:space="0"/>
          <w:left w:val="single" w:color="ffffff" w:sz="4" w:space="0"/>
          <w:bottom w:val="single" w:color="ffffff" w:sz="4" w:space="0"/>
          <w:right w:val="single" w:color="ffffff" w:sz="4" w:space="0"/>
        </w:tcBorders>
        <w:vAlign w:val="center"/>
      </w:tcPr>
    </w:tblStylePr>
    <w:tblStylePr w:type="band1Vert">
      <w:rPr>
        <w:sz w:val="20"/>
      </w:rPr>
      <w:pPr>
        <w:pBdr/>
        <w:spacing/>
        <w:ind/>
        <w:jc w:val="center"/>
      </w:pPr>
      <w:tblPr>
        <w:tblBorders/>
      </w:tblPr>
      <w:tcPr>
        <w:shd w:val="clear" w:color="auto" w:fill="cdddac"/>
        <w:tcBorders>
          <w:top w:val="single" w:color="ffffff" w:sz="4" w:space="0"/>
          <w:left w:val="single" w:color="ffffff" w:sz="4" w:space="0"/>
          <w:bottom w:val="single" w:color="ffffff" w:sz="4" w:space="0"/>
          <w:right w:val="single" w:color="ffffff" w:sz="4" w:space="0"/>
        </w:tcBorders>
        <w:vAlign w:val="center"/>
      </w:tcPr>
    </w:tblStylePr>
    <w:tblStylePr w:type="band2Horz">
      <w:rPr>
        <w:sz w:val="20"/>
      </w:rPr>
      <w:pPr>
        <w:pBdr/>
        <w:spacing/>
        <w:ind/>
        <w:jc w:val="center"/>
      </w:pPr>
      <w:tblPr>
        <w:tblBorders/>
      </w:tblPr>
      <w:tcPr>
        <w:tcBorders>
          <w:top w:val="single" w:color="ffffff" w:sz="4" w:space="0"/>
          <w:left w:val="single" w:color="ffffff" w:sz="4" w:space="0"/>
          <w:bottom w:val="single" w:color="ffffff" w:sz="4" w:space="0"/>
          <w:right w:val="single" w:color="ffffff" w:sz="4" w:space="0"/>
        </w:tcBorders>
        <w:vAlign w:val="center"/>
      </w:tcPr>
    </w:tblStylePr>
    <w:tblStylePr w:type="band2Vert">
      <w:rPr>
        <w:sz w:val="20"/>
      </w:rPr>
      <w:pPr>
        <w:pBdr/>
        <w:spacing/>
        <w:ind/>
        <w:jc w:val="center"/>
      </w:pPr>
      <w:tblPr>
        <w:tblBorders/>
      </w:tblPr>
      <w:tcPr>
        <w:tcBorders>
          <w:top w:val="single" w:color="ffffff" w:sz="4" w:space="0"/>
          <w:left w:val="single" w:color="ffffff" w:sz="4" w:space="0"/>
          <w:bottom w:val="single" w:color="ffffff" w:sz="4" w:space="0"/>
          <w:right w:val="single" w:color="ffffff" w:sz="4" w:space="0"/>
        </w:tcBorders>
        <w:vAlign w:val="center"/>
      </w:tcPr>
    </w:tblStylePr>
    <w:tblStylePr w:type="firstCol">
      <w:rPr>
        <w:b/>
        <w:bCs/>
        <w:i w:val="0"/>
        <w:sz w:val="20"/>
      </w:rPr>
      <w:pPr>
        <w:pBdr/>
        <w:spacing/>
        <w:ind/>
        <w:jc w:val="center"/>
      </w:pPr>
      <w:tblPr>
        <w:tblBorders/>
      </w:tblPr>
      <w:tcPr>
        <w:shd w:val="clear" w:color="auto" w:fill="9bbb59"/>
        <w:tcBorders>
          <w:top w:val="single" w:color="ffffff" w:sz="4" w:space="0"/>
          <w:left w:val="single" w:color="ffffff" w:sz="4" w:space="0"/>
          <w:bottom w:val="single" w:color="ffffff" w:sz="4" w:space="0"/>
          <w:right w:val="single" w:color="ffffff" w:sz="4" w:space="0"/>
        </w:tcBorders>
        <w:vAlign w:val="center"/>
      </w:tcPr>
    </w:tblStylePr>
    <w:tblStylePr w:type="firstRow">
      <w:rPr>
        <w:b/>
        <w:bCs/>
        <w:i w:val="0"/>
        <w:sz w:val="20"/>
      </w:rPr>
      <w:pPr>
        <w:pBdr/>
        <w:spacing/>
        <w:ind/>
        <w:jc w:val="center"/>
      </w:pPr>
      <w:tblPr>
        <w:tblBorders/>
      </w:tblPr>
      <w:tcPr>
        <w:shd w:val="clear" w:color="auto" w:fill="9bbb59"/>
        <w:tcBorders>
          <w:top w:val="single" w:color="ffffff" w:sz="4" w:space="0"/>
          <w:left w:val="single" w:color="ffffff" w:sz="4" w:space="0"/>
          <w:bottom w:val="single" w:color="ffffff" w:sz="4" w:space="0"/>
          <w:right w:val="single" w:color="ffffff" w:sz="4" w:space="0"/>
        </w:tcBorders>
        <w:vAlign w:val="center"/>
      </w:tcPr>
    </w:tblStylePr>
    <w:tblStylePr w:type="lastCol">
      <w:rPr>
        <w:b/>
        <w:bCs/>
        <w:i w:val="0"/>
        <w:sz w:val="20"/>
      </w:rPr>
      <w:pPr>
        <w:pBdr/>
        <w:spacing/>
        <w:ind/>
        <w:jc w:val="center"/>
      </w:pPr>
      <w:tblPr>
        <w:tblBorders/>
      </w:tblPr>
      <w:tcPr>
        <w:shd w:val="clear" w:color="auto" w:fill="9bbb59"/>
        <w:tcBorders>
          <w:top w:val="single" w:color="ffffff" w:sz="4" w:space="0"/>
          <w:left w:val="single" w:color="ffffff" w:sz="4" w:space="0"/>
          <w:bottom w:val="single" w:color="ffffff" w:sz="4" w:space="0"/>
          <w:right w:val="single" w:color="ffffff" w:sz="4" w:space="0"/>
        </w:tcBorders>
        <w:vAlign w:val="center"/>
      </w:tcPr>
    </w:tblStylePr>
    <w:tblStylePr w:type="lastRow">
      <w:rPr>
        <w:b/>
        <w:bCs/>
        <w:i w:val="0"/>
        <w:sz w:val="20"/>
      </w:rPr>
      <w:pPr>
        <w:pBdr/>
        <w:spacing/>
        <w:ind/>
      </w:pPr>
      <w:tblPr>
        <w:tblBorders/>
      </w:tblPr>
      <w:tcPr>
        <w:shd w:val="clear" w:color="auto" w:fill="9bbb59"/>
        <w:tcBorders>
          <w:top w:val="single" w:color="ffffff" w:sz="4" w:space="0"/>
          <w:left w:val="single" w:color="ffffff" w:sz="4" w:space="0"/>
          <w:bottom w:val="single" w:color="ffffff" w:sz="4" w:space="0"/>
          <w:right w:val="single" w:color="ffffff"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5" w:customStyle="1">
    <w:name w:val="Сетка таблицы713"/>
    <w:basedOn w:val="13513"/>
    <w:uiPriority w:val="3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6" w:customStyle="1">
    <w:name w:val="Сетка таблицы1310"/>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7" w:customStyle="1">
    <w:name w:val="Сетка таблицы1113"/>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618" w:customStyle="1">
    <w:name w:val="Сетка таблицы6111"/>
    <w:basedOn w:val="13513"/>
    <w:uiPriority w:val="59"/>
    <w:pPr>
      <w:pBdr/>
      <w:spacing w:after="0" w:line="240" w:lineRule="auto"/>
      <w:ind/>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header" Target="header4.xml" /><Relationship Id="rId13" Type="http://schemas.openxmlformats.org/officeDocument/2006/relationships/header" Target="header5.xml" /><Relationship Id="rId14" Type="http://schemas.openxmlformats.org/officeDocument/2006/relationships/header" Target="header6.xml" /><Relationship Id="rId15" Type="http://schemas.openxmlformats.org/officeDocument/2006/relationships/header" Target="header7.xml" /><Relationship Id="rId16" Type="http://schemas.openxmlformats.org/officeDocument/2006/relationships/header" Target="header8.xml" /><Relationship Id="rId17" Type="http://schemas.openxmlformats.org/officeDocument/2006/relationships/header" Target="header9.xml" /><Relationship Id="rId18" Type="http://schemas.openxmlformats.org/officeDocument/2006/relationships/header" Target="header10.xml" /><Relationship Id="rId19" Type="http://schemas.openxmlformats.org/officeDocument/2006/relationships/header" Target="header11.xml" /><Relationship Id="rId20" Type="http://schemas.openxmlformats.org/officeDocument/2006/relationships/header" Target="header12.xml" /><Relationship Id="rId21" Type="http://schemas.openxmlformats.org/officeDocument/2006/relationships/header" Target="header13.xml" /><Relationship Id="rId22" Type="http://schemas.openxmlformats.org/officeDocument/2006/relationships/header" Target="header14.xml" /><Relationship Id="rId23" Type="http://schemas.openxmlformats.org/officeDocument/2006/relationships/header" Target="header15.xml" /><Relationship Id="rId24" Type="http://schemas.openxmlformats.org/officeDocument/2006/relationships/header" Target="header16.xml" /><Relationship Id="rId25" Type="http://schemas.openxmlformats.org/officeDocument/2006/relationships/header" Target="header17.xml" /><Relationship Id="rId26" Type="http://schemas.openxmlformats.org/officeDocument/2006/relationships/header" Target="header18.xml" /><Relationship Id="rId27" Type="http://schemas.openxmlformats.org/officeDocument/2006/relationships/header" Target="header19.xml" /><Relationship Id="rId28" Type="http://schemas.openxmlformats.org/officeDocument/2006/relationships/header" Target="header20.xml" /><Relationship Id="rId29" Type="http://schemas.openxmlformats.org/officeDocument/2006/relationships/header" Target="header21.xml" /><Relationship Id="rId30" Type="http://schemas.openxmlformats.org/officeDocument/2006/relationships/header" Target="header22.xml" /><Relationship Id="rId31" Type="http://schemas.openxmlformats.org/officeDocument/2006/relationships/header" Target="header23.xml" /><Relationship Id="rId32" Type="http://schemas.openxmlformats.org/officeDocument/2006/relationships/header" Target="header24.xml" /><Relationship Id="rId33" Type="http://schemas.openxmlformats.org/officeDocument/2006/relationships/header" Target="header25.xml" /><Relationship Id="rId34" Type="http://schemas.openxmlformats.org/officeDocument/2006/relationships/header" Target="header26.xml" /><Relationship Id="rId35" Type="http://schemas.openxmlformats.org/officeDocument/2006/relationships/header" Target="header27.xml" /><Relationship Id="rId36" Type="http://schemas.openxmlformats.org/officeDocument/2006/relationships/header" Target="header28.xml" /><Relationship Id="rId37" Type="http://schemas.openxmlformats.org/officeDocument/2006/relationships/header" Target="header29.xml" /><Relationship Id="rId38" Type="http://schemas.openxmlformats.org/officeDocument/2006/relationships/header" Target="header30.xml" /><Relationship Id="rId39" Type="http://schemas.openxmlformats.org/officeDocument/2006/relationships/header" Target="header31.xml" /><Relationship Id="rId40" Type="http://schemas.openxmlformats.org/officeDocument/2006/relationships/header" Target="header32.xml" /><Relationship Id="rId41" Type="http://schemas.openxmlformats.org/officeDocument/2006/relationships/header" Target="header33.xml" /><Relationship Id="rId42" Type="http://schemas.openxmlformats.org/officeDocument/2006/relationships/header" Target="header34.xml" /><Relationship Id="rId43" Type="http://schemas.openxmlformats.org/officeDocument/2006/relationships/header" Target="header35.xml" /><Relationship Id="rId44" Type="http://schemas.openxmlformats.org/officeDocument/2006/relationships/header" Target="header36.xml" /><Relationship Id="rId45" Type="http://schemas.openxmlformats.org/officeDocument/2006/relationships/header" Target="header37.xml" /><Relationship Id="rId46" Type="http://schemas.openxmlformats.org/officeDocument/2006/relationships/header" Target="header38.xml" /><Relationship Id="rId47" Type="http://schemas.openxmlformats.org/officeDocument/2006/relationships/header" Target="header39.xml" /><Relationship Id="rId48" Type="http://schemas.openxmlformats.org/officeDocument/2006/relationships/header" Target="header40.xml" /><Relationship Id="rId49" Type="http://schemas.openxmlformats.org/officeDocument/2006/relationships/header" Target="header41.xml" /><Relationship Id="rId50" Type="http://schemas.openxmlformats.org/officeDocument/2006/relationships/header" Target="header42.xml" /><Relationship Id="rId51" Type="http://schemas.openxmlformats.org/officeDocument/2006/relationships/header" Target="header43.xml" /><Relationship Id="rId52" Type="http://schemas.openxmlformats.org/officeDocument/2006/relationships/header" Target="header44.xml" /><Relationship Id="rId53" Type="http://schemas.openxmlformats.org/officeDocument/2006/relationships/header" Target="header45.xml" /><Relationship Id="rId54" Type="http://schemas.openxmlformats.org/officeDocument/2006/relationships/header" Target="header46.xml" /><Relationship Id="rId55" Type="http://schemas.openxmlformats.org/officeDocument/2006/relationships/header" Target="header47.xml" /><Relationship Id="rId56" Type="http://schemas.openxmlformats.org/officeDocument/2006/relationships/header" Target="header48.xml" /><Relationship Id="rId57" Type="http://schemas.openxmlformats.org/officeDocument/2006/relationships/header" Target="header49.xml" /><Relationship Id="rId58" Type="http://schemas.openxmlformats.org/officeDocument/2006/relationships/header" Target="header50.xml" /><Relationship Id="rId59" Type="http://schemas.openxmlformats.org/officeDocument/2006/relationships/header" Target="header51.xml" /><Relationship Id="rId60" Type="http://schemas.openxmlformats.org/officeDocument/2006/relationships/header" Target="header52.xml" /><Relationship Id="rId61" Type="http://schemas.openxmlformats.org/officeDocument/2006/relationships/header" Target="header53.xml" /><Relationship Id="rId62" Type="http://schemas.openxmlformats.org/officeDocument/2006/relationships/header" Target="header54.xml" /><Relationship Id="rId63" Type="http://schemas.openxmlformats.org/officeDocument/2006/relationships/header" Target="header55.xml" /><Relationship Id="rId64" Type="http://schemas.openxmlformats.org/officeDocument/2006/relationships/header" Target="header56.xml" /><Relationship Id="rId65" Type="http://schemas.openxmlformats.org/officeDocument/2006/relationships/header" Target="header57.xml" /><Relationship Id="rId66" Type="http://schemas.openxmlformats.org/officeDocument/2006/relationships/header" Target="header58.xml" /><Relationship Id="rId67" Type="http://schemas.openxmlformats.org/officeDocument/2006/relationships/header" Target="header59.xml" /><Relationship Id="rId68" Type="http://schemas.openxmlformats.org/officeDocument/2006/relationships/header" Target="header60.xml" /><Relationship Id="rId69" Type="http://schemas.openxmlformats.org/officeDocument/2006/relationships/header" Target="header61.xml" /><Relationship Id="rId70" Type="http://schemas.openxmlformats.org/officeDocument/2006/relationships/header" Target="header62.xml" /><Relationship Id="rId71" Type="http://schemas.openxmlformats.org/officeDocument/2006/relationships/header" Target="header63.xml" /><Relationship Id="rId72" Type="http://schemas.openxmlformats.org/officeDocument/2006/relationships/header" Target="header64.xml" /><Relationship Id="rId73" Type="http://schemas.openxmlformats.org/officeDocument/2006/relationships/header" Target="header65.xml" /><Relationship Id="rId74" Type="http://schemas.openxmlformats.org/officeDocument/2006/relationships/header" Target="header66.xml" /><Relationship Id="rId75" Type="http://schemas.openxmlformats.org/officeDocument/2006/relationships/header" Target="header67.xml" /><Relationship Id="rId76" Type="http://schemas.openxmlformats.org/officeDocument/2006/relationships/header" Target="header68.xml" /><Relationship Id="rId77" Type="http://schemas.openxmlformats.org/officeDocument/2006/relationships/header" Target="header69.xml" /><Relationship Id="rId78" Type="http://schemas.openxmlformats.org/officeDocument/2006/relationships/header" Target="header70.xml" /><Relationship Id="rId79" Type="http://schemas.openxmlformats.org/officeDocument/2006/relationships/header" Target="header71.xml" /><Relationship Id="rId80" Type="http://schemas.openxmlformats.org/officeDocument/2006/relationships/header" Target="header72.xml" /><Relationship Id="rId81" Type="http://schemas.openxmlformats.org/officeDocument/2006/relationships/header" Target="header73.xml" /><Relationship Id="rId82" Type="http://schemas.openxmlformats.org/officeDocument/2006/relationships/header" Target="header74.xml" /><Relationship Id="rId83" Type="http://schemas.openxmlformats.org/officeDocument/2006/relationships/header" Target="header75.xml" /><Relationship Id="rId84" Type="http://schemas.openxmlformats.org/officeDocument/2006/relationships/header" Target="header76.xml" /><Relationship Id="rId85" Type="http://schemas.openxmlformats.org/officeDocument/2006/relationships/header" Target="header77.xml" /><Relationship Id="rId86" Type="http://schemas.openxmlformats.org/officeDocument/2006/relationships/header" Target="header78.xml" /><Relationship Id="rId87" Type="http://schemas.openxmlformats.org/officeDocument/2006/relationships/header" Target="header79.xml" /><Relationship Id="rId88" Type="http://schemas.openxmlformats.org/officeDocument/2006/relationships/header" Target="header80.xml" /><Relationship Id="rId89" Type="http://schemas.openxmlformats.org/officeDocument/2006/relationships/header" Target="header81.xml" /><Relationship Id="rId90" Type="http://schemas.openxmlformats.org/officeDocument/2006/relationships/header" Target="header82.xml" /><Relationship Id="rId91" Type="http://schemas.openxmlformats.org/officeDocument/2006/relationships/header" Target="header83.xml" /><Relationship Id="rId92" Type="http://schemas.openxmlformats.org/officeDocument/2006/relationships/header" Target="header84.xml" /><Relationship Id="rId93" Type="http://schemas.openxmlformats.org/officeDocument/2006/relationships/header" Target="header85.xml" /><Relationship Id="rId94" Type="http://schemas.openxmlformats.org/officeDocument/2006/relationships/header" Target="header86.xml" /><Relationship Id="rId95" Type="http://schemas.openxmlformats.org/officeDocument/2006/relationships/header" Target="header87.xml" /><Relationship Id="rId96" Type="http://schemas.openxmlformats.org/officeDocument/2006/relationships/header" Target="header88.xml" /><Relationship Id="rId97" Type="http://schemas.openxmlformats.org/officeDocument/2006/relationships/header" Target="header89.xml" /><Relationship Id="rId98" Type="http://schemas.openxmlformats.org/officeDocument/2006/relationships/header" Target="header90.xml" /><Relationship Id="rId99" Type="http://schemas.openxmlformats.org/officeDocument/2006/relationships/header" Target="header91.xml" /><Relationship Id="rId100" Type="http://schemas.openxmlformats.org/officeDocument/2006/relationships/header" Target="header92.xml" /><Relationship Id="rId101" Type="http://schemas.openxmlformats.org/officeDocument/2006/relationships/header" Target="header93.xml" /><Relationship Id="rId102" Type="http://schemas.openxmlformats.org/officeDocument/2006/relationships/header" Target="header94.xml" /><Relationship Id="rId103" Type="http://schemas.openxmlformats.org/officeDocument/2006/relationships/header" Target="header95.xml" /><Relationship Id="rId104" Type="http://schemas.openxmlformats.org/officeDocument/2006/relationships/header" Target="header96.xml" /><Relationship Id="rId105" Type="http://schemas.openxmlformats.org/officeDocument/2006/relationships/header" Target="header97.xml" /><Relationship Id="rId106" Type="http://schemas.openxmlformats.org/officeDocument/2006/relationships/header" Target="header98.xml" /><Relationship Id="rId107" Type="http://schemas.openxmlformats.org/officeDocument/2006/relationships/header" Target="header99.xml" /><Relationship Id="rId108" Type="http://schemas.openxmlformats.org/officeDocument/2006/relationships/header" Target="header100.xml" /><Relationship Id="rId109" Type="http://schemas.openxmlformats.org/officeDocument/2006/relationships/header" Target="header101.xml" /><Relationship Id="rId110" Type="http://schemas.openxmlformats.org/officeDocument/2006/relationships/header" Target="header102.xml" /><Relationship Id="rId111" Type="http://schemas.openxmlformats.org/officeDocument/2006/relationships/header" Target="header103.xml" /><Relationship Id="rId112" Type="http://schemas.openxmlformats.org/officeDocument/2006/relationships/header" Target="header104.xml" /><Relationship Id="rId113" Type="http://schemas.openxmlformats.org/officeDocument/2006/relationships/header" Target="header105.xml" /><Relationship Id="rId114" Type="http://schemas.openxmlformats.org/officeDocument/2006/relationships/header" Target="header106.xml" /><Relationship Id="rId115" Type="http://schemas.openxmlformats.org/officeDocument/2006/relationships/header" Target="header107.xml" /><Relationship Id="rId116" Type="http://schemas.openxmlformats.org/officeDocument/2006/relationships/header" Target="header108.xml" /><Relationship Id="rId117" Type="http://schemas.openxmlformats.org/officeDocument/2006/relationships/header" Target="header109.xml" /><Relationship Id="rId118" Type="http://schemas.openxmlformats.org/officeDocument/2006/relationships/header" Target="header110.xml" /><Relationship Id="rId119" Type="http://schemas.openxmlformats.org/officeDocument/2006/relationships/header" Target="header111.xml" /><Relationship Id="rId120" Type="http://schemas.openxmlformats.org/officeDocument/2006/relationships/header" Target="header112.xml" /><Relationship Id="rId121" Type="http://schemas.openxmlformats.org/officeDocument/2006/relationships/header" Target="header113.xml" /><Relationship Id="rId122" Type="http://schemas.openxmlformats.org/officeDocument/2006/relationships/header" Target="header114.xml" /><Relationship Id="rId123" Type="http://schemas.openxmlformats.org/officeDocument/2006/relationships/header" Target="header115.xml" /><Relationship Id="rId124" Type="http://schemas.openxmlformats.org/officeDocument/2006/relationships/header" Target="header116.xml" /><Relationship Id="rId125" Type="http://schemas.openxmlformats.org/officeDocument/2006/relationships/header" Target="header117.xml" /><Relationship Id="rId126" Type="http://schemas.openxmlformats.org/officeDocument/2006/relationships/header" Target="header118.xml" /><Relationship Id="rId127" Type="http://schemas.openxmlformats.org/officeDocument/2006/relationships/header" Target="header119.xml" /><Relationship Id="rId128" Type="http://schemas.openxmlformats.org/officeDocument/2006/relationships/header" Target="header120.xml" /><Relationship Id="rId129" Type="http://schemas.openxmlformats.org/officeDocument/2006/relationships/header" Target="header121.xml" /><Relationship Id="rId130" Type="http://schemas.openxmlformats.org/officeDocument/2006/relationships/header" Target="header122.xml" /><Relationship Id="rId131" Type="http://schemas.openxmlformats.org/officeDocument/2006/relationships/header" Target="header123.xml" /><Relationship Id="rId132" Type="http://schemas.openxmlformats.org/officeDocument/2006/relationships/header" Target="header124.xml" /><Relationship Id="rId133" Type="http://schemas.openxmlformats.org/officeDocument/2006/relationships/header" Target="header125.xml" /><Relationship Id="rId134" Type="http://schemas.openxmlformats.org/officeDocument/2006/relationships/header" Target="header126.xml" /><Relationship Id="rId135" Type="http://schemas.openxmlformats.org/officeDocument/2006/relationships/header" Target="header127.xml" /><Relationship Id="rId136" Type="http://schemas.openxmlformats.org/officeDocument/2006/relationships/header" Target="header128.xml" /><Relationship Id="rId137" Type="http://schemas.openxmlformats.org/officeDocument/2006/relationships/header" Target="header129.xml" /><Relationship Id="rId138" Type="http://schemas.openxmlformats.org/officeDocument/2006/relationships/header" Target="header130.xml" /><Relationship Id="rId139" Type="http://schemas.openxmlformats.org/officeDocument/2006/relationships/header" Target="header131.xml" /><Relationship Id="rId140" Type="http://schemas.openxmlformats.org/officeDocument/2006/relationships/header" Target="header132.xml" /><Relationship Id="rId141" Type="http://schemas.openxmlformats.org/officeDocument/2006/relationships/header" Target="header133.xml" /><Relationship Id="rId142" Type="http://schemas.openxmlformats.org/officeDocument/2006/relationships/header" Target="header134.xml" /><Relationship Id="rId143" Type="http://schemas.openxmlformats.org/officeDocument/2006/relationships/header" Target="header135.xml" /><Relationship Id="rId144" Type="http://schemas.openxmlformats.org/officeDocument/2006/relationships/header" Target="header136.xml" /><Relationship Id="rId145" Type="http://schemas.openxmlformats.org/officeDocument/2006/relationships/header" Target="header137.xml" /><Relationship Id="rId146" Type="http://schemas.openxmlformats.org/officeDocument/2006/relationships/header" Target="header138.xml" /><Relationship Id="rId147" Type="http://schemas.openxmlformats.org/officeDocument/2006/relationships/header" Target="header139.xml" /><Relationship Id="rId148" Type="http://schemas.openxmlformats.org/officeDocument/2006/relationships/header" Target="header140.xml" /><Relationship Id="rId149" Type="http://schemas.openxmlformats.org/officeDocument/2006/relationships/header" Target="header141.xml" /><Relationship Id="rId150" Type="http://schemas.openxmlformats.org/officeDocument/2006/relationships/header" Target="header142.xml" /><Relationship Id="rId151" Type="http://schemas.openxmlformats.org/officeDocument/2006/relationships/header" Target="header143.xml" /><Relationship Id="rId152" Type="http://schemas.openxmlformats.org/officeDocument/2006/relationships/header" Target="header144.xml" /><Relationship Id="rId153" Type="http://schemas.openxmlformats.org/officeDocument/2006/relationships/header" Target="header145.xml" /><Relationship Id="rId154" Type="http://schemas.openxmlformats.org/officeDocument/2006/relationships/header" Target="header146.xml" /><Relationship Id="rId155" Type="http://schemas.openxmlformats.org/officeDocument/2006/relationships/header" Target="header147.xml" /><Relationship Id="rId156" Type="http://schemas.openxmlformats.org/officeDocument/2006/relationships/header" Target="header148.xml" /><Relationship Id="rId157" Type="http://schemas.openxmlformats.org/officeDocument/2006/relationships/header" Target="header149.xml" /><Relationship Id="rId158" Type="http://schemas.openxmlformats.org/officeDocument/2006/relationships/header" Target="header150.xml" /><Relationship Id="rId159" Type="http://schemas.openxmlformats.org/officeDocument/2006/relationships/header" Target="header151.xml" /><Relationship Id="rId160" Type="http://schemas.openxmlformats.org/officeDocument/2006/relationships/header" Target="header152.xml" /><Relationship Id="rId161" Type="http://schemas.openxmlformats.org/officeDocument/2006/relationships/header" Target="header153.xml" /><Relationship Id="rId162" Type="http://schemas.openxmlformats.org/officeDocument/2006/relationships/header" Target="header154.xml" /><Relationship Id="rId163" Type="http://schemas.openxmlformats.org/officeDocument/2006/relationships/header" Target="header155.xml" /><Relationship Id="rId164" Type="http://schemas.openxmlformats.org/officeDocument/2006/relationships/header" Target="header156.xml" /><Relationship Id="rId165" Type="http://schemas.openxmlformats.org/officeDocument/2006/relationships/header" Target="header157.xml" /><Relationship Id="rId166" Type="http://schemas.openxmlformats.org/officeDocument/2006/relationships/header" Target="header158.xml" /><Relationship Id="rId167" Type="http://schemas.openxmlformats.org/officeDocument/2006/relationships/header" Target="header159.xml" /><Relationship Id="rId168" Type="http://schemas.openxmlformats.org/officeDocument/2006/relationships/header" Target="header160.xml" /><Relationship Id="rId169" Type="http://schemas.openxmlformats.org/officeDocument/2006/relationships/header" Target="header161.xml" /><Relationship Id="rId170" Type="http://schemas.openxmlformats.org/officeDocument/2006/relationships/header" Target="header162.xml" /><Relationship Id="rId171" Type="http://schemas.openxmlformats.org/officeDocument/2006/relationships/header" Target="header163.xml" /><Relationship Id="rId172" Type="http://schemas.openxmlformats.org/officeDocument/2006/relationships/header" Target="header164.xml" /><Relationship Id="rId173" Type="http://schemas.openxmlformats.org/officeDocument/2006/relationships/header" Target="header165.xml" /><Relationship Id="rId174" Type="http://schemas.openxmlformats.org/officeDocument/2006/relationships/header" Target="header166.xml" /><Relationship Id="rId175" Type="http://schemas.openxmlformats.org/officeDocument/2006/relationships/header" Target="header167.xml" /><Relationship Id="rId176" Type="http://schemas.openxmlformats.org/officeDocument/2006/relationships/header" Target="header168.xml" /><Relationship Id="rId177" Type="http://schemas.openxmlformats.org/officeDocument/2006/relationships/header" Target="header169.xml" /><Relationship Id="rId178" Type="http://schemas.openxmlformats.org/officeDocument/2006/relationships/header" Target="header170.xml" /><Relationship Id="rId179" Type="http://schemas.openxmlformats.org/officeDocument/2006/relationships/header" Target="header171.xml" /><Relationship Id="rId180" Type="http://schemas.openxmlformats.org/officeDocument/2006/relationships/header" Target="header172.xml" /><Relationship Id="rId181" Type="http://schemas.openxmlformats.org/officeDocument/2006/relationships/header" Target="header173.xml" /><Relationship Id="rId182" Type="http://schemas.openxmlformats.org/officeDocument/2006/relationships/header" Target="header174.xml" /><Relationship Id="rId183" Type="http://schemas.openxmlformats.org/officeDocument/2006/relationships/header" Target="header175.xml" /><Relationship Id="rId184" Type="http://schemas.openxmlformats.org/officeDocument/2006/relationships/header" Target="header176.xml" /><Relationship Id="rId185" Type="http://schemas.openxmlformats.org/officeDocument/2006/relationships/header" Target="header177.xml" /><Relationship Id="rId186" Type="http://schemas.openxmlformats.org/officeDocument/2006/relationships/header" Target="header178.xml" /><Relationship Id="rId187" Type="http://schemas.openxmlformats.org/officeDocument/2006/relationships/header" Target="header179.xml" /><Relationship Id="rId188" Type="http://schemas.openxmlformats.org/officeDocument/2006/relationships/header" Target="header180.xml" /><Relationship Id="rId189" Type="http://schemas.openxmlformats.org/officeDocument/2006/relationships/header" Target="header181.xml" /><Relationship Id="rId190" Type="http://schemas.openxmlformats.org/officeDocument/2006/relationships/header" Target="header182.xml" /><Relationship Id="rId191" Type="http://schemas.openxmlformats.org/officeDocument/2006/relationships/header" Target="header183.xml" /><Relationship Id="rId192" Type="http://schemas.openxmlformats.org/officeDocument/2006/relationships/header" Target="header184.xml" /><Relationship Id="rId193" Type="http://schemas.openxmlformats.org/officeDocument/2006/relationships/header" Target="header185.xml" /><Relationship Id="rId194" Type="http://schemas.openxmlformats.org/officeDocument/2006/relationships/header" Target="header186.xml" /><Relationship Id="rId195" Type="http://schemas.openxmlformats.org/officeDocument/2006/relationships/header" Target="header187.xml" /><Relationship Id="rId196" Type="http://schemas.openxmlformats.org/officeDocument/2006/relationships/header" Target="header188.xml" /><Relationship Id="rId197" Type="http://schemas.openxmlformats.org/officeDocument/2006/relationships/header" Target="header189.xml" /><Relationship Id="rId198" Type="http://schemas.openxmlformats.org/officeDocument/2006/relationships/header" Target="header190.xml" /><Relationship Id="rId199" Type="http://schemas.openxmlformats.org/officeDocument/2006/relationships/header" Target="header191.xml" /><Relationship Id="rId200" Type="http://schemas.openxmlformats.org/officeDocument/2006/relationships/header" Target="header192.xml" /><Relationship Id="rId201" Type="http://schemas.openxmlformats.org/officeDocument/2006/relationships/header" Target="header193.xml" /><Relationship Id="rId202" Type="http://schemas.openxmlformats.org/officeDocument/2006/relationships/header" Target="header194.xml" /><Relationship Id="rId203" Type="http://schemas.openxmlformats.org/officeDocument/2006/relationships/header" Target="header195.xml" /><Relationship Id="rId204" Type="http://schemas.openxmlformats.org/officeDocument/2006/relationships/header" Target="header196.xml" /><Relationship Id="rId205" Type="http://schemas.openxmlformats.org/officeDocument/2006/relationships/header" Target="header197.xml" /><Relationship Id="rId206" Type="http://schemas.openxmlformats.org/officeDocument/2006/relationships/header" Target="header198.xml" /><Relationship Id="rId207" Type="http://schemas.openxmlformats.org/officeDocument/2006/relationships/header" Target="header199.xml" /><Relationship Id="rId208" Type="http://schemas.openxmlformats.org/officeDocument/2006/relationships/header" Target="header200.xml" /><Relationship Id="rId209" Type="http://schemas.openxmlformats.org/officeDocument/2006/relationships/header" Target="header201.xml" /><Relationship Id="rId210" Type="http://schemas.openxmlformats.org/officeDocument/2006/relationships/header" Target="header202.xml" /><Relationship Id="rId211" Type="http://schemas.openxmlformats.org/officeDocument/2006/relationships/header" Target="header203.xml" /><Relationship Id="rId212" Type="http://schemas.openxmlformats.org/officeDocument/2006/relationships/header" Target="header204.xml" /><Relationship Id="rId213" Type="http://schemas.openxmlformats.org/officeDocument/2006/relationships/header" Target="header205.xml" /><Relationship Id="rId214" Type="http://schemas.openxmlformats.org/officeDocument/2006/relationships/header" Target="header206.xml" /><Relationship Id="rId215" Type="http://schemas.openxmlformats.org/officeDocument/2006/relationships/header" Target="header207.xml" /><Relationship Id="rId216" Type="http://schemas.openxmlformats.org/officeDocument/2006/relationships/header" Target="header208.xml" /><Relationship Id="rId217" Type="http://schemas.openxmlformats.org/officeDocument/2006/relationships/header" Target="header209.xml" /><Relationship Id="rId218" Type="http://schemas.openxmlformats.org/officeDocument/2006/relationships/header" Target="header210.xml" /><Relationship Id="rId219" Type="http://schemas.openxmlformats.org/officeDocument/2006/relationships/header" Target="header211.xml" /><Relationship Id="rId220" Type="http://schemas.openxmlformats.org/officeDocument/2006/relationships/header" Target="header212.xml" /><Relationship Id="rId221" Type="http://schemas.openxmlformats.org/officeDocument/2006/relationships/header" Target="header213.xml" /><Relationship Id="rId222" Type="http://schemas.openxmlformats.org/officeDocument/2006/relationships/header" Target="header214.xml" /><Relationship Id="rId223" Type="http://schemas.openxmlformats.org/officeDocument/2006/relationships/header" Target="header215.xml" /><Relationship Id="rId224" Type="http://schemas.openxmlformats.org/officeDocument/2006/relationships/header" Target="header216.xml" /><Relationship Id="rId225" Type="http://schemas.openxmlformats.org/officeDocument/2006/relationships/header" Target="header217.xml" /><Relationship Id="rId226" Type="http://schemas.openxmlformats.org/officeDocument/2006/relationships/header" Target="header218.xml" /><Relationship Id="rId227" Type="http://schemas.openxmlformats.org/officeDocument/2006/relationships/header" Target="header219.xml" /><Relationship Id="rId228" Type="http://schemas.openxmlformats.org/officeDocument/2006/relationships/header" Target="header220.xml" /><Relationship Id="rId229" Type="http://schemas.openxmlformats.org/officeDocument/2006/relationships/header" Target="header221.xml" /><Relationship Id="rId230" Type="http://schemas.openxmlformats.org/officeDocument/2006/relationships/header" Target="header222.xml" /><Relationship Id="rId231" Type="http://schemas.openxmlformats.org/officeDocument/2006/relationships/header" Target="header223.xml" /><Relationship Id="rId232" Type="http://schemas.openxmlformats.org/officeDocument/2006/relationships/header" Target="header224.xml" /><Relationship Id="rId233" Type="http://schemas.openxmlformats.org/officeDocument/2006/relationships/header" Target="header225.xml" /><Relationship Id="rId234" Type="http://schemas.openxmlformats.org/officeDocument/2006/relationships/header" Target="header226.xml" /><Relationship Id="rId235" Type="http://schemas.openxmlformats.org/officeDocument/2006/relationships/header" Target="header227.xml" /><Relationship Id="rId236" Type="http://schemas.openxmlformats.org/officeDocument/2006/relationships/header" Target="header228.xml" /><Relationship Id="rId237" Type="http://schemas.openxmlformats.org/officeDocument/2006/relationships/header" Target="header229.xml" /><Relationship Id="rId238" Type="http://schemas.openxmlformats.org/officeDocument/2006/relationships/header" Target="header230.xml" /><Relationship Id="rId239" Type="http://schemas.openxmlformats.org/officeDocument/2006/relationships/header" Target="header231.xml" /><Relationship Id="rId240" Type="http://schemas.openxmlformats.org/officeDocument/2006/relationships/header" Target="header232.xml" /><Relationship Id="rId241" Type="http://schemas.openxmlformats.org/officeDocument/2006/relationships/header" Target="header233.xml" /><Relationship Id="rId242" Type="http://schemas.openxmlformats.org/officeDocument/2006/relationships/header" Target="header234.xml" /><Relationship Id="rId243" Type="http://schemas.openxmlformats.org/officeDocument/2006/relationships/header" Target="header235.xml" /><Relationship Id="rId244" Type="http://schemas.openxmlformats.org/officeDocument/2006/relationships/header" Target="header236.xml" /><Relationship Id="rId245" Type="http://schemas.openxmlformats.org/officeDocument/2006/relationships/header" Target="header237.xml" /><Relationship Id="rId246" Type="http://schemas.openxmlformats.org/officeDocument/2006/relationships/header" Target="header238.xml" /><Relationship Id="rId247" Type="http://schemas.openxmlformats.org/officeDocument/2006/relationships/header" Target="header239.xml" /><Relationship Id="rId248" Type="http://schemas.openxmlformats.org/officeDocument/2006/relationships/header" Target="header240.xml" /><Relationship Id="rId249" Type="http://schemas.openxmlformats.org/officeDocument/2006/relationships/header" Target="header241.xml" /><Relationship Id="rId250" Type="http://schemas.openxmlformats.org/officeDocument/2006/relationships/header" Target="header242.xml" /><Relationship Id="rId251" Type="http://schemas.openxmlformats.org/officeDocument/2006/relationships/header" Target="header243.xml" /><Relationship Id="rId252" Type="http://schemas.openxmlformats.org/officeDocument/2006/relationships/header" Target="header244.xml" /><Relationship Id="rId253" Type="http://schemas.openxmlformats.org/officeDocument/2006/relationships/header" Target="header245.xml" /><Relationship Id="rId254" Type="http://schemas.openxmlformats.org/officeDocument/2006/relationships/header" Target="header246.xml" /><Relationship Id="rId255" Type="http://schemas.openxmlformats.org/officeDocument/2006/relationships/header" Target="header247.xml" /><Relationship Id="rId256" Type="http://schemas.openxmlformats.org/officeDocument/2006/relationships/header" Target="header248.xml" /><Relationship Id="rId257" Type="http://schemas.openxmlformats.org/officeDocument/2006/relationships/header" Target="header249.xml" /><Relationship Id="rId258" Type="http://schemas.openxmlformats.org/officeDocument/2006/relationships/header" Target="header250.xml" /><Relationship Id="rId259" Type="http://schemas.openxmlformats.org/officeDocument/2006/relationships/header" Target="header251.xml" /><Relationship Id="rId260" Type="http://schemas.openxmlformats.org/officeDocument/2006/relationships/header" Target="header252.xml" /><Relationship Id="rId261" Type="http://schemas.openxmlformats.org/officeDocument/2006/relationships/header" Target="header253.xml" /><Relationship Id="rId262" Type="http://schemas.openxmlformats.org/officeDocument/2006/relationships/header" Target="header254.xml" /><Relationship Id="rId263" Type="http://schemas.openxmlformats.org/officeDocument/2006/relationships/header" Target="header255.xml" /><Relationship Id="rId264" Type="http://schemas.openxmlformats.org/officeDocument/2006/relationships/header" Target="header256.xml" /><Relationship Id="rId265" Type="http://schemas.openxmlformats.org/officeDocument/2006/relationships/header" Target="header257.xml" /><Relationship Id="rId266" Type="http://schemas.openxmlformats.org/officeDocument/2006/relationships/header" Target="header258.xml" /><Relationship Id="rId267" Type="http://schemas.openxmlformats.org/officeDocument/2006/relationships/header" Target="header259.xml" /><Relationship Id="rId268" Type="http://schemas.openxmlformats.org/officeDocument/2006/relationships/header" Target="header260.xml" /><Relationship Id="rId269" Type="http://schemas.openxmlformats.org/officeDocument/2006/relationships/header" Target="header261.xml" /><Relationship Id="rId270" Type="http://schemas.openxmlformats.org/officeDocument/2006/relationships/header" Target="header262.xml" /><Relationship Id="rId271" Type="http://schemas.openxmlformats.org/officeDocument/2006/relationships/header" Target="header263.xml" /><Relationship Id="rId272" Type="http://schemas.openxmlformats.org/officeDocument/2006/relationships/header" Target="header264.xml" /><Relationship Id="rId273" Type="http://schemas.openxmlformats.org/officeDocument/2006/relationships/header" Target="header265.xml" /><Relationship Id="rId274" Type="http://schemas.openxmlformats.org/officeDocument/2006/relationships/footer" Target="footer1.xml" /><Relationship Id="rId275" Type="http://schemas.openxmlformats.org/officeDocument/2006/relationships/footer" Target="footer2.xml" /><Relationship Id="rId276" Type="http://schemas.openxmlformats.org/officeDocument/2006/relationships/footer" Target="footer3.xml" /><Relationship Id="rId277" Type="http://schemas.openxmlformats.org/officeDocument/2006/relationships/footer" Target="footer4.xml" /><Relationship Id="rId278" Type="http://schemas.openxmlformats.org/officeDocument/2006/relationships/footer" Target="footer5.xml" /><Relationship Id="rId279" Type="http://schemas.openxmlformats.org/officeDocument/2006/relationships/footer" Target="footer6.xml" /><Relationship Id="rId280" Type="http://schemas.openxmlformats.org/officeDocument/2006/relationships/footer" Target="footer7.xml" /><Relationship Id="rId281" Type="http://schemas.openxmlformats.org/officeDocument/2006/relationships/footer" Target="footer8.xml" /><Relationship Id="rId282" Type="http://schemas.openxmlformats.org/officeDocument/2006/relationships/footer" Target="footer9.xml" /><Relationship Id="rId283" Type="http://schemas.openxmlformats.org/officeDocument/2006/relationships/footer" Target="footer10.xml" /><Relationship Id="rId284" Type="http://schemas.openxmlformats.org/officeDocument/2006/relationships/footer" Target="footer11.xml" /><Relationship Id="rId285" Type="http://schemas.openxmlformats.org/officeDocument/2006/relationships/footer" Target="footer12.xml" /><Relationship Id="rId286" Type="http://schemas.openxmlformats.org/officeDocument/2006/relationships/footer" Target="footer13.xml" /><Relationship Id="rId287" Type="http://schemas.openxmlformats.org/officeDocument/2006/relationships/footer" Target="footer14.xml" /><Relationship Id="rId288" Type="http://schemas.openxmlformats.org/officeDocument/2006/relationships/footer" Target="footer15.xml" /><Relationship Id="rId289" Type="http://schemas.openxmlformats.org/officeDocument/2006/relationships/footer" Target="footer16.xml" /><Relationship Id="rId290" Type="http://schemas.openxmlformats.org/officeDocument/2006/relationships/footer" Target="footer17.xml" /><Relationship Id="rId291" Type="http://schemas.openxmlformats.org/officeDocument/2006/relationships/footer" Target="footer18.xml" /><Relationship Id="rId292" Type="http://schemas.openxmlformats.org/officeDocument/2006/relationships/footer" Target="footer19.xml" /><Relationship Id="rId293" Type="http://schemas.openxmlformats.org/officeDocument/2006/relationships/footer" Target="footer20.xml" /><Relationship Id="rId294" Type="http://schemas.openxmlformats.org/officeDocument/2006/relationships/footer" Target="footer21.xml" /><Relationship Id="rId295" Type="http://schemas.openxmlformats.org/officeDocument/2006/relationships/footer" Target="footer22.xml" /><Relationship Id="rId296" Type="http://schemas.openxmlformats.org/officeDocument/2006/relationships/footer" Target="footer23.xml" /><Relationship Id="rId297" Type="http://schemas.openxmlformats.org/officeDocument/2006/relationships/footer" Target="footer24.xml" /><Relationship Id="rId298" Type="http://schemas.openxmlformats.org/officeDocument/2006/relationships/footer" Target="footer25.xml" /><Relationship Id="rId299" Type="http://schemas.openxmlformats.org/officeDocument/2006/relationships/footer" Target="footer26.xml" /><Relationship Id="rId300" Type="http://schemas.openxmlformats.org/officeDocument/2006/relationships/footer" Target="footer27.xml" /><Relationship Id="rId301" Type="http://schemas.openxmlformats.org/officeDocument/2006/relationships/footer" Target="footer28.xml" /><Relationship Id="rId302" Type="http://schemas.openxmlformats.org/officeDocument/2006/relationships/footer" Target="footer29.xml" /><Relationship Id="rId303" Type="http://schemas.openxmlformats.org/officeDocument/2006/relationships/footer" Target="footer30.xml" /><Relationship Id="rId304" Type="http://schemas.openxmlformats.org/officeDocument/2006/relationships/footer" Target="footer31.xml" /><Relationship Id="rId305" Type="http://schemas.openxmlformats.org/officeDocument/2006/relationships/footer" Target="footer32.xml" /><Relationship Id="rId306" Type="http://schemas.openxmlformats.org/officeDocument/2006/relationships/footer" Target="footer33.xml" /><Relationship Id="rId307" Type="http://schemas.openxmlformats.org/officeDocument/2006/relationships/footer" Target="footer34.xml" /><Relationship Id="rId308" Type="http://schemas.openxmlformats.org/officeDocument/2006/relationships/footer" Target="footer35.xml" /><Relationship Id="rId309" Type="http://schemas.openxmlformats.org/officeDocument/2006/relationships/footer" Target="footer36.xml" /><Relationship Id="rId310" Type="http://schemas.openxmlformats.org/officeDocument/2006/relationships/footer" Target="footer37.xml" /><Relationship Id="rId311" Type="http://schemas.openxmlformats.org/officeDocument/2006/relationships/footer" Target="footer38.xml" /><Relationship Id="rId312" Type="http://schemas.openxmlformats.org/officeDocument/2006/relationships/footer" Target="footer39.xml" /><Relationship Id="rId313" Type="http://schemas.openxmlformats.org/officeDocument/2006/relationships/footer" Target="footer40.xml" /><Relationship Id="rId314" Type="http://schemas.openxmlformats.org/officeDocument/2006/relationships/footer" Target="footer41.xml" /><Relationship Id="rId315" Type="http://schemas.openxmlformats.org/officeDocument/2006/relationships/footer" Target="footer42.xml" /><Relationship Id="rId316" Type="http://schemas.openxmlformats.org/officeDocument/2006/relationships/footer" Target="footer43.xml" /><Relationship Id="rId317" Type="http://schemas.openxmlformats.org/officeDocument/2006/relationships/footer" Target="footer44.xml" /><Relationship Id="rId318" Type="http://schemas.openxmlformats.org/officeDocument/2006/relationships/footer" Target="footer45.xml" /><Relationship Id="rId319" Type="http://schemas.openxmlformats.org/officeDocument/2006/relationships/footer" Target="footer46.xml" /><Relationship Id="rId320" Type="http://schemas.openxmlformats.org/officeDocument/2006/relationships/footer" Target="footer47.xml" /><Relationship Id="rId321" Type="http://schemas.openxmlformats.org/officeDocument/2006/relationships/footer" Target="footer48.xml" /><Relationship Id="rId322" Type="http://schemas.openxmlformats.org/officeDocument/2006/relationships/footer" Target="footer49.xml" /><Relationship Id="rId323" Type="http://schemas.openxmlformats.org/officeDocument/2006/relationships/footer" Target="footer50.xml" /><Relationship Id="rId324" Type="http://schemas.openxmlformats.org/officeDocument/2006/relationships/footer" Target="footer51.xml" /><Relationship Id="rId325" Type="http://schemas.openxmlformats.org/officeDocument/2006/relationships/footer" Target="footer52.xml" /><Relationship Id="rId326" Type="http://schemas.openxmlformats.org/officeDocument/2006/relationships/footer" Target="footer53.xml" /><Relationship Id="rId327" Type="http://schemas.openxmlformats.org/officeDocument/2006/relationships/footer" Target="footer54.xml" /><Relationship Id="rId328" Type="http://schemas.openxmlformats.org/officeDocument/2006/relationships/footer" Target="footer55.xml" /><Relationship Id="rId329" Type="http://schemas.openxmlformats.org/officeDocument/2006/relationships/footer" Target="footer56.xml" /><Relationship Id="rId330" Type="http://schemas.openxmlformats.org/officeDocument/2006/relationships/footer" Target="footer57.xml" /><Relationship Id="rId331" Type="http://schemas.openxmlformats.org/officeDocument/2006/relationships/footer" Target="footer58.xml" /><Relationship Id="rId332" Type="http://schemas.openxmlformats.org/officeDocument/2006/relationships/footer" Target="footer59.xml" /><Relationship Id="rId333" Type="http://schemas.openxmlformats.org/officeDocument/2006/relationships/footer" Target="footer60.xml" /><Relationship Id="rId334" Type="http://schemas.openxmlformats.org/officeDocument/2006/relationships/footer" Target="footer61.xml" /><Relationship Id="rId335" Type="http://schemas.openxmlformats.org/officeDocument/2006/relationships/footer" Target="footer62.xml" /><Relationship Id="rId336" Type="http://schemas.openxmlformats.org/officeDocument/2006/relationships/footer" Target="footer63.xml" /><Relationship Id="rId337" Type="http://schemas.openxmlformats.org/officeDocument/2006/relationships/footer" Target="footer64.xml" /><Relationship Id="rId338" Type="http://schemas.openxmlformats.org/officeDocument/2006/relationships/footer" Target="footer65.xml" /><Relationship Id="rId339" Type="http://schemas.openxmlformats.org/officeDocument/2006/relationships/footer" Target="footer66.xml" /><Relationship Id="rId340" Type="http://schemas.openxmlformats.org/officeDocument/2006/relationships/footer" Target="footer67.xml" /><Relationship Id="rId341" Type="http://schemas.openxmlformats.org/officeDocument/2006/relationships/footer" Target="footer68.xml" /><Relationship Id="rId342" Type="http://schemas.openxmlformats.org/officeDocument/2006/relationships/footer" Target="footer69.xml" /><Relationship Id="rId343" Type="http://schemas.openxmlformats.org/officeDocument/2006/relationships/footer" Target="footer70.xml" /><Relationship Id="rId344" Type="http://schemas.openxmlformats.org/officeDocument/2006/relationships/footer" Target="footer71.xml" /><Relationship Id="rId345" Type="http://schemas.openxmlformats.org/officeDocument/2006/relationships/footer" Target="footer72.xml" /><Relationship Id="rId346" Type="http://schemas.openxmlformats.org/officeDocument/2006/relationships/footer" Target="footer73.xml" /><Relationship Id="rId347" Type="http://schemas.openxmlformats.org/officeDocument/2006/relationships/footer" Target="footer74.xml" /><Relationship Id="rId348" Type="http://schemas.openxmlformats.org/officeDocument/2006/relationships/footer" Target="footer75.xml" /><Relationship Id="rId349" Type="http://schemas.openxmlformats.org/officeDocument/2006/relationships/footer" Target="footer76.xml" /><Relationship Id="rId350" Type="http://schemas.openxmlformats.org/officeDocument/2006/relationships/footer" Target="footer77.xml" /><Relationship Id="rId351" Type="http://schemas.openxmlformats.org/officeDocument/2006/relationships/footer" Target="footer78.xml" /><Relationship Id="rId352" Type="http://schemas.openxmlformats.org/officeDocument/2006/relationships/footer" Target="footer79.xml" /><Relationship Id="rId353" Type="http://schemas.openxmlformats.org/officeDocument/2006/relationships/footer" Target="footer80.xml" /><Relationship Id="rId354" Type="http://schemas.openxmlformats.org/officeDocument/2006/relationships/footer" Target="footer81.xml" /><Relationship Id="rId355" Type="http://schemas.openxmlformats.org/officeDocument/2006/relationships/footer" Target="footer82.xml" /><Relationship Id="rId356" Type="http://schemas.openxmlformats.org/officeDocument/2006/relationships/footer" Target="footer83.xml" /><Relationship Id="rId357" Type="http://schemas.openxmlformats.org/officeDocument/2006/relationships/footer" Target="footer84.xml" /><Relationship Id="rId358" Type="http://schemas.openxmlformats.org/officeDocument/2006/relationships/footer" Target="footer85.xml" /><Relationship Id="rId359" Type="http://schemas.openxmlformats.org/officeDocument/2006/relationships/footer" Target="footer86.xml" /><Relationship Id="rId360" Type="http://schemas.openxmlformats.org/officeDocument/2006/relationships/footer" Target="footer87.xml" /><Relationship Id="rId361" Type="http://schemas.openxmlformats.org/officeDocument/2006/relationships/footer" Target="footer88.xml" /><Relationship Id="rId362" Type="http://schemas.openxmlformats.org/officeDocument/2006/relationships/footer" Target="footer89.xml" /><Relationship Id="rId363" Type="http://schemas.openxmlformats.org/officeDocument/2006/relationships/footer" Target="footer90.xml" /><Relationship Id="rId364" Type="http://schemas.openxmlformats.org/officeDocument/2006/relationships/footer" Target="footer91.xml" /><Relationship Id="rId365" Type="http://schemas.openxmlformats.org/officeDocument/2006/relationships/footer" Target="footer92.xml" /><Relationship Id="rId366" Type="http://schemas.openxmlformats.org/officeDocument/2006/relationships/footer" Target="footer93.xml" /><Relationship Id="rId367" Type="http://schemas.openxmlformats.org/officeDocument/2006/relationships/footer" Target="footer94.xml" /><Relationship Id="rId368" Type="http://schemas.openxmlformats.org/officeDocument/2006/relationships/footer" Target="footer95.xml" /><Relationship Id="rId369" Type="http://schemas.openxmlformats.org/officeDocument/2006/relationships/footer" Target="footer96.xml" /><Relationship Id="rId370" Type="http://schemas.openxmlformats.org/officeDocument/2006/relationships/footer" Target="footer97.xml" /><Relationship Id="rId371" Type="http://schemas.openxmlformats.org/officeDocument/2006/relationships/footer" Target="footer98.xml" /><Relationship Id="rId372" Type="http://schemas.openxmlformats.org/officeDocument/2006/relationships/footer" Target="footer99.xml" /><Relationship Id="rId373" Type="http://schemas.openxmlformats.org/officeDocument/2006/relationships/footer" Target="footer100.xml" /><Relationship Id="rId374" Type="http://schemas.openxmlformats.org/officeDocument/2006/relationships/footer" Target="footer101.xml" /><Relationship Id="rId375" Type="http://schemas.openxmlformats.org/officeDocument/2006/relationships/footer" Target="footer102.xml" /><Relationship Id="rId376" Type="http://schemas.openxmlformats.org/officeDocument/2006/relationships/footer" Target="footer103.xml" /><Relationship Id="rId377" Type="http://schemas.openxmlformats.org/officeDocument/2006/relationships/footer" Target="footer104.xml" /><Relationship Id="rId378" Type="http://schemas.openxmlformats.org/officeDocument/2006/relationships/footer" Target="footer105.xml" /><Relationship Id="rId379" Type="http://schemas.openxmlformats.org/officeDocument/2006/relationships/footer" Target="footer106.xml" /><Relationship Id="rId380" Type="http://schemas.openxmlformats.org/officeDocument/2006/relationships/footer" Target="footer107.xml" /><Relationship Id="rId381" Type="http://schemas.openxmlformats.org/officeDocument/2006/relationships/footer" Target="footer108.xml" /><Relationship Id="rId382" Type="http://schemas.openxmlformats.org/officeDocument/2006/relationships/footer" Target="footer109.xml" /><Relationship Id="rId383" Type="http://schemas.openxmlformats.org/officeDocument/2006/relationships/footer" Target="footer110.xml" /><Relationship Id="rId384" Type="http://schemas.openxmlformats.org/officeDocument/2006/relationships/footer" Target="footer111.xml" /><Relationship Id="rId385" Type="http://schemas.openxmlformats.org/officeDocument/2006/relationships/footer" Target="footer112.xml" /><Relationship Id="rId386" Type="http://schemas.openxmlformats.org/officeDocument/2006/relationships/footer" Target="footer113.xml" /><Relationship Id="rId387" Type="http://schemas.openxmlformats.org/officeDocument/2006/relationships/footer" Target="footer114.xml" /><Relationship Id="rId388" Type="http://schemas.openxmlformats.org/officeDocument/2006/relationships/footer" Target="footer115.xml" /><Relationship Id="rId389" Type="http://schemas.openxmlformats.org/officeDocument/2006/relationships/footer" Target="footer116.xml" /><Relationship Id="rId390" Type="http://schemas.openxmlformats.org/officeDocument/2006/relationships/footer" Target="footer117.xml" /><Relationship Id="rId391" Type="http://schemas.openxmlformats.org/officeDocument/2006/relationships/footer" Target="footer118.xml" /><Relationship Id="rId392" Type="http://schemas.openxmlformats.org/officeDocument/2006/relationships/footer" Target="footer119.xml" /><Relationship Id="rId393" Type="http://schemas.openxmlformats.org/officeDocument/2006/relationships/footer" Target="footer120.xml" /><Relationship Id="rId394" Type="http://schemas.openxmlformats.org/officeDocument/2006/relationships/footer" Target="footer121.xml" /><Relationship Id="rId395" Type="http://schemas.openxmlformats.org/officeDocument/2006/relationships/footer" Target="footer122.xml" /><Relationship Id="rId396" Type="http://schemas.openxmlformats.org/officeDocument/2006/relationships/footer" Target="footer123.xml" /><Relationship Id="rId397" Type="http://schemas.openxmlformats.org/officeDocument/2006/relationships/footer" Target="footer124.xml" /><Relationship Id="rId398" Type="http://schemas.openxmlformats.org/officeDocument/2006/relationships/footer" Target="footer125.xml" /><Relationship Id="rId399" Type="http://schemas.openxmlformats.org/officeDocument/2006/relationships/footer" Target="footer126.xml" /><Relationship Id="rId400" Type="http://schemas.openxmlformats.org/officeDocument/2006/relationships/footer" Target="footer127.xml" /><Relationship Id="rId401" Type="http://schemas.openxmlformats.org/officeDocument/2006/relationships/footer" Target="footer128.xml" /><Relationship Id="rId402" Type="http://schemas.openxmlformats.org/officeDocument/2006/relationships/footer" Target="footer129.xml" /><Relationship Id="rId403" Type="http://schemas.openxmlformats.org/officeDocument/2006/relationships/footer" Target="footer130.xml" /><Relationship Id="rId404" Type="http://schemas.openxmlformats.org/officeDocument/2006/relationships/footer" Target="footer131.xml" /><Relationship Id="rId405" Type="http://schemas.openxmlformats.org/officeDocument/2006/relationships/footer" Target="footer132.xml" /><Relationship Id="rId406" Type="http://schemas.openxmlformats.org/officeDocument/2006/relationships/footer" Target="footer133.xml" /><Relationship Id="rId407" Type="http://schemas.openxmlformats.org/officeDocument/2006/relationships/footer" Target="footer134.xml" /><Relationship Id="rId408" Type="http://schemas.openxmlformats.org/officeDocument/2006/relationships/footer" Target="footer135.xml" /><Relationship Id="rId409" Type="http://schemas.openxmlformats.org/officeDocument/2006/relationships/footer" Target="footer136.xml" /><Relationship Id="rId410" Type="http://schemas.openxmlformats.org/officeDocument/2006/relationships/footer" Target="footer137.xml" /><Relationship Id="rId411" Type="http://schemas.openxmlformats.org/officeDocument/2006/relationships/footer" Target="footer138.xml" /><Relationship Id="rId412" Type="http://schemas.openxmlformats.org/officeDocument/2006/relationships/footer" Target="footer139.xml" /><Relationship Id="rId413" Type="http://schemas.openxmlformats.org/officeDocument/2006/relationships/footer" Target="footer140.xml" /><Relationship Id="rId414" Type="http://schemas.openxmlformats.org/officeDocument/2006/relationships/footer" Target="footer141.xml" /><Relationship Id="rId415" Type="http://schemas.openxmlformats.org/officeDocument/2006/relationships/footer" Target="footer142.xml" /><Relationship Id="rId416" Type="http://schemas.openxmlformats.org/officeDocument/2006/relationships/footer" Target="footer143.xml" /><Relationship Id="rId417" Type="http://schemas.openxmlformats.org/officeDocument/2006/relationships/footer" Target="footer144.xml" /><Relationship Id="rId418" Type="http://schemas.openxmlformats.org/officeDocument/2006/relationships/footer" Target="footer145.xml" /><Relationship Id="rId419" Type="http://schemas.openxmlformats.org/officeDocument/2006/relationships/footer" Target="footer146.xml" /><Relationship Id="rId420" Type="http://schemas.openxmlformats.org/officeDocument/2006/relationships/footer" Target="footer147.xml" /><Relationship Id="rId421" Type="http://schemas.openxmlformats.org/officeDocument/2006/relationships/footer" Target="footer148.xml" /><Relationship Id="rId422" Type="http://schemas.openxmlformats.org/officeDocument/2006/relationships/footer" Target="footer149.xml" /><Relationship Id="rId423" Type="http://schemas.openxmlformats.org/officeDocument/2006/relationships/footer" Target="footer150.xml" /><Relationship Id="rId424" Type="http://schemas.openxmlformats.org/officeDocument/2006/relationships/footer" Target="footer151.xml" /><Relationship Id="rId425" Type="http://schemas.openxmlformats.org/officeDocument/2006/relationships/footer" Target="footer152.xml" /><Relationship Id="rId426" Type="http://schemas.openxmlformats.org/officeDocument/2006/relationships/footer" Target="footer153.xml" /><Relationship Id="rId427" Type="http://schemas.openxmlformats.org/officeDocument/2006/relationships/footer" Target="footer154.xml" /><Relationship Id="rId428" Type="http://schemas.openxmlformats.org/officeDocument/2006/relationships/footer" Target="footer155.xml" /><Relationship Id="rId429" Type="http://schemas.openxmlformats.org/officeDocument/2006/relationships/footer" Target="footer156.xml" /><Relationship Id="rId430" Type="http://schemas.openxmlformats.org/officeDocument/2006/relationships/footer" Target="footer157.xml" /><Relationship Id="rId431" Type="http://schemas.openxmlformats.org/officeDocument/2006/relationships/footer" Target="footer158.xml" /><Relationship Id="rId432" Type="http://schemas.openxmlformats.org/officeDocument/2006/relationships/footer" Target="footer159.xml" /><Relationship Id="rId433" Type="http://schemas.openxmlformats.org/officeDocument/2006/relationships/footer" Target="footer160.xml" /><Relationship Id="rId434" Type="http://schemas.openxmlformats.org/officeDocument/2006/relationships/footer" Target="footer161.xml" /><Relationship Id="rId435" Type="http://schemas.openxmlformats.org/officeDocument/2006/relationships/footer" Target="footer162.xml" /><Relationship Id="rId436" Type="http://schemas.openxmlformats.org/officeDocument/2006/relationships/footer" Target="footer163.xml" /><Relationship Id="rId437" Type="http://schemas.openxmlformats.org/officeDocument/2006/relationships/footer" Target="footer164.xml" /><Relationship Id="rId438" Type="http://schemas.openxmlformats.org/officeDocument/2006/relationships/footer" Target="footer165.xml" /><Relationship Id="rId439" Type="http://schemas.openxmlformats.org/officeDocument/2006/relationships/footer" Target="footer166.xml" /><Relationship Id="rId440" Type="http://schemas.openxmlformats.org/officeDocument/2006/relationships/footer" Target="footer167.xml" /><Relationship Id="rId441" Type="http://schemas.openxmlformats.org/officeDocument/2006/relationships/footer" Target="footer168.xml" /><Relationship Id="rId442" Type="http://schemas.openxmlformats.org/officeDocument/2006/relationships/footer" Target="footer169.xml" /><Relationship Id="rId443" Type="http://schemas.openxmlformats.org/officeDocument/2006/relationships/footer" Target="footer170.xml" /><Relationship Id="rId444" Type="http://schemas.openxmlformats.org/officeDocument/2006/relationships/footer" Target="footer171.xml" /><Relationship Id="rId445" Type="http://schemas.openxmlformats.org/officeDocument/2006/relationships/footer" Target="footer172.xml" /><Relationship Id="rId446" Type="http://schemas.openxmlformats.org/officeDocument/2006/relationships/footer" Target="footer173.xml" /><Relationship Id="rId447" Type="http://schemas.openxmlformats.org/officeDocument/2006/relationships/footer" Target="footer174.xml" /><Relationship Id="rId448" Type="http://schemas.openxmlformats.org/officeDocument/2006/relationships/footer" Target="footer175.xml" /><Relationship Id="rId449" Type="http://schemas.openxmlformats.org/officeDocument/2006/relationships/footer" Target="footer176.xml" /><Relationship Id="rId450" Type="http://schemas.openxmlformats.org/officeDocument/2006/relationships/footer" Target="footer177.xml" /><Relationship Id="rId451" Type="http://schemas.openxmlformats.org/officeDocument/2006/relationships/footer" Target="footer178.xml" /><Relationship Id="rId452" Type="http://schemas.openxmlformats.org/officeDocument/2006/relationships/footer" Target="footer179.xml" /><Relationship Id="rId453" Type="http://schemas.openxmlformats.org/officeDocument/2006/relationships/footer" Target="footer180.xml" /><Relationship Id="rId454" Type="http://schemas.openxmlformats.org/officeDocument/2006/relationships/footer" Target="footer181.xml" /><Relationship Id="rId455" Type="http://schemas.openxmlformats.org/officeDocument/2006/relationships/footer" Target="footer182.xml" /><Relationship Id="rId456" Type="http://schemas.openxmlformats.org/officeDocument/2006/relationships/footer" Target="footer183.xml" /><Relationship Id="rId457" Type="http://schemas.openxmlformats.org/officeDocument/2006/relationships/footer" Target="footer184.xml" /><Relationship Id="rId458" Type="http://schemas.openxmlformats.org/officeDocument/2006/relationships/footer" Target="footer185.xml" /><Relationship Id="rId459" Type="http://schemas.openxmlformats.org/officeDocument/2006/relationships/footer" Target="footer186.xml" /><Relationship Id="rId460" Type="http://schemas.openxmlformats.org/officeDocument/2006/relationships/footer" Target="footer187.xml" /><Relationship Id="rId461" Type="http://schemas.openxmlformats.org/officeDocument/2006/relationships/footer" Target="footer188.xml" /><Relationship Id="rId462" Type="http://schemas.openxmlformats.org/officeDocument/2006/relationships/footer" Target="footer189.xml" /><Relationship Id="rId463" Type="http://schemas.openxmlformats.org/officeDocument/2006/relationships/footer" Target="footer190.xml" /><Relationship Id="rId464" Type="http://schemas.openxmlformats.org/officeDocument/2006/relationships/footer" Target="footer191.xml" /><Relationship Id="rId465" Type="http://schemas.openxmlformats.org/officeDocument/2006/relationships/footer" Target="footer192.xml" /><Relationship Id="rId466" Type="http://schemas.openxmlformats.org/officeDocument/2006/relationships/footer" Target="footer193.xml" /><Relationship Id="rId467" Type="http://schemas.openxmlformats.org/officeDocument/2006/relationships/footer" Target="footer194.xml" /><Relationship Id="rId468" Type="http://schemas.openxmlformats.org/officeDocument/2006/relationships/footer" Target="footer195.xml" /><Relationship Id="rId469" Type="http://schemas.openxmlformats.org/officeDocument/2006/relationships/footer" Target="footer196.xml" /><Relationship Id="rId470" Type="http://schemas.openxmlformats.org/officeDocument/2006/relationships/footer" Target="footer197.xml" /><Relationship Id="rId471" Type="http://schemas.openxmlformats.org/officeDocument/2006/relationships/footer" Target="footer198.xml" /><Relationship Id="rId472" Type="http://schemas.openxmlformats.org/officeDocument/2006/relationships/footer" Target="footer199.xml" /><Relationship Id="rId473" Type="http://schemas.openxmlformats.org/officeDocument/2006/relationships/footer" Target="footer200.xml" /><Relationship Id="rId474" Type="http://schemas.openxmlformats.org/officeDocument/2006/relationships/footer" Target="footer201.xml" /><Relationship Id="rId475" Type="http://schemas.openxmlformats.org/officeDocument/2006/relationships/footer" Target="footer202.xml" /><Relationship Id="rId476" Type="http://schemas.openxmlformats.org/officeDocument/2006/relationships/footer" Target="footer203.xml" /><Relationship Id="rId477" Type="http://schemas.openxmlformats.org/officeDocument/2006/relationships/footer" Target="footer204.xml" /><Relationship Id="rId478" Type="http://schemas.openxmlformats.org/officeDocument/2006/relationships/footer" Target="footer205.xml" /><Relationship Id="rId479" Type="http://schemas.openxmlformats.org/officeDocument/2006/relationships/footer" Target="footer206.xml" /><Relationship Id="rId480" Type="http://schemas.openxmlformats.org/officeDocument/2006/relationships/footer" Target="footer207.xml" /><Relationship Id="rId481" Type="http://schemas.openxmlformats.org/officeDocument/2006/relationships/footer" Target="footer208.xml" /><Relationship Id="rId482" Type="http://schemas.openxmlformats.org/officeDocument/2006/relationships/footer" Target="footer209.xml" /><Relationship Id="rId483" Type="http://schemas.openxmlformats.org/officeDocument/2006/relationships/footer" Target="footer210.xml" /><Relationship Id="rId484" Type="http://schemas.openxmlformats.org/officeDocument/2006/relationships/footer" Target="footer211.xml" /><Relationship Id="rId485" Type="http://schemas.openxmlformats.org/officeDocument/2006/relationships/footer" Target="footer212.xml" /><Relationship Id="rId486" Type="http://schemas.openxmlformats.org/officeDocument/2006/relationships/footer" Target="footer213.xml" /><Relationship Id="rId487" Type="http://schemas.openxmlformats.org/officeDocument/2006/relationships/footer" Target="footer214.xml" /><Relationship Id="rId488" Type="http://schemas.openxmlformats.org/officeDocument/2006/relationships/footer" Target="footer215.xml" /><Relationship Id="rId489" Type="http://schemas.openxmlformats.org/officeDocument/2006/relationships/footer" Target="footer216.xml" /><Relationship Id="rId490" Type="http://schemas.openxmlformats.org/officeDocument/2006/relationships/footer" Target="footer217.xml" /><Relationship Id="rId491" Type="http://schemas.openxmlformats.org/officeDocument/2006/relationships/footer" Target="footer218.xml" /><Relationship Id="rId492" Type="http://schemas.openxmlformats.org/officeDocument/2006/relationships/footer" Target="footer219.xml" /><Relationship Id="rId493" Type="http://schemas.openxmlformats.org/officeDocument/2006/relationships/footer" Target="footer220.xml" /><Relationship Id="rId494" Type="http://schemas.openxmlformats.org/officeDocument/2006/relationships/footer" Target="footer221.xml" /><Relationship Id="rId495" Type="http://schemas.openxmlformats.org/officeDocument/2006/relationships/footer" Target="footer222.xml" /><Relationship Id="rId496" Type="http://schemas.openxmlformats.org/officeDocument/2006/relationships/footer" Target="footer223.xml" /><Relationship Id="rId497" Type="http://schemas.openxmlformats.org/officeDocument/2006/relationships/footer" Target="footer224.xml" /><Relationship Id="rId498" Type="http://schemas.openxmlformats.org/officeDocument/2006/relationships/footer" Target="footer225.xml" /><Relationship Id="rId499" Type="http://schemas.openxmlformats.org/officeDocument/2006/relationships/footer" Target="footer226.xml" /><Relationship Id="rId500" Type="http://schemas.openxmlformats.org/officeDocument/2006/relationships/footer" Target="footer227.xml" /><Relationship Id="rId501" Type="http://schemas.openxmlformats.org/officeDocument/2006/relationships/footer" Target="footer228.xml" /><Relationship Id="rId502" Type="http://schemas.openxmlformats.org/officeDocument/2006/relationships/footer" Target="footer229.xml" /><Relationship Id="rId503" Type="http://schemas.openxmlformats.org/officeDocument/2006/relationships/footer" Target="footer230.xml" /><Relationship Id="rId504" Type="http://schemas.openxmlformats.org/officeDocument/2006/relationships/footer" Target="footer231.xml" /><Relationship Id="rId505" Type="http://schemas.openxmlformats.org/officeDocument/2006/relationships/footer" Target="footer232.xml" /><Relationship Id="rId506" Type="http://schemas.openxmlformats.org/officeDocument/2006/relationships/footer" Target="footer233.xml" /><Relationship Id="rId507" Type="http://schemas.openxmlformats.org/officeDocument/2006/relationships/footer" Target="footer234.xml" /><Relationship Id="rId508" Type="http://schemas.openxmlformats.org/officeDocument/2006/relationships/footer" Target="footer235.xml" /><Relationship Id="rId509" Type="http://schemas.openxmlformats.org/officeDocument/2006/relationships/footer" Target="footer236.xml" /><Relationship Id="rId510" Type="http://schemas.openxmlformats.org/officeDocument/2006/relationships/footer" Target="footer237.xml" /><Relationship Id="rId511" Type="http://schemas.openxmlformats.org/officeDocument/2006/relationships/footer" Target="footer238.xml" /><Relationship Id="rId512" Type="http://schemas.openxmlformats.org/officeDocument/2006/relationships/footer" Target="footer239.xml" /><Relationship Id="rId513" Type="http://schemas.openxmlformats.org/officeDocument/2006/relationships/footer" Target="footer240.xml" /><Relationship Id="rId514" Type="http://schemas.openxmlformats.org/officeDocument/2006/relationships/footer" Target="footer241.xml" /><Relationship Id="rId515" Type="http://schemas.openxmlformats.org/officeDocument/2006/relationships/footer" Target="footer242.xml" /><Relationship Id="rId516" Type="http://schemas.openxmlformats.org/officeDocument/2006/relationships/footer" Target="footer243.xml" /><Relationship Id="rId517" Type="http://schemas.openxmlformats.org/officeDocument/2006/relationships/footer" Target="footer244.xml" /><Relationship Id="rId518" Type="http://schemas.openxmlformats.org/officeDocument/2006/relationships/footer" Target="footer245.xml" /><Relationship Id="rId519" Type="http://schemas.openxmlformats.org/officeDocument/2006/relationships/footer" Target="footer246.xml" /><Relationship Id="rId520" Type="http://schemas.openxmlformats.org/officeDocument/2006/relationships/footer" Target="footer247.xml" /><Relationship Id="rId521" Type="http://schemas.openxmlformats.org/officeDocument/2006/relationships/footer" Target="footer248.xml" /><Relationship Id="rId522" Type="http://schemas.openxmlformats.org/officeDocument/2006/relationships/footer" Target="footer249.xml" /><Relationship Id="rId523" Type="http://schemas.openxmlformats.org/officeDocument/2006/relationships/footer" Target="footer250.xml" /><Relationship Id="rId524" Type="http://schemas.openxmlformats.org/officeDocument/2006/relationships/footer" Target="footer251.xml" /><Relationship Id="rId525" Type="http://schemas.openxmlformats.org/officeDocument/2006/relationships/footer" Target="footer252.xml" /><Relationship Id="rId526" Type="http://schemas.openxmlformats.org/officeDocument/2006/relationships/footer" Target="footer253.xml" /><Relationship Id="rId527" Type="http://schemas.openxmlformats.org/officeDocument/2006/relationships/footer" Target="footer254.xml" /><Relationship Id="rId528" Type="http://schemas.openxmlformats.org/officeDocument/2006/relationships/footer" Target="footer255.xml" /><Relationship Id="rId529" Type="http://schemas.openxmlformats.org/officeDocument/2006/relationships/footer" Target="footer256.xml" /><Relationship Id="rId530" Type="http://schemas.openxmlformats.org/officeDocument/2006/relationships/footer" Target="footer257.xml" /><Relationship Id="rId531" Type="http://schemas.openxmlformats.org/officeDocument/2006/relationships/footer" Target="footer258.xml" /><Relationship Id="rId532" Type="http://schemas.openxmlformats.org/officeDocument/2006/relationships/footer" Target="footer259.xml" /><Relationship Id="rId533" Type="http://schemas.openxmlformats.org/officeDocument/2006/relationships/footer" Target="footer260.xml" /><Relationship Id="rId534" Type="http://schemas.openxmlformats.org/officeDocument/2006/relationships/footer" Target="footer261.xml" /><Relationship Id="rId535" Type="http://schemas.openxmlformats.org/officeDocument/2006/relationships/footer" Target="footer262.xml" /><Relationship Id="rId536" Type="http://schemas.openxmlformats.org/officeDocument/2006/relationships/footer" Target="footer263.xml" /><Relationship Id="rId537" Type="http://schemas.openxmlformats.org/officeDocument/2006/relationships/footer" Target="footer264.xml" /><Relationship Id="rId538" Type="http://schemas.openxmlformats.org/officeDocument/2006/relationships/footer" Target="footer265.xml" /><Relationship Id="rId539" Type="http://schemas.openxmlformats.org/officeDocument/2006/relationships/footer" Target="footer266.xml" /><Relationship Id="rId540" Type="http://schemas.openxmlformats.org/officeDocument/2006/relationships/footer" Target="footer267.xml" /><Relationship Id="rId541" Type="http://schemas.openxmlformats.org/officeDocument/2006/relationships/footer" Target="footer268.xml" /><Relationship Id="rId542" Type="http://schemas.openxmlformats.org/officeDocument/2006/relationships/footer" Target="footer269.xml" /><Relationship Id="rId543" Type="http://schemas.openxmlformats.org/officeDocument/2006/relationships/footer" Target="footer270.xml" /><Relationship Id="rId544" Type="http://schemas.openxmlformats.org/officeDocument/2006/relationships/footer" Target="footer271.xml" /><Relationship Id="rId545" Type="http://schemas.openxmlformats.org/officeDocument/2006/relationships/footer" Target="footer272.xml" /><Relationship Id="rId546" Type="http://schemas.openxmlformats.org/officeDocument/2006/relationships/footer" Target="footer273.xml" /><Relationship Id="rId547" Type="http://schemas.openxmlformats.org/officeDocument/2006/relationships/customXml" Target="../customXml/item1.xml" /><Relationship Id="rId548" Type="http://schemas.openxmlformats.org/officeDocument/2006/relationships/image" Target="media/image1.png"/><Relationship Id="rId549" Type="http://schemas.openxmlformats.org/officeDocument/2006/relationships/hyperlink" Target="https://5s-proekt.ru/" TargetMode="External"/><Relationship Id="rId550" Type="http://schemas.openxmlformats.org/officeDocument/2006/relationships/hyperlink" Target="file:///E:/&#1071;&#1085;&#1076;&#1077;&#1082;&#1089;%20&#1076;&#1080;&#1089;&#1082;/YandexDisk/YandexDisk/YandexDisk/&#1087;&#1080;&#1089;&#1100;&#1084;&#1072;,%20&#1079;&#1072;&#1087;&#1088;&#1086;&#1089;&#1099;,%20&#1086;&#1090;&#1095;&#1077;&#1090;&#1099;/&#1090;&#1080;&#1090;&#1091;&#1083;&#1100;&#1085;&#1080;&#1082;/ea503532@yandex.ru" TargetMode="External"/><Relationship Id="rId551" Type="http://schemas.openxmlformats.org/officeDocument/2006/relationships/image" Target="media/image2.jpg"/><Relationship Id="rId552" Type="http://schemas.openxmlformats.org/officeDocument/2006/relationships/image" Target="media/image3.jpg"/><Relationship Id="rId553" Type="http://schemas.openxmlformats.org/officeDocument/2006/relationships/image" Target="media/image4.png"/><Relationship Id="rId554" Type="http://schemas.openxmlformats.org/officeDocument/2006/relationships/image" Target="media/image5.png"/><Relationship Id="rId555" Type="http://schemas.openxmlformats.org/officeDocument/2006/relationships/image" Target="media/image6.jpg"/><Relationship Id="rId556" Type="http://schemas.openxmlformats.org/officeDocument/2006/relationships/image" Target="media/image7.jpg"/><Relationship Id="rId557" Type="http://schemas.openxmlformats.org/officeDocument/2006/relationships/image" Target="media/image8.png"/><Relationship Id="rId558" Type="http://schemas.openxmlformats.org/officeDocument/2006/relationships/image" Target="media/media1.svg"/><Relationship Id="rId559" Type="http://schemas.openxmlformats.org/officeDocument/2006/relationships/image" Target="media/image9.png"/><Relationship Id="rId560" Type="http://schemas.openxmlformats.org/officeDocument/2006/relationships/image" Target="media/image10.png"/><Relationship Id="rId561" Type="http://schemas.openxmlformats.org/officeDocument/2006/relationships/image" Target="media/image11.png"/><Relationship Id="rId562" Type="http://schemas.openxmlformats.org/officeDocument/2006/relationships/image" Target="media/media2.svg"/><Relationship Id="rId563" Type="http://schemas.openxmlformats.org/officeDocument/2006/relationships/image" Target="media/image12.png"/><Relationship Id="rId564" Type="http://schemas.openxmlformats.org/officeDocument/2006/relationships/image" Target="media/media3.svg"/><Relationship Id="rId565" Type="http://schemas.openxmlformats.org/officeDocument/2006/relationships/image" Target="media/image13.png"/><Relationship Id="rId566" Type="http://schemas.openxmlformats.org/officeDocument/2006/relationships/image" Target="media/media4.svg"/><Relationship Id="rId567" Type="http://schemas.openxmlformats.org/officeDocument/2006/relationships/image" Target="media/image14.png"/><Relationship Id="rId568" Type="http://schemas.openxmlformats.org/officeDocument/2006/relationships/image" Target="media/media5.svg"/><Relationship Id="rId569" Type="http://schemas.openxmlformats.org/officeDocument/2006/relationships/image" Target="media/image15.png"/><Relationship Id="rId570" Type="http://schemas.openxmlformats.org/officeDocument/2006/relationships/image" Target="media/media6.svg"/><Relationship Id="rId571" Type="http://schemas.openxmlformats.org/officeDocument/2006/relationships/image" Target="media/image16.png"/><Relationship Id="rId572" Type="http://schemas.openxmlformats.org/officeDocument/2006/relationships/image" Target="media/media7.svg"/><Relationship Id="rId573" Type="http://schemas.openxmlformats.org/officeDocument/2006/relationships/image" Target="media/image17.png"/><Relationship Id="rId574" Type="http://schemas.openxmlformats.org/officeDocument/2006/relationships/image" Target="media/media8.svg"/><Relationship Id="rId575" Type="http://schemas.openxmlformats.org/officeDocument/2006/relationships/image" Target="media/image18.png"/><Relationship Id="rId576" Type="http://schemas.openxmlformats.org/officeDocument/2006/relationships/image" Target="media/media9.svg"/><Relationship Id="rId577" Type="http://schemas.openxmlformats.org/officeDocument/2006/relationships/image" Target="media/image19.png"/><Relationship Id="rId578" Type="http://schemas.openxmlformats.org/officeDocument/2006/relationships/image" Target="media/media10.svg"/><Relationship Id="rId579" Type="http://schemas.openxmlformats.org/officeDocument/2006/relationships/image" Target="media/image20.png"/><Relationship Id="rId580" Type="http://schemas.openxmlformats.org/officeDocument/2006/relationships/image" Target="media/media11.svg"/><Relationship Id="rId581" Type="http://schemas.openxmlformats.org/officeDocument/2006/relationships/image" Target="media/image21.png"/><Relationship Id="rId582" Type="http://schemas.openxmlformats.org/officeDocument/2006/relationships/image" Target="media/media12.svg"/><Relationship Id="rId583" Type="http://schemas.openxmlformats.org/officeDocument/2006/relationships/image" Target="media/image22.png"/><Relationship Id="rId584" Type="http://schemas.openxmlformats.org/officeDocument/2006/relationships/image" Target="media/media13.svg"/><Relationship Id="rId585" Type="http://schemas.openxmlformats.org/officeDocument/2006/relationships/image" Target="media/image23.png"/><Relationship Id="rId586" Type="http://schemas.openxmlformats.org/officeDocument/2006/relationships/image" Target="media/media14.svg"/><Relationship Id="rId587" Type="http://schemas.openxmlformats.org/officeDocument/2006/relationships/image" Target="media/image24.png"/><Relationship Id="rId588" Type="http://schemas.openxmlformats.org/officeDocument/2006/relationships/image" Target="media/media15.svg"/><Relationship Id="rId589" Type="http://schemas.openxmlformats.org/officeDocument/2006/relationships/image" Target="media/image25.png"/><Relationship Id="rId590" Type="http://schemas.openxmlformats.org/officeDocument/2006/relationships/image" Target="media/media16.svg"/><Relationship Id="rId591" Type="http://schemas.openxmlformats.org/officeDocument/2006/relationships/image" Target="media/image26.png"/><Relationship Id="rId592" Type="http://schemas.openxmlformats.org/officeDocument/2006/relationships/image" Target="media/media17.svg"/><Relationship Id="rId593" Type="http://schemas.openxmlformats.org/officeDocument/2006/relationships/image" Target="media/image27.png"/><Relationship Id="rId594" Type="http://schemas.openxmlformats.org/officeDocument/2006/relationships/image" Target="media/media18.svg"/><Relationship Id="rId595" Type="http://schemas.openxmlformats.org/officeDocument/2006/relationships/image" Target="media/image28.png"/><Relationship Id="rId596" Type="http://schemas.openxmlformats.org/officeDocument/2006/relationships/image" Target="media/media19.svg"/><Relationship Id="rId597" Type="http://schemas.openxmlformats.org/officeDocument/2006/relationships/image" Target="media/image29.png"/><Relationship Id="rId598" Type="http://schemas.openxmlformats.org/officeDocument/2006/relationships/image" Target="media/media20.svg"/><Relationship Id="rId599" Type="http://schemas.openxmlformats.org/officeDocument/2006/relationships/image" Target="media/image30.png"/><Relationship Id="rId600" Type="http://schemas.openxmlformats.org/officeDocument/2006/relationships/image" Target="media/media21.svg"/><Relationship Id="rId601" Type="http://schemas.openxmlformats.org/officeDocument/2006/relationships/image" Target="media/image31.png"/><Relationship Id="rId602" Type="http://schemas.openxmlformats.org/officeDocument/2006/relationships/image" Target="media/media22.svg"/><Relationship Id="rId603" Type="http://schemas.openxmlformats.org/officeDocument/2006/relationships/image" Target="media/image32.png"/><Relationship Id="rId604" Type="http://schemas.openxmlformats.org/officeDocument/2006/relationships/image" Target="media/media23.svg"/><Relationship Id="rId605" Type="http://schemas.openxmlformats.org/officeDocument/2006/relationships/image" Target="media/image33.png"/><Relationship Id="rId606" Type="http://schemas.openxmlformats.org/officeDocument/2006/relationships/image" Target="media/media24.svg"/><Relationship Id="rId607" Type="http://schemas.openxmlformats.org/officeDocument/2006/relationships/image" Target="media/image34.png"/><Relationship Id="rId608" Type="http://schemas.openxmlformats.org/officeDocument/2006/relationships/image" Target="media/media25.svg"/><Relationship Id="rId609" Type="http://schemas.openxmlformats.org/officeDocument/2006/relationships/image" Target="media/image35.png"/><Relationship Id="rId610" Type="http://schemas.openxmlformats.org/officeDocument/2006/relationships/image" Target="media/media26.svg"/><Relationship Id="rId611" Type="http://schemas.openxmlformats.org/officeDocument/2006/relationships/image" Target="media/image36.png"/><Relationship Id="rId612" Type="http://schemas.openxmlformats.org/officeDocument/2006/relationships/image" Target="media/media27.svg"/><Relationship Id="rId613" Type="http://schemas.openxmlformats.org/officeDocument/2006/relationships/image" Target="media/image37.jpg"/><Relationship Id="rId614" Type="http://schemas.openxmlformats.org/officeDocument/2006/relationships/image" Target="media/image38.png"/><Relationship Id="rId615" Type="http://schemas.openxmlformats.org/officeDocument/2006/relationships/image" Target="media/image39.png"/><Relationship Id="rId616" Type="http://schemas.openxmlformats.org/officeDocument/2006/relationships/image" Target="media/image40.png"/><Relationship Id="rId617" Type="http://schemas.openxmlformats.org/officeDocument/2006/relationships/image" Target="media/image41.png"/><Relationship Id="rId618" Type="http://schemas.openxmlformats.org/officeDocument/2006/relationships/image" Target="media/image42.png"/><Relationship Id="rId619" Type="http://schemas.openxmlformats.org/officeDocument/2006/relationships/image" Target="media/image43.png"/><Relationship Id="rId620" Type="http://schemas.openxmlformats.org/officeDocument/2006/relationships/image" Target="media/image44.png"/><Relationship Id="rId621" Type="http://schemas.openxmlformats.org/officeDocument/2006/relationships/image" Target="media/image45.png"/><Relationship Id="rId622" Type="http://schemas.openxmlformats.org/officeDocument/2006/relationships/image" Target="media/image46.png"/><Relationship Id="rId623" Type="http://schemas.openxmlformats.org/officeDocument/2006/relationships/image" Target="media/image47.png"/><Relationship Id="rId624" Type="http://schemas.openxmlformats.org/officeDocument/2006/relationships/image" Target="media/image48.png"/><Relationship Id="rId625" Type="http://schemas.openxmlformats.org/officeDocument/2006/relationships/image" Target="media/media28.svg"/><Relationship Id="rId626" Type="http://schemas.openxmlformats.org/officeDocument/2006/relationships/image" Target="media/image49.png"/><Relationship Id="rId627" Type="http://schemas.openxmlformats.org/officeDocument/2006/relationships/image" Target="media/image50.png"/><Relationship Id="rId628" Type="http://schemas.openxmlformats.org/officeDocument/2006/relationships/hyperlink" Target="consultantplus://offline/ref=6D70FF1FCE4AC3C5B12CFE73E6DDD7767BB8DB60DF34A547E76CD316F4A359D3BECACC8A6C0A2F81LAa7K" TargetMode="External"/><Relationship Id="rId629" Type="http://schemas.openxmlformats.org/officeDocument/2006/relationships/hyperlink" Target="consultantplus://offline/ref=6D70FF1FCE4AC3C5B12CFE73E6DDD7767BB9D164D937A547E76CD316F4A359D3BECACC8CL6a5K" TargetMode="External"/></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10.xml.rels><?xml version="1.0" encoding="UTF-8" standalone="yes"?><Relationships xmlns="http://schemas.openxmlformats.org/package/2006/relationships"></Relationships>
</file>

<file path=word/_rels/footer100.xml.rels><?xml version="1.0" encoding="UTF-8" standalone="yes"?><Relationships xmlns="http://schemas.openxmlformats.org/package/2006/relationships"></Relationships>
</file>

<file path=word/_rels/footer101.xml.rels><?xml version="1.0" encoding="UTF-8" standalone="yes"?><Relationships xmlns="http://schemas.openxmlformats.org/package/2006/relationships"></Relationships>
</file>

<file path=word/_rels/footer102.xml.rels><?xml version="1.0" encoding="UTF-8" standalone="yes"?><Relationships xmlns="http://schemas.openxmlformats.org/package/2006/relationships"></Relationships>
</file>

<file path=word/_rels/footer103.xml.rels><?xml version="1.0" encoding="UTF-8" standalone="yes"?><Relationships xmlns="http://schemas.openxmlformats.org/package/2006/relationships"></Relationships>
</file>

<file path=word/_rels/footer104.xml.rels><?xml version="1.0" encoding="UTF-8" standalone="yes"?><Relationships xmlns="http://schemas.openxmlformats.org/package/2006/relationships"></Relationships>
</file>

<file path=word/_rels/footer105.xml.rels><?xml version="1.0" encoding="UTF-8" standalone="yes"?><Relationships xmlns="http://schemas.openxmlformats.org/package/2006/relationships"></Relationships>
</file>

<file path=word/_rels/footer106.xml.rels><?xml version="1.0" encoding="UTF-8" standalone="yes"?><Relationships xmlns="http://schemas.openxmlformats.org/package/2006/relationships"></Relationships>
</file>

<file path=word/_rels/footer107.xml.rels><?xml version="1.0" encoding="UTF-8" standalone="yes"?><Relationships xmlns="http://schemas.openxmlformats.org/package/2006/relationships"></Relationships>
</file>

<file path=word/_rels/footer108.xml.rels><?xml version="1.0" encoding="UTF-8" standalone="yes"?><Relationships xmlns="http://schemas.openxmlformats.org/package/2006/relationships"></Relationships>
</file>

<file path=word/_rels/footer109.xml.rels><?xml version="1.0" encoding="UTF-8" standalone="yes"?><Relationships xmlns="http://schemas.openxmlformats.org/package/2006/relationships"></Relationships>
</file>

<file path=word/_rels/footer11.xml.rels><?xml version="1.0" encoding="UTF-8" standalone="yes"?><Relationships xmlns="http://schemas.openxmlformats.org/package/2006/relationships"></Relationships>
</file>

<file path=word/_rels/footer110.xml.rels><?xml version="1.0" encoding="UTF-8" standalone="yes"?><Relationships xmlns="http://schemas.openxmlformats.org/package/2006/relationships"></Relationships>
</file>

<file path=word/_rels/footer111.xml.rels><?xml version="1.0" encoding="UTF-8" standalone="yes"?><Relationships xmlns="http://schemas.openxmlformats.org/package/2006/relationships"></Relationships>
</file>

<file path=word/_rels/footer112.xml.rels><?xml version="1.0" encoding="UTF-8" standalone="yes"?><Relationships xmlns="http://schemas.openxmlformats.org/package/2006/relationships"></Relationships>
</file>

<file path=word/_rels/footer113.xml.rels><?xml version="1.0" encoding="UTF-8" standalone="yes"?><Relationships xmlns="http://schemas.openxmlformats.org/package/2006/relationships"></Relationships>
</file>

<file path=word/_rels/footer114.xml.rels><?xml version="1.0" encoding="UTF-8" standalone="yes"?><Relationships xmlns="http://schemas.openxmlformats.org/package/2006/relationships"></Relationships>
</file>

<file path=word/_rels/footer115.xml.rels><?xml version="1.0" encoding="UTF-8" standalone="yes"?><Relationships xmlns="http://schemas.openxmlformats.org/package/2006/relationships"></Relationships>
</file>

<file path=word/_rels/footer116.xml.rels><?xml version="1.0" encoding="UTF-8" standalone="yes"?><Relationships xmlns="http://schemas.openxmlformats.org/package/2006/relationships"></Relationships>
</file>

<file path=word/_rels/footer117.xml.rels><?xml version="1.0" encoding="UTF-8" standalone="yes"?><Relationships xmlns="http://schemas.openxmlformats.org/package/2006/relationships"></Relationships>
</file>

<file path=word/_rels/footer118.xml.rels><?xml version="1.0" encoding="UTF-8" standalone="yes"?><Relationships xmlns="http://schemas.openxmlformats.org/package/2006/relationships"></Relationships>
</file>

<file path=word/_rels/footer119.xml.rels><?xml version="1.0" encoding="UTF-8" standalone="yes"?><Relationships xmlns="http://schemas.openxmlformats.org/package/2006/relationships"></Relationships>
</file>

<file path=word/_rels/footer12.xml.rels><?xml version="1.0" encoding="UTF-8" standalone="yes"?><Relationships xmlns="http://schemas.openxmlformats.org/package/2006/relationships"></Relationships>
</file>

<file path=word/_rels/footer120.xml.rels><?xml version="1.0" encoding="UTF-8" standalone="yes"?><Relationships xmlns="http://schemas.openxmlformats.org/package/2006/relationships"></Relationships>
</file>

<file path=word/_rels/footer121.xml.rels><?xml version="1.0" encoding="UTF-8" standalone="yes"?><Relationships xmlns="http://schemas.openxmlformats.org/package/2006/relationships"></Relationships>
</file>

<file path=word/_rels/footer122.xml.rels><?xml version="1.0" encoding="UTF-8" standalone="yes"?><Relationships xmlns="http://schemas.openxmlformats.org/package/2006/relationships"></Relationships>
</file>

<file path=word/_rels/footer123.xml.rels><?xml version="1.0" encoding="UTF-8" standalone="yes"?><Relationships xmlns="http://schemas.openxmlformats.org/package/2006/relationships"></Relationships>
</file>

<file path=word/_rels/footer124.xml.rels><?xml version="1.0" encoding="UTF-8" standalone="yes"?><Relationships xmlns="http://schemas.openxmlformats.org/package/2006/relationships"></Relationships>
</file>

<file path=word/_rels/footer125.xml.rels><?xml version="1.0" encoding="UTF-8" standalone="yes"?><Relationships xmlns="http://schemas.openxmlformats.org/package/2006/relationships"></Relationships>
</file>

<file path=word/_rels/footer126.xml.rels><?xml version="1.0" encoding="UTF-8" standalone="yes"?><Relationships xmlns="http://schemas.openxmlformats.org/package/2006/relationships"></Relationships>
</file>

<file path=word/_rels/footer127.xml.rels><?xml version="1.0" encoding="UTF-8" standalone="yes"?><Relationships xmlns="http://schemas.openxmlformats.org/package/2006/relationships"></Relationships>
</file>

<file path=word/_rels/footer128.xml.rels><?xml version="1.0" encoding="UTF-8" standalone="yes"?><Relationships xmlns="http://schemas.openxmlformats.org/package/2006/relationships"></Relationships>
</file>

<file path=word/_rels/footer129.xml.rels><?xml version="1.0" encoding="UTF-8" standalone="yes"?><Relationships xmlns="http://schemas.openxmlformats.org/package/2006/relationships"></Relationships>
</file>

<file path=word/_rels/footer13.xml.rels><?xml version="1.0" encoding="UTF-8" standalone="yes"?><Relationships xmlns="http://schemas.openxmlformats.org/package/2006/relationships"></Relationships>
</file>

<file path=word/_rels/footer130.xml.rels><?xml version="1.0" encoding="UTF-8" standalone="yes"?><Relationships xmlns="http://schemas.openxmlformats.org/package/2006/relationships"></Relationships>
</file>

<file path=word/_rels/footer131.xml.rels><?xml version="1.0" encoding="UTF-8" standalone="yes"?><Relationships xmlns="http://schemas.openxmlformats.org/package/2006/relationships"></Relationships>
</file>

<file path=word/_rels/footer132.xml.rels><?xml version="1.0" encoding="UTF-8" standalone="yes"?><Relationships xmlns="http://schemas.openxmlformats.org/package/2006/relationships"></Relationships>
</file>

<file path=word/_rels/footer133.xml.rels><?xml version="1.0" encoding="UTF-8" standalone="yes"?><Relationships xmlns="http://schemas.openxmlformats.org/package/2006/relationships"></Relationships>
</file>

<file path=word/_rels/footer134.xml.rels><?xml version="1.0" encoding="UTF-8" standalone="yes"?><Relationships xmlns="http://schemas.openxmlformats.org/package/2006/relationships"></Relationships>
</file>

<file path=word/_rels/footer135.xml.rels><?xml version="1.0" encoding="UTF-8" standalone="yes"?><Relationships xmlns="http://schemas.openxmlformats.org/package/2006/relationships"></Relationships>
</file>

<file path=word/_rels/footer136.xml.rels><?xml version="1.0" encoding="UTF-8" standalone="yes"?><Relationships xmlns="http://schemas.openxmlformats.org/package/2006/relationships"></Relationships>
</file>

<file path=word/_rels/footer137.xml.rels><?xml version="1.0" encoding="UTF-8" standalone="yes"?><Relationships xmlns="http://schemas.openxmlformats.org/package/2006/relationships"></Relationships>
</file>

<file path=word/_rels/footer138.xml.rels><?xml version="1.0" encoding="UTF-8" standalone="yes"?><Relationships xmlns="http://schemas.openxmlformats.org/package/2006/relationships"></Relationships>
</file>

<file path=word/_rels/footer139.xml.rels><?xml version="1.0" encoding="UTF-8" standalone="yes"?><Relationships xmlns="http://schemas.openxmlformats.org/package/2006/relationships"></Relationships>
</file>

<file path=word/_rels/footer14.xml.rels><?xml version="1.0" encoding="UTF-8" standalone="yes"?><Relationships xmlns="http://schemas.openxmlformats.org/package/2006/relationships"></Relationships>
</file>

<file path=word/_rels/footer140.xml.rels><?xml version="1.0" encoding="UTF-8" standalone="yes"?><Relationships xmlns="http://schemas.openxmlformats.org/package/2006/relationships"></Relationships>
</file>

<file path=word/_rels/footer141.xml.rels><?xml version="1.0" encoding="UTF-8" standalone="yes"?><Relationships xmlns="http://schemas.openxmlformats.org/package/2006/relationships"></Relationships>
</file>

<file path=word/_rels/footer142.xml.rels><?xml version="1.0" encoding="UTF-8" standalone="yes"?><Relationships xmlns="http://schemas.openxmlformats.org/package/2006/relationships"></Relationships>
</file>

<file path=word/_rels/footer143.xml.rels><?xml version="1.0" encoding="UTF-8" standalone="yes"?><Relationships xmlns="http://schemas.openxmlformats.org/package/2006/relationships"></Relationships>
</file>

<file path=word/_rels/footer144.xml.rels><?xml version="1.0" encoding="UTF-8" standalone="yes"?><Relationships xmlns="http://schemas.openxmlformats.org/package/2006/relationships"></Relationships>
</file>

<file path=word/_rels/footer145.xml.rels><?xml version="1.0" encoding="UTF-8" standalone="yes"?><Relationships xmlns="http://schemas.openxmlformats.org/package/2006/relationships"></Relationships>
</file>

<file path=word/_rels/footer146.xml.rels><?xml version="1.0" encoding="UTF-8" standalone="yes"?><Relationships xmlns="http://schemas.openxmlformats.org/package/2006/relationships"></Relationships>
</file>

<file path=word/_rels/footer147.xml.rels><?xml version="1.0" encoding="UTF-8" standalone="yes"?><Relationships xmlns="http://schemas.openxmlformats.org/package/2006/relationships"></Relationships>
</file>

<file path=word/_rels/footer148.xml.rels><?xml version="1.0" encoding="UTF-8" standalone="yes"?><Relationships xmlns="http://schemas.openxmlformats.org/package/2006/relationships"></Relationships>
</file>

<file path=word/_rels/footer149.xml.rels><?xml version="1.0" encoding="UTF-8" standalone="yes"?><Relationships xmlns="http://schemas.openxmlformats.org/package/2006/relationships"></Relationships>
</file>

<file path=word/_rels/footer15.xml.rels><?xml version="1.0" encoding="UTF-8" standalone="yes"?><Relationships xmlns="http://schemas.openxmlformats.org/package/2006/relationships"></Relationships>
</file>

<file path=word/_rels/footer150.xml.rels><?xml version="1.0" encoding="UTF-8" standalone="yes"?><Relationships xmlns="http://schemas.openxmlformats.org/package/2006/relationships"></Relationships>
</file>

<file path=word/_rels/footer151.xml.rels><?xml version="1.0" encoding="UTF-8" standalone="yes"?><Relationships xmlns="http://schemas.openxmlformats.org/package/2006/relationships"></Relationships>
</file>

<file path=word/_rels/footer152.xml.rels><?xml version="1.0" encoding="UTF-8" standalone="yes"?><Relationships xmlns="http://schemas.openxmlformats.org/package/2006/relationships"></Relationships>
</file>

<file path=word/_rels/footer153.xml.rels><?xml version="1.0" encoding="UTF-8" standalone="yes"?><Relationships xmlns="http://schemas.openxmlformats.org/package/2006/relationships"></Relationships>
</file>

<file path=word/_rels/footer154.xml.rels><?xml version="1.0" encoding="UTF-8" standalone="yes"?><Relationships xmlns="http://schemas.openxmlformats.org/package/2006/relationships"></Relationships>
</file>

<file path=word/_rels/footer155.xml.rels><?xml version="1.0" encoding="UTF-8" standalone="yes"?><Relationships xmlns="http://schemas.openxmlformats.org/package/2006/relationships"></Relationships>
</file>

<file path=word/_rels/footer156.xml.rels><?xml version="1.0" encoding="UTF-8" standalone="yes"?><Relationships xmlns="http://schemas.openxmlformats.org/package/2006/relationships"></Relationships>
</file>

<file path=word/_rels/footer157.xml.rels><?xml version="1.0" encoding="UTF-8" standalone="yes"?><Relationships xmlns="http://schemas.openxmlformats.org/package/2006/relationships"></Relationships>
</file>

<file path=word/_rels/footer158.xml.rels><?xml version="1.0" encoding="UTF-8" standalone="yes"?><Relationships xmlns="http://schemas.openxmlformats.org/package/2006/relationships"></Relationships>
</file>

<file path=word/_rels/footer159.xml.rels><?xml version="1.0" encoding="UTF-8" standalone="yes"?><Relationships xmlns="http://schemas.openxmlformats.org/package/2006/relationships"></Relationships>
</file>

<file path=word/_rels/footer16.xml.rels><?xml version="1.0" encoding="UTF-8" standalone="yes"?><Relationships xmlns="http://schemas.openxmlformats.org/package/2006/relationships"></Relationships>
</file>

<file path=word/_rels/footer160.xml.rels><?xml version="1.0" encoding="UTF-8" standalone="yes"?><Relationships xmlns="http://schemas.openxmlformats.org/package/2006/relationships"></Relationships>
</file>

<file path=word/_rels/footer161.xml.rels><?xml version="1.0" encoding="UTF-8" standalone="yes"?><Relationships xmlns="http://schemas.openxmlformats.org/package/2006/relationships"></Relationships>
</file>

<file path=word/_rels/footer162.xml.rels><?xml version="1.0" encoding="UTF-8" standalone="yes"?><Relationships xmlns="http://schemas.openxmlformats.org/package/2006/relationships"></Relationships>
</file>

<file path=word/_rels/footer163.xml.rels><?xml version="1.0" encoding="UTF-8" standalone="yes"?><Relationships xmlns="http://schemas.openxmlformats.org/package/2006/relationships"></Relationships>
</file>

<file path=word/_rels/footer164.xml.rels><?xml version="1.0" encoding="UTF-8" standalone="yes"?><Relationships xmlns="http://schemas.openxmlformats.org/package/2006/relationships"></Relationships>
</file>

<file path=word/_rels/footer165.xml.rels><?xml version="1.0" encoding="UTF-8" standalone="yes"?><Relationships xmlns="http://schemas.openxmlformats.org/package/2006/relationships"></Relationships>
</file>

<file path=word/_rels/footer166.xml.rels><?xml version="1.0" encoding="UTF-8" standalone="yes"?><Relationships xmlns="http://schemas.openxmlformats.org/package/2006/relationships"></Relationships>
</file>

<file path=word/_rels/footer167.xml.rels><?xml version="1.0" encoding="UTF-8" standalone="yes"?><Relationships xmlns="http://schemas.openxmlformats.org/package/2006/relationships"></Relationships>
</file>

<file path=word/_rels/footer168.xml.rels><?xml version="1.0" encoding="UTF-8" standalone="yes"?><Relationships xmlns="http://schemas.openxmlformats.org/package/2006/relationships"></Relationships>
</file>

<file path=word/_rels/footer169.xml.rels><?xml version="1.0" encoding="UTF-8" standalone="yes"?><Relationships xmlns="http://schemas.openxmlformats.org/package/2006/relationships"></Relationships>
</file>

<file path=word/_rels/footer17.xml.rels><?xml version="1.0" encoding="UTF-8" standalone="yes"?><Relationships xmlns="http://schemas.openxmlformats.org/package/2006/relationships"></Relationships>
</file>

<file path=word/_rels/footer170.xml.rels><?xml version="1.0" encoding="UTF-8" standalone="yes"?><Relationships xmlns="http://schemas.openxmlformats.org/package/2006/relationships"></Relationships>
</file>

<file path=word/_rels/footer171.xml.rels><?xml version="1.0" encoding="UTF-8" standalone="yes"?><Relationships xmlns="http://schemas.openxmlformats.org/package/2006/relationships"></Relationships>
</file>

<file path=word/_rels/footer172.xml.rels><?xml version="1.0" encoding="UTF-8" standalone="yes"?><Relationships xmlns="http://schemas.openxmlformats.org/package/2006/relationships"></Relationships>
</file>

<file path=word/_rels/footer173.xml.rels><?xml version="1.0" encoding="UTF-8" standalone="yes"?><Relationships xmlns="http://schemas.openxmlformats.org/package/2006/relationships"></Relationships>
</file>

<file path=word/_rels/footer174.xml.rels><?xml version="1.0" encoding="UTF-8" standalone="yes"?><Relationships xmlns="http://schemas.openxmlformats.org/package/2006/relationships"></Relationships>
</file>

<file path=word/_rels/footer175.xml.rels><?xml version="1.0" encoding="UTF-8" standalone="yes"?><Relationships xmlns="http://schemas.openxmlformats.org/package/2006/relationships"></Relationships>
</file>

<file path=word/_rels/footer176.xml.rels><?xml version="1.0" encoding="UTF-8" standalone="yes"?><Relationships xmlns="http://schemas.openxmlformats.org/package/2006/relationships"></Relationships>
</file>

<file path=word/_rels/footer177.xml.rels><?xml version="1.0" encoding="UTF-8" standalone="yes"?><Relationships xmlns="http://schemas.openxmlformats.org/package/2006/relationships"></Relationships>
</file>

<file path=word/_rels/footer178.xml.rels><?xml version="1.0" encoding="UTF-8" standalone="yes"?><Relationships xmlns="http://schemas.openxmlformats.org/package/2006/relationships"></Relationships>
</file>

<file path=word/_rels/footer179.xml.rels><?xml version="1.0" encoding="UTF-8" standalone="yes"?><Relationships xmlns="http://schemas.openxmlformats.org/package/2006/relationships"></Relationships>
</file>

<file path=word/_rels/footer18.xml.rels><?xml version="1.0" encoding="UTF-8" standalone="yes"?><Relationships xmlns="http://schemas.openxmlformats.org/package/2006/relationships"></Relationships>
</file>

<file path=word/_rels/footer180.xml.rels><?xml version="1.0" encoding="UTF-8" standalone="yes"?><Relationships xmlns="http://schemas.openxmlformats.org/package/2006/relationships"></Relationships>
</file>

<file path=word/_rels/footer181.xml.rels><?xml version="1.0" encoding="UTF-8" standalone="yes"?><Relationships xmlns="http://schemas.openxmlformats.org/package/2006/relationships"></Relationships>
</file>

<file path=word/_rels/footer182.xml.rels><?xml version="1.0" encoding="UTF-8" standalone="yes"?><Relationships xmlns="http://schemas.openxmlformats.org/package/2006/relationships"></Relationships>
</file>

<file path=word/_rels/footer183.xml.rels><?xml version="1.0" encoding="UTF-8" standalone="yes"?><Relationships xmlns="http://schemas.openxmlformats.org/package/2006/relationships"></Relationships>
</file>

<file path=word/_rels/footer184.xml.rels><?xml version="1.0" encoding="UTF-8" standalone="yes"?><Relationships xmlns="http://schemas.openxmlformats.org/package/2006/relationships"></Relationships>
</file>

<file path=word/_rels/footer185.xml.rels><?xml version="1.0" encoding="UTF-8" standalone="yes"?><Relationships xmlns="http://schemas.openxmlformats.org/package/2006/relationships"></Relationships>
</file>

<file path=word/_rels/footer186.xml.rels><?xml version="1.0" encoding="UTF-8" standalone="yes"?><Relationships xmlns="http://schemas.openxmlformats.org/package/2006/relationships"></Relationships>
</file>

<file path=word/_rels/footer187.xml.rels><?xml version="1.0" encoding="UTF-8" standalone="yes"?><Relationships xmlns="http://schemas.openxmlformats.org/package/2006/relationships"></Relationships>
</file>

<file path=word/_rels/footer188.xml.rels><?xml version="1.0" encoding="UTF-8" standalone="yes"?><Relationships xmlns="http://schemas.openxmlformats.org/package/2006/relationships"></Relationships>
</file>

<file path=word/_rels/footer189.xml.rels><?xml version="1.0" encoding="UTF-8" standalone="yes"?><Relationships xmlns="http://schemas.openxmlformats.org/package/2006/relationships"></Relationships>
</file>

<file path=word/_rels/footer19.xml.rels><?xml version="1.0" encoding="UTF-8" standalone="yes"?><Relationships xmlns="http://schemas.openxmlformats.org/package/2006/relationships"></Relationships>
</file>

<file path=word/_rels/footer190.xml.rels><?xml version="1.0" encoding="UTF-8" standalone="yes"?><Relationships xmlns="http://schemas.openxmlformats.org/package/2006/relationships"></Relationships>
</file>

<file path=word/_rels/footer191.xml.rels><?xml version="1.0" encoding="UTF-8" standalone="yes"?><Relationships xmlns="http://schemas.openxmlformats.org/package/2006/relationships"></Relationships>
</file>

<file path=word/_rels/footer192.xml.rels><?xml version="1.0" encoding="UTF-8" standalone="yes"?><Relationships xmlns="http://schemas.openxmlformats.org/package/2006/relationships"></Relationships>
</file>

<file path=word/_rels/footer193.xml.rels><?xml version="1.0" encoding="UTF-8" standalone="yes"?><Relationships xmlns="http://schemas.openxmlformats.org/package/2006/relationships"></Relationships>
</file>

<file path=word/_rels/footer194.xml.rels><?xml version="1.0" encoding="UTF-8" standalone="yes"?><Relationships xmlns="http://schemas.openxmlformats.org/package/2006/relationships"></Relationships>
</file>

<file path=word/_rels/footer195.xml.rels><?xml version="1.0" encoding="UTF-8" standalone="yes"?><Relationships xmlns="http://schemas.openxmlformats.org/package/2006/relationships"></Relationships>
</file>

<file path=word/_rels/footer196.xml.rels><?xml version="1.0" encoding="UTF-8" standalone="yes"?><Relationships xmlns="http://schemas.openxmlformats.org/package/2006/relationships"></Relationships>
</file>

<file path=word/_rels/footer197.xml.rels><?xml version="1.0" encoding="UTF-8" standalone="yes"?><Relationships xmlns="http://schemas.openxmlformats.org/package/2006/relationships"></Relationships>
</file>

<file path=word/_rels/footer198.xml.rels><?xml version="1.0" encoding="UTF-8" standalone="yes"?><Relationships xmlns="http://schemas.openxmlformats.org/package/2006/relationships"></Relationships>
</file>

<file path=word/_rels/footer199.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20.xml.rels><?xml version="1.0" encoding="UTF-8" standalone="yes"?><Relationships xmlns="http://schemas.openxmlformats.org/package/2006/relationships"></Relationships>
</file>

<file path=word/_rels/footer200.xml.rels><?xml version="1.0" encoding="UTF-8" standalone="yes"?><Relationships xmlns="http://schemas.openxmlformats.org/package/2006/relationships"></Relationships>
</file>

<file path=word/_rels/footer201.xml.rels><?xml version="1.0" encoding="UTF-8" standalone="yes"?><Relationships xmlns="http://schemas.openxmlformats.org/package/2006/relationships"></Relationships>
</file>

<file path=word/_rels/footer202.xml.rels><?xml version="1.0" encoding="UTF-8" standalone="yes"?><Relationships xmlns="http://schemas.openxmlformats.org/package/2006/relationships"></Relationships>
</file>

<file path=word/_rels/footer203.xml.rels><?xml version="1.0" encoding="UTF-8" standalone="yes"?><Relationships xmlns="http://schemas.openxmlformats.org/package/2006/relationships"></Relationships>
</file>

<file path=word/_rels/footer204.xml.rels><?xml version="1.0" encoding="UTF-8" standalone="yes"?><Relationships xmlns="http://schemas.openxmlformats.org/package/2006/relationships"></Relationships>
</file>

<file path=word/_rels/footer205.xml.rels><?xml version="1.0" encoding="UTF-8" standalone="yes"?><Relationships xmlns="http://schemas.openxmlformats.org/package/2006/relationships"></Relationships>
</file>

<file path=word/_rels/footer206.xml.rels><?xml version="1.0" encoding="UTF-8" standalone="yes"?><Relationships xmlns="http://schemas.openxmlformats.org/package/2006/relationships"></Relationships>
</file>

<file path=word/_rels/footer207.xml.rels><?xml version="1.0" encoding="UTF-8" standalone="yes"?><Relationships xmlns="http://schemas.openxmlformats.org/package/2006/relationships"></Relationships>
</file>

<file path=word/_rels/footer208.xml.rels><?xml version="1.0" encoding="UTF-8" standalone="yes"?><Relationships xmlns="http://schemas.openxmlformats.org/package/2006/relationships"></Relationships>
</file>

<file path=word/_rels/footer209.xml.rels><?xml version="1.0" encoding="UTF-8" standalone="yes"?><Relationships xmlns="http://schemas.openxmlformats.org/package/2006/relationships"></Relationships>
</file>

<file path=word/_rels/footer21.xml.rels><?xml version="1.0" encoding="UTF-8" standalone="yes"?><Relationships xmlns="http://schemas.openxmlformats.org/package/2006/relationships"></Relationships>
</file>

<file path=word/_rels/footer210.xml.rels><?xml version="1.0" encoding="UTF-8" standalone="yes"?><Relationships xmlns="http://schemas.openxmlformats.org/package/2006/relationships"></Relationships>
</file>

<file path=word/_rels/footer211.xml.rels><?xml version="1.0" encoding="UTF-8" standalone="yes"?><Relationships xmlns="http://schemas.openxmlformats.org/package/2006/relationships"></Relationships>
</file>

<file path=word/_rels/footer212.xml.rels><?xml version="1.0" encoding="UTF-8" standalone="yes"?><Relationships xmlns="http://schemas.openxmlformats.org/package/2006/relationships"></Relationships>
</file>

<file path=word/_rels/footer213.xml.rels><?xml version="1.0" encoding="UTF-8" standalone="yes"?><Relationships xmlns="http://schemas.openxmlformats.org/package/2006/relationships"></Relationships>
</file>

<file path=word/_rels/footer214.xml.rels><?xml version="1.0" encoding="UTF-8" standalone="yes"?><Relationships xmlns="http://schemas.openxmlformats.org/package/2006/relationships"></Relationships>
</file>

<file path=word/_rels/footer215.xml.rels><?xml version="1.0" encoding="UTF-8" standalone="yes"?><Relationships xmlns="http://schemas.openxmlformats.org/package/2006/relationships"></Relationships>
</file>

<file path=word/_rels/footer216.xml.rels><?xml version="1.0" encoding="UTF-8" standalone="yes"?><Relationships xmlns="http://schemas.openxmlformats.org/package/2006/relationships"></Relationships>
</file>

<file path=word/_rels/footer217.xml.rels><?xml version="1.0" encoding="UTF-8" standalone="yes"?><Relationships xmlns="http://schemas.openxmlformats.org/package/2006/relationships"></Relationships>
</file>

<file path=word/_rels/footer218.xml.rels><?xml version="1.0" encoding="UTF-8" standalone="yes"?><Relationships xmlns="http://schemas.openxmlformats.org/package/2006/relationships"></Relationships>
</file>

<file path=word/_rels/footer219.xml.rels><?xml version="1.0" encoding="UTF-8" standalone="yes"?><Relationships xmlns="http://schemas.openxmlformats.org/package/2006/relationships"></Relationships>
</file>

<file path=word/_rels/footer22.xml.rels><?xml version="1.0" encoding="UTF-8" standalone="yes"?><Relationships xmlns="http://schemas.openxmlformats.org/package/2006/relationships"></Relationships>
</file>

<file path=word/_rels/footer220.xml.rels><?xml version="1.0" encoding="UTF-8" standalone="yes"?><Relationships xmlns="http://schemas.openxmlformats.org/package/2006/relationships"></Relationships>
</file>

<file path=word/_rels/footer221.xml.rels><?xml version="1.0" encoding="UTF-8" standalone="yes"?><Relationships xmlns="http://schemas.openxmlformats.org/package/2006/relationships"></Relationships>
</file>

<file path=word/_rels/footer222.xml.rels><?xml version="1.0" encoding="UTF-8" standalone="yes"?><Relationships xmlns="http://schemas.openxmlformats.org/package/2006/relationships"></Relationships>
</file>

<file path=word/_rels/footer223.xml.rels><?xml version="1.0" encoding="UTF-8" standalone="yes"?><Relationships xmlns="http://schemas.openxmlformats.org/package/2006/relationships"></Relationships>
</file>

<file path=word/_rels/footer224.xml.rels><?xml version="1.0" encoding="UTF-8" standalone="yes"?><Relationships xmlns="http://schemas.openxmlformats.org/package/2006/relationships"></Relationships>
</file>

<file path=word/_rels/footer225.xml.rels><?xml version="1.0" encoding="UTF-8" standalone="yes"?><Relationships xmlns="http://schemas.openxmlformats.org/package/2006/relationships"></Relationships>
</file>

<file path=word/_rels/footer226.xml.rels><?xml version="1.0" encoding="UTF-8" standalone="yes"?><Relationships xmlns="http://schemas.openxmlformats.org/package/2006/relationships"></Relationships>
</file>

<file path=word/_rels/footer227.xml.rels><?xml version="1.0" encoding="UTF-8" standalone="yes"?><Relationships xmlns="http://schemas.openxmlformats.org/package/2006/relationships"></Relationships>
</file>

<file path=word/_rels/footer228.xml.rels><?xml version="1.0" encoding="UTF-8" standalone="yes"?><Relationships xmlns="http://schemas.openxmlformats.org/package/2006/relationships"></Relationships>
</file>

<file path=word/_rels/footer229.xml.rels><?xml version="1.0" encoding="UTF-8" standalone="yes"?><Relationships xmlns="http://schemas.openxmlformats.org/package/2006/relationships"></Relationships>
</file>

<file path=word/_rels/footer23.xml.rels><?xml version="1.0" encoding="UTF-8" standalone="yes"?><Relationships xmlns="http://schemas.openxmlformats.org/package/2006/relationships"></Relationships>
</file>

<file path=word/_rels/footer230.xml.rels><?xml version="1.0" encoding="UTF-8" standalone="yes"?><Relationships xmlns="http://schemas.openxmlformats.org/package/2006/relationships"></Relationships>
</file>

<file path=word/_rels/footer231.xml.rels><?xml version="1.0" encoding="UTF-8" standalone="yes"?><Relationships xmlns="http://schemas.openxmlformats.org/package/2006/relationships"></Relationships>
</file>

<file path=word/_rels/footer232.xml.rels><?xml version="1.0" encoding="UTF-8" standalone="yes"?><Relationships xmlns="http://schemas.openxmlformats.org/package/2006/relationships"></Relationships>
</file>

<file path=word/_rels/footer233.xml.rels><?xml version="1.0" encoding="UTF-8" standalone="yes"?><Relationships xmlns="http://schemas.openxmlformats.org/package/2006/relationships"></Relationships>
</file>

<file path=word/_rels/footer234.xml.rels><?xml version="1.0" encoding="UTF-8" standalone="yes"?><Relationships xmlns="http://schemas.openxmlformats.org/package/2006/relationships"></Relationships>
</file>

<file path=word/_rels/footer235.xml.rels><?xml version="1.0" encoding="UTF-8" standalone="yes"?><Relationships xmlns="http://schemas.openxmlformats.org/package/2006/relationships"></Relationships>
</file>

<file path=word/_rels/footer236.xml.rels><?xml version="1.0" encoding="UTF-8" standalone="yes"?><Relationships xmlns="http://schemas.openxmlformats.org/package/2006/relationships"></Relationships>
</file>

<file path=word/_rels/footer237.xml.rels><?xml version="1.0" encoding="UTF-8" standalone="yes"?><Relationships xmlns="http://schemas.openxmlformats.org/package/2006/relationships"></Relationships>
</file>

<file path=word/_rels/footer238.xml.rels><?xml version="1.0" encoding="UTF-8" standalone="yes"?><Relationships xmlns="http://schemas.openxmlformats.org/package/2006/relationships"></Relationships>
</file>

<file path=word/_rels/footer239.xml.rels><?xml version="1.0" encoding="UTF-8" standalone="yes"?><Relationships xmlns="http://schemas.openxmlformats.org/package/2006/relationships"></Relationships>
</file>

<file path=word/_rels/footer24.xml.rels><?xml version="1.0" encoding="UTF-8" standalone="yes"?><Relationships xmlns="http://schemas.openxmlformats.org/package/2006/relationships"></Relationships>
</file>

<file path=word/_rels/footer240.xml.rels><?xml version="1.0" encoding="UTF-8" standalone="yes"?><Relationships xmlns="http://schemas.openxmlformats.org/package/2006/relationships"></Relationships>
</file>

<file path=word/_rels/footer241.xml.rels><?xml version="1.0" encoding="UTF-8" standalone="yes"?><Relationships xmlns="http://schemas.openxmlformats.org/package/2006/relationships"></Relationships>
</file>

<file path=word/_rels/footer242.xml.rels><?xml version="1.0" encoding="UTF-8" standalone="yes"?><Relationships xmlns="http://schemas.openxmlformats.org/package/2006/relationships"></Relationships>
</file>

<file path=word/_rels/footer243.xml.rels><?xml version="1.0" encoding="UTF-8" standalone="yes"?><Relationships xmlns="http://schemas.openxmlformats.org/package/2006/relationships"></Relationships>
</file>

<file path=word/_rels/footer244.xml.rels><?xml version="1.0" encoding="UTF-8" standalone="yes"?><Relationships xmlns="http://schemas.openxmlformats.org/package/2006/relationships"></Relationships>
</file>

<file path=word/_rels/footer245.xml.rels><?xml version="1.0" encoding="UTF-8" standalone="yes"?><Relationships xmlns="http://schemas.openxmlformats.org/package/2006/relationships"></Relationships>
</file>

<file path=word/_rels/footer246.xml.rels><?xml version="1.0" encoding="UTF-8" standalone="yes"?><Relationships xmlns="http://schemas.openxmlformats.org/package/2006/relationships"></Relationships>
</file>

<file path=word/_rels/footer247.xml.rels><?xml version="1.0" encoding="UTF-8" standalone="yes"?><Relationships xmlns="http://schemas.openxmlformats.org/package/2006/relationships"></Relationships>
</file>

<file path=word/_rels/footer248.xml.rels><?xml version="1.0" encoding="UTF-8" standalone="yes"?><Relationships xmlns="http://schemas.openxmlformats.org/package/2006/relationships"></Relationships>
</file>

<file path=word/_rels/footer249.xml.rels><?xml version="1.0" encoding="UTF-8" standalone="yes"?><Relationships xmlns="http://schemas.openxmlformats.org/package/2006/relationships"></Relationships>
</file>

<file path=word/_rels/footer25.xml.rels><?xml version="1.0" encoding="UTF-8" standalone="yes"?><Relationships xmlns="http://schemas.openxmlformats.org/package/2006/relationships"></Relationships>
</file>

<file path=word/_rels/footer250.xml.rels><?xml version="1.0" encoding="UTF-8" standalone="yes"?><Relationships xmlns="http://schemas.openxmlformats.org/package/2006/relationships"></Relationships>
</file>

<file path=word/_rels/footer251.xml.rels><?xml version="1.0" encoding="UTF-8" standalone="yes"?><Relationships xmlns="http://schemas.openxmlformats.org/package/2006/relationships"></Relationships>
</file>

<file path=word/_rels/footer252.xml.rels><?xml version="1.0" encoding="UTF-8" standalone="yes"?><Relationships xmlns="http://schemas.openxmlformats.org/package/2006/relationships"></Relationships>
</file>

<file path=word/_rels/footer253.xml.rels><?xml version="1.0" encoding="UTF-8" standalone="yes"?><Relationships xmlns="http://schemas.openxmlformats.org/package/2006/relationships"></Relationships>
</file>

<file path=word/_rels/footer254.xml.rels><?xml version="1.0" encoding="UTF-8" standalone="yes"?><Relationships xmlns="http://schemas.openxmlformats.org/package/2006/relationships"></Relationships>
</file>

<file path=word/_rels/footer255.xml.rels><?xml version="1.0" encoding="UTF-8" standalone="yes"?><Relationships xmlns="http://schemas.openxmlformats.org/package/2006/relationships"></Relationships>
</file>

<file path=word/_rels/footer256.xml.rels><?xml version="1.0" encoding="UTF-8" standalone="yes"?><Relationships xmlns="http://schemas.openxmlformats.org/package/2006/relationships"></Relationships>
</file>

<file path=word/_rels/footer257.xml.rels><?xml version="1.0" encoding="UTF-8" standalone="yes"?><Relationships xmlns="http://schemas.openxmlformats.org/package/2006/relationships"></Relationships>
</file>

<file path=word/_rels/footer258.xml.rels><?xml version="1.0" encoding="UTF-8" standalone="yes"?><Relationships xmlns="http://schemas.openxmlformats.org/package/2006/relationships"></Relationships>
</file>

<file path=word/_rels/footer259.xml.rels><?xml version="1.0" encoding="UTF-8" standalone="yes"?><Relationships xmlns="http://schemas.openxmlformats.org/package/2006/relationships"></Relationships>
</file>

<file path=word/_rels/footer26.xml.rels><?xml version="1.0" encoding="UTF-8" standalone="yes"?><Relationships xmlns="http://schemas.openxmlformats.org/package/2006/relationships"></Relationships>
</file>

<file path=word/_rels/footer260.xml.rels><?xml version="1.0" encoding="UTF-8" standalone="yes"?><Relationships xmlns="http://schemas.openxmlformats.org/package/2006/relationships"></Relationships>
</file>

<file path=word/_rels/footer261.xml.rels><?xml version="1.0" encoding="UTF-8" standalone="yes"?><Relationships xmlns="http://schemas.openxmlformats.org/package/2006/relationships"></Relationships>
</file>

<file path=word/_rels/footer262.xml.rels><?xml version="1.0" encoding="UTF-8" standalone="yes"?><Relationships xmlns="http://schemas.openxmlformats.org/package/2006/relationships"></Relationships>
</file>

<file path=word/_rels/footer263.xml.rels><?xml version="1.0" encoding="UTF-8" standalone="yes"?><Relationships xmlns="http://schemas.openxmlformats.org/package/2006/relationships"></Relationships>
</file>

<file path=word/_rels/footer264.xml.rels><?xml version="1.0" encoding="UTF-8" standalone="yes"?><Relationships xmlns="http://schemas.openxmlformats.org/package/2006/relationships"></Relationships>
</file>

<file path=word/_rels/footer265.xml.rels><?xml version="1.0" encoding="UTF-8" standalone="yes"?><Relationships xmlns="http://schemas.openxmlformats.org/package/2006/relationships"></Relationships>
</file>

<file path=word/_rels/footer266.xml.rels><?xml version="1.0" encoding="UTF-8" standalone="yes"?><Relationships xmlns="http://schemas.openxmlformats.org/package/2006/relationships"></Relationships>
</file>

<file path=word/_rels/footer267.xml.rels><?xml version="1.0" encoding="UTF-8" standalone="yes"?><Relationships xmlns="http://schemas.openxmlformats.org/package/2006/relationships"></Relationships>
</file>

<file path=word/_rels/footer268.xml.rels><?xml version="1.0" encoding="UTF-8" standalone="yes"?><Relationships xmlns="http://schemas.openxmlformats.org/package/2006/relationships"></Relationships>
</file>

<file path=word/_rels/footer269.xml.rels><?xml version="1.0" encoding="UTF-8" standalone="yes"?><Relationships xmlns="http://schemas.openxmlformats.org/package/2006/relationships"></Relationships>
</file>

<file path=word/_rels/footer27.xml.rels><?xml version="1.0" encoding="UTF-8" standalone="yes"?><Relationships xmlns="http://schemas.openxmlformats.org/package/2006/relationships"></Relationships>
</file>

<file path=word/_rels/footer270.xml.rels><?xml version="1.0" encoding="UTF-8" standalone="yes"?><Relationships xmlns="http://schemas.openxmlformats.org/package/2006/relationships"></Relationships>
</file>

<file path=word/_rels/footer271.xml.rels><?xml version="1.0" encoding="UTF-8" standalone="yes"?><Relationships xmlns="http://schemas.openxmlformats.org/package/2006/relationships"></Relationships>
</file>

<file path=word/_rels/footer272.xml.rels><?xml version="1.0" encoding="UTF-8" standalone="yes"?><Relationships xmlns="http://schemas.openxmlformats.org/package/2006/relationships"></Relationships>
</file>

<file path=word/_rels/footer273.xml.rels><?xml version="1.0" encoding="UTF-8" standalone="yes"?><Relationships xmlns="http://schemas.openxmlformats.org/package/2006/relationships"></Relationships>
</file>

<file path=word/_rels/footer28.xml.rels><?xml version="1.0" encoding="UTF-8" standalone="yes"?><Relationships xmlns="http://schemas.openxmlformats.org/package/2006/relationships"></Relationships>
</file>

<file path=word/_rels/footer29.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30.xml.rels><?xml version="1.0" encoding="UTF-8" standalone="yes"?><Relationships xmlns="http://schemas.openxmlformats.org/package/2006/relationships"></Relationships>
</file>

<file path=word/_rels/footer31.xml.rels><?xml version="1.0" encoding="UTF-8" standalone="yes"?><Relationships xmlns="http://schemas.openxmlformats.org/package/2006/relationships"></Relationships>
</file>

<file path=word/_rels/footer32.xml.rels><?xml version="1.0" encoding="UTF-8" standalone="yes"?><Relationships xmlns="http://schemas.openxmlformats.org/package/2006/relationships"></Relationships>
</file>

<file path=word/_rels/footer33.xml.rels><?xml version="1.0" encoding="UTF-8" standalone="yes"?><Relationships xmlns="http://schemas.openxmlformats.org/package/2006/relationships"></Relationships>
</file>

<file path=word/_rels/footer34.xml.rels><?xml version="1.0" encoding="UTF-8" standalone="yes"?><Relationships xmlns="http://schemas.openxmlformats.org/package/2006/relationships"></Relationships>
</file>

<file path=word/_rels/footer35.xml.rels><?xml version="1.0" encoding="UTF-8" standalone="yes"?><Relationships xmlns="http://schemas.openxmlformats.org/package/2006/relationships"></Relationships>
</file>

<file path=word/_rels/footer36.xml.rels><?xml version="1.0" encoding="UTF-8" standalone="yes"?><Relationships xmlns="http://schemas.openxmlformats.org/package/2006/relationships"></Relationships>
</file>

<file path=word/_rels/footer37.xml.rels><?xml version="1.0" encoding="UTF-8" standalone="yes"?><Relationships xmlns="http://schemas.openxmlformats.org/package/2006/relationships"></Relationships>
</file>

<file path=word/_rels/footer38.xml.rels><?xml version="1.0" encoding="UTF-8" standalone="yes"?><Relationships xmlns="http://schemas.openxmlformats.org/package/2006/relationships"></Relationships>
</file>

<file path=word/_rels/footer39.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40.xml.rels><?xml version="1.0" encoding="UTF-8" standalone="yes"?><Relationships xmlns="http://schemas.openxmlformats.org/package/2006/relationships"></Relationships>
</file>

<file path=word/_rels/footer41.xml.rels><?xml version="1.0" encoding="UTF-8" standalone="yes"?><Relationships xmlns="http://schemas.openxmlformats.org/package/2006/relationships"></Relationships>
</file>

<file path=word/_rels/footer42.xml.rels><?xml version="1.0" encoding="UTF-8" standalone="yes"?><Relationships xmlns="http://schemas.openxmlformats.org/package/2006/relationships"></Relationships>
</file>

<file path=word/_rels/footer43.xml.rels><?xml version="1.0" encoding="UTF-8" standalone="yes"?><Relationships xmlns="http://schemas.openxmlformats.org/package/2006/relationships"></Relationships>
</file>

<file path=word/_rels/footer44.xml.rels><?xml version="1.0" encoding="UTF-8" standalone="yes"?><Relationships xmlns="http://schemas.openxmlformats.org/package/2006/relationships"></Relationships>
</file>

<file path=word/_rels/footer45.xml.rels><?xml version="1.0" encoding="UTF-8" standalone="yes"?><Relationships xmlns="http://schemas.openxmlformats.org/package/2006/relationships"></Relationships>
</file>

<file path=word/_rels/footer46.xml.rels><?xml version="1.0" encoding="UTF-8" standalone="yes"?><Relationships xmlns="http://schemas.openxmlformats.org/package/2006/relationships"></Relationships>
</file>

<file path=word/_rels/footer47.xml.rels><?xml version="1.0" encoding="UTF-8" standalone="yes"?><Relationships xmlns="http://schemas.openxmlformats.org/package/2006/relationships"></Relationships>
</file>

<file path=word/_rels/footer48.xml.rels><?xml version="1.0" encoding="UTF-8" standalone="yes"?><Relationships xmlns="http://schemas.openxmlformats.org/package/2006/relationships"></Relationships>
</file>

<file path=word/_rels/footer49.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er50.xml.rels><?xml version="1.0" encoding="UTF-8" standalone="yes"?><Relationships xmlns="http://schemas.openxmlformats.org/package/2006/relationships"></Relationships>
</file>

<file path=word/_rels/footer51.xml.rels><?xml version="1.0" encoding="UTF-8" standalone="yes"?><Relationships xmlns="http://schemas.openxmlformats.org/package/2006/relationships"></Relationships>
</file>

<file path=word/_rels/footer52.xml.rels><?xml version="1.0" encoding="UTF-8" standalone="yes"?><Relationships xmlns="http://schemas.openxmlformats.org/package/2006/relationships"></Relationships>
</file>

<file path=word/_rels/footer53.xml.rels><?xml version="1.0" encoding="UTF-8" standalone="yes"?><Relationships xmlns="http://schemas.openxmlformats.org/package/2006/relationships"></Relationships>
</file>

<file path=word/_rels/footer54.xml.rels><?xml version="1.0" encoding="UTF-8" standalone="yes"?><Relationships xmlns="http://schemas.openxmlformats.org/package/2006/relationships"></Relationships>
</file>

<file path=word/_rels/footer55.xml.rels><?xml version="1.0" encoding="UTF-8" standalone="yes"?><Relationships xmlns="http://schemas.openxmlformats.org/package/2006/relationships"></Relationships>
</file>

<file path=word/_rels/footer56.xml.rels><?xml version="1.0" encoding="UTF-8" standalone="yes"?><Relationships xmlns="http://schemas.openxmlformats.org/package/2006/relationships"></Relationships>
</file>

<file path=word/_rels/footer57.xml.rels><?xml version="1.0" encoding="UTF-8" standalone="yes"?><Relationships xmlns="http://schemas.openxmlformats.org/package/2006/relationships"></Relationships>
</file>

<file path=word/_rels/footer58.xml.rels><?xml version="1.0" encoding="UTF-8" standalone="yes"?><Relationships xmlns="http://schemas.openxmlformats.org/package/2006/relationships"></Relationships>
</file>

<file path=word/_rels/footer59.xml.rels><?xml version="1.0" encoding="UTF-8" standalone="yes"?><Relationships xmlns="http://schemas.openxmlformats.org/package/2006/relationships"></Relationships>
</file>

<file path=word/_rels/footer6.xml.rels><?xml version="1.0" encoding="UTF-8" standalone="yes"?><Relationships xmlns="http://schemas.openxmlformats.org/package/2006/relationships"></Relationships>
</file>

<file path=word/_rels/footer60.xml.rels><?xml version="1.0" encoding="UTF-8" standalone="yes"?><Relationships xmlns="http://schemas.openxmlformats.org/package/2006/relationships"></Relationships>
</file>

<file path=word/_rels/footer61.xml.rels><?xml version="1.0" encoding="UTF-8" standalone="yes"?><Relationships xmlns="http://schemas.openxmlformats.org/package/2006/relationships"></Relationships>
</file>

<file path=word/_rels/footer62.xml.rels><?xml version="1.0" encoding="UTF-8" standalone="yes"?><Relationships xmlns="http://schemas.openxmlformats.org/package/2006/relationships"></Relationships>
</file>

<file path=word/_rels/footer63.xml.rels><?xml version="1.0" encoding="UTF-8" standalone="yes"?><Relationships xmlns="http://schemas.openxmlformats.org/package/2006/relationships"></Relationships>
</file>

<file path=word/_rels/footer64.xml.rels><?xml version="1.0" encoding="UTF-8" standalone="yes"?><Relationships xmlns="http://schemas.openxmlformats.org/package/2006/relationships"></Relationships>
</file>

<file path=word/_rels/footer65.xml.rels><?xml version="1.0" encoding="UTF-8" standalone="yes"?><Relationships xmlns="http://schemas.openxmlformats.org/package/2006/relationships"></Relationships>
</file>

<file path=word/_rels/footer66.xml.rels><?xml version="1.0" encoding="UTF-8" standalone="yes"?><Relationships xmlns="http://schemas.openxmlformats.org/package/2006/relationships"></Relationships>
</file>

<file path=word/_rels/footer67.xml.rels><?xml version="1.0" encoding="UTF-8" standalone="yes"?><Relationships xmlns="http://schemas.openxmlformats.org/package/2006/relationships"></Relationships>
</file>

<file path=word/_rels/footer68.xml.rels><?xml version="1.0" encoding="UTF-8" standalone="yes"?><Relationships xmlns="http://schemas.openxmlformats.org/package/2006/relationships"></Relationships>
</file>

<file path=word/_rels/footer69.xml.rels><?xml version="1.0" encoding="UTF-8" standalone="yes"?><Relationships xmlns="http://schemas.openxmlformats.org/package/2006/relationships"></Relationships>
</file>

<file path=word/_rels/footer7.xml.rels><?xml version="1.0" encoding="UTF-8" standalone="yes"?><Relationships xmlns="http://schemas.openxmlformats.org/package/2006/relationships"></Relationships>
</file>

<file path=word/_rels/footer70.xml.rels><?xml version="1.0" encoding="UTF-8" standalone="yes"?><Relationships xmlns="http://schemas.openxmlformats.org/package/2006/relationships"></Relationships>
</file>

<file path=word/_rels/footer71.xml.rels><?xml version="1.0" encoding="UTF-8" standalone="yes"?><Relationships xmlns="http://schemas.openxmlformats.org/package/2006/relationships"></Relationships>
</file>

<file path=word/_rels/footer72.xml.rels><?xml version="1.0" encoding="UTF-8" standalone="yes"?><Relationships xmlns="http://schemas.openxmlformats.org/package/2006/relationships"></Relationships>
</file>

<file path=word/_rels/footer73.xml.rels><?xml version="1.0" encoding="UTF-8" standalone="yes"?><Relationships xmlns="http://schemas.openxmlformats.org/package/2006/relationships"></Relationships>
</file>

<file path=word/_rels/footer74.xml.rels><?xml version="1.0" encoding="UTF-8" standalone="yes"?><Relationships xmlns="http://schemas.openxmlformats.org/package/2006/relationships"></Relationships>
</file>

<file path=word/_rels/footer75.xml.rels><?xml version="1.0" encoding="UTF-8" standalone="yes"?><Relationships xmlns="http://schemas.openxmlformats.org/package/2006/relationships"></Relationships>
</file>

<file path=word/_rels/footer76.xml.rels><?xml version="1.0" encoding="UTF-8" standalone="yes"?><Relationships xmlns="http://schemas.openxmlformats.org/package/2006/relationships"></Relationships>
</file>

<file path=word/_rels/footer77.xml.rels><?xml version="1.0" encoding="UTF-8" standalone="yes"?><Relationships xmlns="http://schemas.openxmlformats.org/package/2006/relationships"></Relationships>
</file>

<file path=word/_rels/footer78.xml.rels><?xml version="1.0" encoding="UTF-8" standalone="yes"?><Relationships xmlns="http://schemas.openxmlformats.org/package/2006/relationships"></Relationships>
</file>

<file path=word/_rels/footer79.xml.rels><?xml version="1.0" encoding="UTF-8" standalone="yes"?><Relationships xmlns="http://schemas.openxmlformats.org/package/2006/relationships"></Relationships>
</file>

<file path=word/_rels/footer8.xml.rels><?xml version="1.0" encoding="UTF-8" standalone="yes"?><Relationships xmlns="http://schemas.openxmlformats.org/package/2006/relationships"></Relationships>
</file>

<file path=word/_rels/footer80.xml.rels><?xml version="1.0" encoding="UTF-8" standalone="yes"?><Relationships xmlns="http://schemas.openxmlformats.org/package/2006/relationships"></Relationships>
</file>

<file path=word/_rels/footer81.xml.rels><?xml version="1.0" encoding="UTF-8" standalone="yes"?><Relationships xmlns="http://schemas.openxmlformats.org/package/2006/relationships"></Relationships>
</file>

<file path=word/_rels/footer82.xml.rels><?xml version="1.0" encoding="UTF-8" standalone="yes"?><Relationships xmlns="http://schemas.openxmlformats.org/package/2006/relationships"></Relationships>
</file>

<file path=word/_rels/footer83.xml.rels><?xml version="1.0" encoding="UTF-8" standalone="yes"?><Relationships xmlns="http://schemas.openxmlformats.org/package/2006/relationships"></Relationships>
</file>

<file path=word/_rels/footer84.xml.rels><?xml version="1.0" encoding="UTF-8" standalone="yes"?><Relationships xmlns="http://schemas.openxmlformats.org/package/2006/relationships"></Relationships>
</file>

<file path=word/_rels/footer85.xml.rels><?xml version="1.0" encoding="UTF-8" standalone="yes"?><Relationships xmlns="http://schemas.openxmlformats.org/package/2006/relationships"></Relationships>
</file>

<file path=word/_rels/footer86.xml.rels><?xml version="1.0" encoding="UTF-8" standalone="yes"?><Relationships xmlns="http://schemas.openxmlformats.org/package/2006/relationships"></Relationships>
</file>

<file path=word/_rels/footer87.xml.rels><?xml version="1.0" encoding="UTF-8" standalone="yes"?><Relationships xmlns="http://schemas.openxmlformats.org/package/2006/relationships"></Relationships>
</file>

<file path=word/_rels/footer88.xml.rels><?xml version="1.0" encoding="UTF-8" standalone="yes"?><Relationships xmlns="http://schemas.openxmlformats.org/package/2006/relationships"></Relationships>
</file>

<file path=word/_rels/footer89.xml.rels><?xml version="1.0" encoding="UTF-8" standalone="yes"?><Relationships xmlns="http://schemas.openxmlformats.org/package/2006/relationships"></Relationships>
</file>

<file path=word/_rels/footer9.xml.rels><?xml version="1.0" encoding="UTF-8" standalone="yes"?><Relationships xmlns="http://schemas.openxmlformats.org/package/2006/relationships"></Relationships>
</file>

<file path=word/_rels/footer90.xml.rels><?xml version="1.0" encoding="UTF-8" standalone="yes"?><Relationships xmlns="http://schemas.openxmlformats.org/package/2006/relationships"></Relationships>
</file>

<file path=word/_rels/footer91.xml.rels><?xml version="1.0" encoding="UTF-8" standalone="yes"?><Relationships xmlns="http://schemas.openxmlformats.org/package/2006/relationships"></Relationships>
</file>

<file path=word/_rels/footer92.xml.rels><?xml version="1.0" encoding="UTF-8" standalone="yes"?><Relationships xmlns="http://schemas.openxmlformats.org/package/2006/relationships"></Relationships>
</file>

<file path=word/_rels/footer93.xml.rels><?xml version="1.0" encoding="UTF-8" standalone="yes"?><Relationships xmlns="http://schemas.openxmlformats.org/package/2006/relationships"></Relationships>
</file>

<file path=word/_rels/footer94.xml.rels><?xml version="1.0" encoding="UTF-8" standalone="yes"?><Relationships xmlns="http://schemas.openxmlformats.org/package/2006/relationships"></Relationships>
</file>

<file path=word/_rels/footer95.xml.rels><?xml version="1.0" encoding="UTF-8" standalone="yes"?><Relationships xmlns="http://schemas.openxmlformats.org/package/2006/relationships"></Relationships>
</file>

<file path=word/_rels/footer96.xml.rels><?xml version="1.0" encoding="UTF-8" standalone="yes"?><Relationships xmlns="http://schemas.openxmlformats.org/package/2006/relationships"></Relationships>
</file>

<file path=word/_rels/footer97.xml.rels><?xml version="1.0" encoding="UTF-8" standalone="yes"?><Relationships xmlns="http://schemas.openxmlformats.org/package/2006/relationships"></Relationships>
</file>

<file path=word/_rels/footer98.xml.rels><?xml version="1.0" encoding="UTF-8" standalone="yes"?><Relationships xmlns="http://schemas.openxmlformats.org/package/2006/relationships"></Relationships>
</file>

<file path=word/_rels/footer99.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10.xml.rels><?xml version="1.0" encoding="UTF-8" standalone="yes"?><Relationships xmlns="http://schemas.openxmlformats.org/package/2006/relationships"></Relationships>
</file>

<file path=word/_rels/header100.xml.rels><?xml version="1.0" encoding="UTF-8" standalone="yes"?><Relationships xmlns="http://schemas.openxmlformats.org/package/2006/relationships"></Relationships>
</file>

<file path=word/_rels/header101.xml.rels><?xml version="1.0" encoding="UTF-8" standalone="yes"?><Relationships xmlns="http://schemas.openxmlformats.org/package/2006/relationships"></Relationships>
</file>

<file path=word/_rels/header102.xml.rels><?xml version="1.0" encoding="UTF-8" standalone="yes"?><Relationships xmlns="http://schemas.openxmlformats.org/package/2006/relationships"></Relationships>
</file>

<file path=word/_rels/header103.xml.rels><?xml version="1.0" encoding="UTF-8" standalone="yes"?><Relationships xmlns="http://schemas.openxmlformats.org/package/2006/relationships"></Relationships>
</file>

<file path=word/_rels/header104.xml.rels><?xml version="1.0" encoding="UTF-8" standalone="yes"?><Relationships xmlns="http://schemas.openxmlformats.org/package/2006/relationships"></Relationships>
</file>

<file path=word/_rels/header105.xml.rels><?xml version="1.0" encoding="UTF-8" standalone="yes"?><Relationships xmlns="http://schemas.openxmlformats.org/package/2006/relationships"></Relationships>
</file>

<file path=word/_rels/header106.xml.rels><?xml version="1.0" encoding="UTF-8" standalone="yes"?><Relationships xmlns="http://schemas.openxmlformats.org/package/2006/relationships"></Relationships>
</file>

<file path=word/_rels/header107.xml.rels><?xml version="1.0" encoding="UTF-8" standalone="yes"?><Relationships xmlns="http://schemas.openxmlformats.org/package/2006/relationships"></Relationships>
</file>

<file path=word/_rels/header108.xml.rels><?xml version="1.0" encoding="UTF-8" standalone="yes"?><Relationships xmlns="http://schemas.openxmlformats.org/package/2006/relationships"></Relationships>
</file>

<file path=word/_rels/header109.xml.rels><?xml version="1.0" encoding="UTF-8" standalone="yes"?><Relationships xmlns="http://schemas.openxmlformats.org/package/2006/relationships"></Relationships>
</file>

<file path=word/_rels/header11.xml.rels><?xml version="1.0" encoding="UTF-8" standalone="yes"?><Relationships xmlns="http://schemas.openxmlformats.org/package/2006/relationships"></Relationships>
</file>

<file path=word/_rels/header110.xml.rels><?xml version="1.0" encoding="UTF-8" standalone="yes"?><Relationships xmlns="http://schemas.openxmlformats.org/package/2006/relationships"></Relationships>
</file>

<file path=word/_rels/header111.xml.rels><?xml version="1.0" encoding="UTF-8" standalone="yes"?><Relationships xmlns="http://schemas.openxmlformats.org/package/2006/relationships"></Relationships>
</file>

<file path=word/_rels/header112.xml.rels><?xml version="1.0" encoding="UTF-8" standalone="yes"?><Relationships xmlns="http://schemas.openxmlformats.org/package/2006/relationships"></Relationships>
</file>

<file path=word/_rels/header113.xml.rels><?xml version="1.0" encoding="UTF-8" standalone="yes"?><Relationships xmlns="http://schemas.openxmlformats.org/package/2006/relationships"></Relationships>
</file>

<file path=word/_rels/header114.xml.rels><?xml version="1.0" encoding="UTF-8" standalone="yes"?><Relationships xmlns="http://schemas.openxmlformats.org/package/2006/relationships"></Relationships>
</file>

<file path=word/_rels/header115.xml.rels><?xml version="1.0" encoding="UTF-8" standalone="yes"?><Relationships xmlns="http://schemas.openxmlformats.org/package/2006/relationships"></Relationships>
</file>

<file path=word/_rels/header116.xml.rels><?xml version="1.0" encoding="UTF-8" standalone="yes"?><Relationships xmlns="http://schemas.openxmlformats.org/package/2006/relationships"></Relationships>
</file>

<file path=word/_rels/header117.xml.rels><?xml version="1.0" encoding="UTF-8" standalone="yes"?><Relationships xmlns="http://schemas.openxmlformats.org/package/2006/relationships"></Relationships>
</file>

<file path=word/_rels/header118.xml.rels><?xml version="1.0" encoding="UTF-8" standalone="yes"?><Relationships xmlns="http://schemas.openxmlformats.org/package/2006/relationships"></Relationships>
</file>

<file path=word/_rels/header119.xml.rels><?xml version="1.0" encoding="UTF-8" standalone="yes"?><Relationships xmlns="http://schemas.openxmlformats.org/package/2006/relationships"></Relationships>
</file>

<file path=word/_rels/header12.xml.rels><?xml version="1.0" encoding="UTF-8" standalone="yes"?><Relationships xmlns="http://schemas.openxmlformats.org/package/2006/relationships"></Relationships>
</file>

<file path=word/_rels/header120.xml.rels><?xml version="1.0" encoding="UTF-8" standalone="yes"?><Relationships xmlns="http://schemas.openxmlformats.org/package/2006/relationships"></Relationships>
</file>

<file path=word/_rels/header121.xml.rels><?xml version="1.0" encoding="UTF-8" standalone="yes"?><Relationships xmlns="http://schemas.openxmlformats.org/package/2006/relationships"></Relationships>
</file>

<file path=word/_rels/header122.xml.rels><?xml version="1.0" encoding="UTF-8" standalone="yes"?><Relationships xmlns="http://schemas.openxmlformats.org/package/2006/relationships"></Relationships>
</file>

<file path=word/_rels/header123.xml.rels><?xml version="1.0" encoding="UTF-8" standalone="yes"?><Relationships xmlns="http://schemas.openxmlformats.org/package/2006/relationships"></Relationships>
</file>

<file path=word/_rels/header124.xml.rels><?xml version="1.0" encoding="UTF-8" standalone="yes"?><Relationships xmlns="http://schemas.openxmlformats.org/package/2006/relationships"></Relationships>
</file>

<file path=word/_rels/header125.xml.rels><?xml version="1.0" encoding="UTF-8" standalone="yes"?><Relationships xmlns="http://schemas.openxmlformats.org/package/2006/relationships"></Relationships>
</file>

<file path=word/_rels/header126.xml.rels><?xml version="1.0" encoding="UTF-8" standalone="yes"?><Relationships xmlns="http://schemas.openxmlformats.org/package/2006/relationships"></Relationships>
</file>

<file path=word/_rels/header127.xml.rels><?xml version="1.0" encoding="UTF-8" standalone="yes"?><Relationships xmlns="http://schemas.openxmlformats.org/package/2006/relationships"></Relationships>
</file>

<file path=word/_rels/header128.xml.rels><?xml version="1.0" encoding="UTF-8" standalone="yes"?><Relationships xmlns="http://schemas.openxmlformats.org/package/2006/relationships"></Relationships>
</file>

<file path=word/_rels/header129.xml.rels><?xml version="1.0" encoding="UTF-8" standalone="yes"?><Relationships xmlns="http://schemas.openxmlformats.org/package/2006/relationships"></Relationships>
</file>

<file path=word/_rels/header13.xml.rels><?xml version="1.0" encoding="UTF-8" standalone="yes"?><Relationships xmlns="http://schemas.openxmlformats.org/package/2006/relationships"></Relationships>
</file>

<file path=word/_rels/header130.xml.rels><?xml version="1.0" encoding="UTF-8" standalone="yes"?><Relationships xmlns="http://schemas.openxmlformats.org/package/2006/relationships"></Relationships>
</file>

<file path=word/_rels/header131.xml.rels><?xml version="1.0" encoding="UTF-8" standalone="yes"?><Relationships xmlns="http://schemas.openxmlformats.org/package/2006/relationships"></Relationships>
</file>

<file path=word/_rels/header132.xml.rels><?xml version="1.0" encoding="UTF-8" standalone="yes"?><Relationships xmlns="http://schemas.openxmlformats.org/package/2006/relationships"></Relationships>
</file>

<file path=word/_rels/header133.xml.rels><?xml version="1.0" encoding="UTF-8" standalone="yes"?><Relationships xmlns="http://schemas.openxmlformats.org/package/2006/relationships"></Relationships>
</file>

<file path=word/_rels/header134.xml.rels><?xml version="1.0" encoding="UTF-8" standalone="yes"?><Relationships xmlns="http://schemas.openxmlformats.org/package/2006/relationships"></Relationships>
</file>

<file path=word/_rels/header135.xml.rels><?xml version="1.0" encoding="UTF-8" standalone="yes"?><Relationships xmlns="http://schemas.openxmlformats.org/package/2006/relationships"></Relationships>
</file>

<file path=word/_rels/header136.xml.rels><?xml version="1.0" encoding="UTF-8" standalone="yes"?><Relationships xmlns="http://schemas.openxmlformats.org/package/2006/relationships"></Relationships>
</file>

<file path=word/_rels/header137.xml.rels><?xml version="1.0" encoding="UTF-8" standalone="yes"?><Relationships xmlns="http://schemas.openxmlformats.org/package/2006/relationships"></Relationships>
</file>

<file path=word/_rels/header138.xml.rels><?xml version="1.0" encoding="UTF-8" standalone="yes"?><Relationships xmlns="http://schemas.openxmlformats.org/package/2006/relationships"></Relationships>
</file>

<file path=word/_rels/header139.xml.rels><?xml version="1.0" encoding="UTF-8" standalone="yes"?><Relationships xmlns="http://schemas.openxmlformats.org/package/2006/relationships"></Relationships>
</file>

<file path=word/_rels/header14.xml.rels><?xml version="1.0" encoding="UTF-8" standalone="yes"?><Relationships xmlns="http://schemas.openxmlformats.org/package/2006/relationships"></Relationships>
</file>

<file path=word/_rels/header140.xml.rels><?xml version="1.0" encoding="UTF-8" standalone="yes"?><Relationships xmlns="http://schemas.openxmlformats.org/package/2006/relationships"></Relationships>
</file>

<file path=word/_rels/header141.xml.rels><?xml version="1.0" encoding="UTF-8" standalone="yes"?><Relationships xmlns="http://schemas.openxmlformats.org/package/2006/relationships"></Relationships>
</file>

<file path=word/_rels/header142.xml.rels><?xml version="1.0" encoding="UTF-8" standalone="yes"?><Relationships xmlns="http://schemas.openxmlformats.org/package/2006/relationships"></Relationships>
</file>

<file path=word/_rels/header143.xml.rels><?xml version="1.0" encoding="UTF-8" standalone="yes"?><Relationships xmlns="http://schemas.openxmlformats.org/package/2006/relationships"></Relationships>
</file>

<file path=word/_rels/header144.xml.rels><?xml version="1.0" encoding="UTF-8" standalone="yes"?><Relationships xmlns="http://schemas.openxmlformats.org/package/2006/relationships"></Relationships>
</file>

<file path=word/_rels/header145.xml.rels><?xml version="1.0" encoding="UTF-8" standalone="yes"?><Relationships xmlns="http://schemas.openxmlformats.org/package/2006/relationships"></Relationships>
</file>

<file path=word/_rels/header146.xml.rels><?xml version="1.0" encoding="UTF-8" standalone="yes"?><Relationships xmlns="http://schemas.openxmlformats.org/package/2006/relationships"></Relationships>
</file>

<file path=word/_rels/header147.xml.rels><?xml version="1.0" encoding="UTF-8" standalone="yes"?><Relationships xmlns="http://schemas.openxmlformats.org/package/2006/relationships"></Relationships>
</file>

<file path=word/_rels/header148.xml.rels><?xml version="1.0" encoding="UTF-8" standalone="yes"?><Relationships xmlns="http://schemas.openxmlformats.org/package/2006/relationships"></Relationships>
</file>

<file path=word/_rels/header149.xml.rels><?xml version="1.0" encoding="UTF-8" standalone="yes"?><Relationships xmlns="http://schemas.openxmlformats.org/package/2006/relationships"></Relationships>
</file>

<file path=word/_rels/header15.xml.rels><?xml version="1.0" encoding="UTF-8" standalone="yes"?><Relationships xmlns="http://schemas.openxmlformats.org/package/2006/relationships"></Relationships>
</file>

<file path=word/_rels/header150.xml.rels><?xml version="1.0" encoding="UTF-8" standalone="yes"?><Relationships xmlns="http://schemas.openxmlformats.org/package/2006/relationships"></Relationships>
</file>

<file path=word/_rels/header151.xml.rels><?xml version="1.0" encoding="UTF-8" standalone="yes"?><Relationships xmlns="http://schemas.openxmlformats.org/package/2006/relationships"></Relationships>
</file>

<file path=word/_rels/header152.xml.rels><?xml version="1.0" encoding="UTF-8" standalone="yes"?><Relationships xmlns="http://schemas.openxmlformats.org/package/2006/relationships"></Relationships>
</file>

<file path=word/_rels/header153.xml.rels><?xml version="1.0" encoding="UTF-8" standalone="yes"?><Relationships xmlns="http://schemas.openxmlformats.org/package/2006/relationships"></Relationships>
</file>

<file path=word/_rels/header154.xml.rels><?xml version="1.0" encoding="UTF-8" standalone="yes"?><Relationships xmlns="http://schemas.openxmlformats.org/package/2006/relationships"></Relationships>
</file>

<file path=word/_rels/header155.xml.rels><?xml version="1.0" encoding="UTF-8" standalone="yes"?><Relationships xmlns="http://schemas.openxmlformats.org/package/2006/relationships"></Relationships>
</file>

<file path=word/_rels/header156.xml.rels><?xml version="1.0" encoding="UTF-8" standalone="yes"?><Relationships xmlns="http://schemas.openxmlformats.org/package/2006/relationships"></Relationships>
</file>

<file path=word/_rels/header157.xml.rels><?xml version="1.0" encoding="UTF-8" standalone="yes"?><Relationships xmlns="http://schemas.openxmlformats.org/package/2006/relationships"></Relationships>
</file>

<file path=word/_rels/header158.xml.rels><?xml version="1.0" encoding="UTF-8" standalone="yes"?><Relationships xmlns="http://schemas.openxmlformats.org/package/2006/relationships"></Relationships>
</file>

<file path=word/_rels/header159.xml.rels><?xml version="1.0" encoding="UTF-8" standalone="yes"?><Relationships xmlns="http://schemas.openxmlformats.org/package/2006/relationships"></Relationships>
</file>

<file path=word/_rels/header16.xml.rels><?xml version="1.0" encoding="UTF-8" standalone="yes"?><Relationships xmlns="http://schemas.openxmlformats.org/package/2006/relationships"></Relationships>
</file>

<file path=word/_rels/header160.xml.rels><?xml version="1.0" encoding="UTF-8" standalone="yes"?><Relationships xmlns="http://schemas.openxmlformats.org/package/2006/relationships"></Relationships>
</file>

<file path=word/_rels/header161.xml.rels><?xml version="1.0" encoding="UTF-8" standalone="yes"?><Relationships xmlns="http://schemas.openxmlformats.org/package/2006/relationships"></Relationships>
</file>

<file path=word/_rels/header162.xml.rels><?xml version="1.0" encoding="UTF-8" standalone="yes"?><Relationships xmlns="http://schemas.openxmlformats.org/package/2006/relationships"></Relationships>
</file>

<file path=word/_rels/header163.xml.rels><?xml version="1.0" encoding="UTF-8" standalone="yes"?><Relationships xmlns="http://schemas.openxmlformats.org/package/2006/relationships"></Relationships>
</file>

<file path=word/_rels/header164.xml.rels><?xml version="1.0" encoding="UTF-8" standalone="yes"?><Relationships xmlns="http://schemas.openxmlformats.org/package/2006/relationships"></Relationships>
</file>

<file path=word/_rels/header165.xml.rels><?xml version="1.0" encoding="UTF-8" standalone="yes"?><Relationships xmlns="http://schemas.openxmlformats.org/package/2006/relationships"></Relationships>
</file>

<file path=word/_rels/header166.xml.rels><?xml version="1.0" encoding="UTF-8" standalone="yes"?><Relationships xmlns="http://schemas.openxmlformats.org/package/2006/relationships"></Relationships>
</file>

<file path=word/_rels/header167.xml.rels><?xml version="1.0" encoding="UTF-8" standalone="yes"?><Relationships xmlns="http://schemas.openxmlformats.org/package/2006/relationships"></Relationships>
</file>

<file path=word/_rels/header168.xml.rels><?xml version="1.0" encoding="UTF-8" standalone="yes"?><Relationships xmlns="http://schemas.openxmlformats.org/package/2006/relationships"></Relationships>
</file>

<file path=word/_rels/header169.xml.rels><?xml version="1.0" encoding="UTF-8" standalone="yes"?><Relationships xmlns="http://schemas.openxmlformats.org/package/2006/relationships"></Relationships>
</file>

<file path=word/_rels/header17.xml.rels><?xml version="1.0" encoding="UTF-8" standalone="yes"?><Relationships xmlns="http://schemas.openxmlformats.org/package/2006/relationships"></Relationships>
</file>

<file path=word/_rels/header170.xml.rels><?xml version="1.0" encoding="UTF-8" standalone="yes"?><Relationships xmlns="http://schemas.openxmlformats.org/package/2006/relationships"></Relationships>
</file>

<file path=word/_rels/header171.xml.rels><?xml version="1.0" encoding="UTF-8" standalone="yes"?><Relationships xmlns="http://schemas.openxmlformats.org/package/2006/relationships"></Relationships>
</file>

<file path=word/_rels/header172.xml.rels><?xml version="1.0" encoding="UTF-8" standalone="yes"?><Relationships xmlns="http://schemas.openxmlformats.org/package/2006/relationships"></Relationships>
</file>

<file path=word/_rels/header173.xml.rels><?xml version="1.0" encoding="UTF-8" standalone="yes"?><Relationships xmlns="http://schemas.openxmlformats.org/package/2006/relationships"></Relationships>
</file>

<file path=word/_rels/header174.xml.rels><?xml version="1.0" encoding="UTF-8" standalone="yes"?><Relationships xmlns="http://schemas.openxmlformats.org/package/2006/relationships"></Relationships>
</file>

<file path=word/_rels/header175.xml.rels><?xml version="1.0" encoding="UTF-8" standalone="yes"?><Relationships xmlns="http://schemas.openxmlformats.org/package/2006/relationships"></Relationships>
</file>

<file path=word/_rels/header176.xml.rels><?xml version="1.0" encoding="UTF-8" standalone="yes"?><Relationships xmlns="http://schemas.openxmlformats.org/package/2006/relationships"></Relationships>
</file>

<file path=word/_rels/header177.xml.rels><?xml version="1.0" encoding="UTF-8" standalone="yes"?><Relationships xmlns="http://schemas.openxmlformats.org/package/2006/relationships"></Relationships>
</file>

<file path=word/_rels/header178.xml.rels><?xml version="1.0" encoding="UTF-8" standalone="yes"?><Relationships xmlns="http://schemas.openxmlformats.org/package/2006/relationships"></Relationships>
</file>

<file path=word/_rels/header179.xml.rels><?xml version="1.0" encoding="UTF-8" standalone="yes"?><Relationships xmlns="http://schemas.openxmlformats.org/package/2006/relationships"></Relationships>
</file>

<file path=word/_rels/header18.xml.rels><?xml version="1.0" encoding="UTF-8" standalone="yes"?><Relationships xmlns="http://schemas.openxmlformats.org/package/2006/relationships"></Relationships>
</file>

<file path=word/_rels/header180.xml.rels><?xml version="1.0" encoding="UTF-8" standalone="yes"?><Relationships xmlns="http://schemas.openxmlformats.org/package/2006/relationships"></Relationships>
</file>

<file path=word/_rels/header181.xml.rels><?xml version="1.0" encoding="UTF-8" standalone="yes"?><Relationships xmlns="http://schemas.openxmlformats.org/package/2006/relationships"></Relationships>
</file>

<file path=word/_rels/header182.xml.rels><?xml version="1.0" encoding="UTF-8" standalone="yes"?><Relationships xmlns="http://schemas.openxmlformats.org/package/2006/relationships"></Relationships>
</file>

<file path=word/_rels/header183.xml.rels><?xml version="1.0" encoding="UTF-8" standalone="yes"?><Relationships xmlns="http://schemas.openxmlformats.org/package/2006/relationships"></Relationships>
</file>

<file path=word/_rels/header184.xml.rels><?xml version="1.0" encoding="UTF-8" standalone="yes"?><Relationships xmlns="http://schemas.openxmlformats.org/package/2006/relationships"></Relationships>
</file>

<file path=word/_rels/header185.xml.rels><?xml version="1.0" encoding="UTF-8" standalone="yes"?><Relationships xmlns="http://schemas.openxmlformats.org/package/2006/relationships"></Relationships>
</file>

<file path=word/_rels/header186.xml.rels><?xml version="1.0" encoding="UTF-8" standalone="yes"?><Relationships xmlns="http://schemas.openxmlformats.org/package/2006/relationships"></Relationships>
</file>

<file path=word/_rels/header187.xml.rels><?xml version="1.0" encoding="UTF-8" standalone="yes"?><Relationships xmlns="http://schemas.openxmlformats.org/package/2006/relationships"></Relationships>
</file>

<file path=word/_rels/header188.xml.rels><?xml version="1.0" encoding="UTF-8" standalone="yes"?><Relationships xmlns="http://schemas.openxmlformats.org/package/2006/relationships"></Relationships>
</file>

<file path=word/_rels/header189.xml.rels><?xml version="1.0" encoding="UTF-8" standalone="yes"?><Relationships xmlns="http://schemas.openxmlformats.org/package/2006/relationships"></Relationships>
</file>

<file path=word/_rels/header19.xml.rels><?xml version="1.0" encoding="UTF-8" standalone="yes"?><Relationships xmlns="http://schemas.openxmlformats.org/package/2006/relationships"></Relationships>
</file>

<file path=word/_rels/header190.xml.rels><?xml version="1.0" encoding="UTF-8" standalone="yes"?><Relationships xmlns="http://schemas.openxmlformats.org/package/2006/relationships"></Relationships>
</file>

<file path=word/_rels/header191.xml.rels><?xml version="1.0" encoding="UTF-8" standalone="yes"?><Relationships xmlns="http://schemas.openxmlformats.org/package/2006/relationships"></Relationships>
</file>

<file path=word/_rels/header192.xml.rels><?xml version="1.0" encoding="UTF-8" standalone="yes"?><Relationships xmlns="http://schemas.openxmlformats.org/package/2006/relationships"></Relationships>
</file>

<file path=word/_rels/header193.xml.rels><?xml version="1.0" encoding="UTF-8" standalone="yes"?><Relationships xmlns="http://schemas.openxmlformats.org/package/2006/relationships"></Relationships>
</file>

<file path=word/_rels/header194.xml.rels><?xml version="1.0" encoding="UTF-8" standalone="yes"?><Relationships xmlns="http://schemas.openxmlformats.org/package/2006/relationships"></Relationships>
</file>

<file path=word/_rels/header195.xml.rels><?xml version="1.0" encoding="UTF-8" standalone="yes"?><Relationships xmlns="http://schemas.openxmlformats.org/package/2006/relationships"></Relationships>
</file>

<file path=word/_rels/header196.xml.rels><?xml version="1.0" encoding="UTF-8" standalone="yes"?><Relationships xmlns="http://schemas.openxmlformats.org/package/2006/relationships"></Relationships>
</file>

<file path=word/_rels/header197.xml.rels><?xml version="1.0" encoding="UTF-8" standalone="yes"?><Relationships xmlns="http://schemas.openxmlformats.org/package/2006/relationships"></Relationships>
</file>

<file path=word/_rels/header198.xml.rels><?xml version="1.0" encoding="UTF-8" standalone="yes"?><Relationships xmlns="http://schemas.openxmlformats.org/package/2006/relationships"></Relationships>
</file>

<file path=word/_rels/header199.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_rels/header20.xml.rels><?xml version="1.0" encoding="UTF-8" standalone="yes"?><Relationships xmlns="http://schemas.openxmlformats.org/package/2006/relationships"></Relationships>
</file>

<file path=word/_rels/header200.xml.rels><?xml version="1.0" encoding="UTF-8" standalone="yes"?><Relationships xmlns="http://schemas.openxmlformats.org/package/2006/relationships"></Relationships>
</file>

<file path=word/_rels/header201.xml.rels><?xml version="1.0" encoding="UTF-8" standalone="yes"?><Relationships xmlns="http://schemas.openxmlformats.org/package/2006/relationships"></Relationships>
</file>

<file path=word/_rels/header202.xml.rels><?xml version="1.0" encoding="UTF-8" standalone="yes"?><Relationships xmlns="http://schemas.openxmlformats.org/package/2006/relationships"></Relationships>
</file>

<file path=word/_rels/header203.xml.rels><?xml version="1.0" encoding="UTF-8" standalone="yes"?><Relationships xmlns="http://schemas.openxmlformats.org/package/2006/relationships"></Relationships>
</file>

<file path=word/_rels/header204.xml.rels><?xml version="1.0" encoding="UTF-8" standalone="yes"?><Relationships xmlns="http://schemas.openxmlformats.org/package/2006/relationships"></Relationships>
</file>

<file path=word/_rels/header205.xml.rels><?xml version="1.0" encoding="UTF-8" standalone="yes"?><Relationships xmlns="http://schemas.openxmlformats.org/package/2006/relationships"></Relationships>
</file>

<file path=word/_rels/header206.xml.rels><?xml version="1.0" encoding="UTF-8" standalone="yes"?><Relationships xmlns="http://schemas.openxmlformats.org/package/2006/relationships"></Relationships>
</file>

<file path=word/_rels/header207.xml.rels><?xml version="1.0" encoding="UTF-8" standalone="yes"?><Relationships xmlns="http://schemas.openxmlformats.org/package/2006/relationships"></Relationships>
</file>

<file path=word/_rels/header208.xml.rels><?xml version="1.0" encoding="UTF-8" standalone="yes"?><Relationships xmlns="http://schemas.openxmlformats.org/package/2006/relationships"></Relationships>
</file>

<file path=word/_rels/header209.xml.rels><?xml version="1.0" encoding="UTF-8" standalone="yes"?><Relationships xmlns="http://schemas.openxmlformats.org/package/2006/relationships"></Relationships>
</file>

<file path=word/_rels/header21.xml.rels><?xml version="1.0" encoding="UTF-8" standalone="yes"?><Relationships xmlns="http://schemas.openxmlformats.org/package/2006/relationships"></Relationships>
</file>

<file path=word/_rels/header210.xml.rels><?xml version="1.0" encoding="UTF-8" standalone="yes"?><Relationships xmlns="http://schemas.openxmlformats.org/package/2006/relationships"></Relationships>
</file>

<file path=word/_rels/header211.xml.rels><?xml version="1.0" encoding="UTF-8" standalone="yes"?><Relationships xmlns="http://schemas.openxmlformats.org/package/2006/relationships"></Relationships>
</file>

<file path=word/_rels/header212.xml.rels><?xml version="1.0" encoding="UTF-8" standalone="yes"?><Relationships xmlns="http://schemas.openxmlformats.org/package/2006/relationships"></Relationships>
</file>

<file path=word/_rels/header213.xml.rels><?xml version="1.0" encoding="UTF-8" standalone="yes"?><Relationships xmlns="http://schemas.openxmlformats.org/package/2006/relationships"></Relationships>
</file>

<file path=word/_rels/header214.xml.rels><?xml version="1.0" encoding="UTF-8" standalone="yes"?><Relationships xmlns="http://schemas.openxmlformats.org/package/2006/relationships"></Relationships>
</file>

<file path=word/_rels/header215.xml.rels><?xml version="1.0" encoding="UTF-8" standalone="yes"?><Relationships xmlns="http://schemas.openxmlformats.org/package/2006/relationships"></Relationships>
</file>

<file path=word/_rels/header216.xml.rels><?xml version="1.0" encoding="UTF-8" standalone="yes"?><Relationships xmlns="http://schemas.openxmlformats.org/package/2006/relationships"></Relationships>
</file>

<file path=word/_rels/header217.xml.rels><?xml version="1.0" encoding="UTF-8" standalone="yes"?><Relationships xmlns="http://schemas.openxmlformats.org/package/2006/relationships"></Relationships>
</file>

<file path=word/_rels/header218.xml.rels><?xml version="1.0" encoding="UTF-8" standalone="yes"?><Relationships xmlns="http://schemas.openxmlformats.org/package/2006/relationships"></Relationships>
</file>

<file path=word/_rels/header219.xml.rels><?xml version="1.0" encoding="UTF-8" standalone="yes"?><Relationships xmlns="http://schemas.openxmlformats.org/package/2006/relationships"></Relationships>
</file>

<file path=word/_rels/header22.xml.rels><?xml version="1.0" encoding="UTF-8" standalone="yes"?><Relationships xmlns="http://schemas.openxmlformats.org/package/2006/relationships"></Relationships>
</file>

<file path=word/_rels/header220.xml.rels><?xml version="1.0" encoding="UTF-8" standalone="yes"?><Relationships xmlns="http://schemas.openxmlformats.org/package/2006/relationships"></Relationships>
</file>

<file path=word/_rels/header221.xml.rels><?xml version="1.0" encoding="UTF-8" standalone="yes"?><Relationships xmlns="http://schemas.openxmlformats.org/package/2006/relationships"></Relationships>
</file>

<file path=word/_rels/header222.xml.rels><?xml version="1.0" encoding="UTF-8" standalone="yes"?><Relationships xmlns="http://schemas.openxmlformats.org/package/2006/relationships"></Relationships>
</file>

<file path=word/_rels/header223.xml.rels><?xml version="1.0" encoding="UTF-8" standalone="yes"?><Relationships xmlns="http://schemas.openxmlformats.org/package/2006/relationships"></Relationships>
</file>

<file path=word/_rels/header224.xml.rels><?xml version="1.0" encoding="UTF-8" standalone="yes"?><Relationships xmlns="http://schemas.openxmlformats.org/package/2006/relationships"></Relationships>
</file>

<file path=word/_rels/header225.xml.rels><?xml version="1.0" encoding="UTF-8" standalone="yes"?><Relationships xmlns="http://schemas.openxmlformats.org/package/2006/relationships"></Relationships>
</file>

<file path=word/_rels/header226.xml.rels><?xml version="1.0" encoding="UTF-8" standalone="yes"?><Relationships xmlns="http://schemas.openxmlformats.org/package/2006/relationships"></Relationships>
</file>

<file path=word/_rels/header227.xml.rels><?xml version="1.0" encoding="UTF-8" standalone="yes"?><Relationships xmlns="http://schemas.openxmlformats.org/package/2006/relationships"></Relationships>
</file>

<file path=word/_rels/header228.xml.rels><?xml version="1.0" encoding="UTF-8" standalone="yes"?><Relationships xmlns="http://schemas.openxmlformats.org/package/2006/relationships"></Relationships>
</file>

<file path=word/_rels/header229.xml.rels><?xml version="1.0" encoding="UTF-8" standalone="yes"?><Relationships xmlns="http://schemas.openxmlformats.org/package/2006/relationships"></Relationships>
</file>

<file path=word/_rels/header23.xml.rels><?xml version="1.0" encoding="UTF-8" standalone="yes"?><Relationships xmlns="http://schemas.openxmlformats.org/package/2006/relationships"></Relationships>
</file>

<file path=word/_rels/header230.xml.rels><?xml version="1.0" encoding="UTF-8" standalone="yes"?><Relationships xmlns="http://schemas.openxmlformats.org/package/2006/relationships"></Relationships>
</file>

<file path=word/_rels/header231.xml.rels><?xml version="1.0" encoding="UTF-8" standalone="yes"?><Relationships xmlns="http://schemas.openxmlformats.org/package/2006/relationships"></Relationships>
</file>

<file path=word/_rels/header232.xml.rels><?xml version="1.0" encoding="UTF-8" standalone="yes"?><Relationships xmlns="http://schemas.openxmlformats.org/package/2006/relationships"></Relationships>
</file>

<file path=word/_rels/header233.xml.rels><?xml version="1.0" encoding="UTF-8" standalone="yes"?><Relationships xmlns="http://schemas.openxmlformats.org/package/2006/relationships"></Relationships>
</file>

<file path=word/_rels/header234.xml.rels><?xml version="1.0" encoding="UTF-8" standalone="yes"?><Relationships xmlns="http://schemas.openxmlformats.org/package/2006/relationships"></Relationships>
</file>

<file path=word/_rels/header235.xml.rels><?xml version="1.0" encoding="UTF-8" standalone="yes"?><Relationships xmlns="http://schemas.openxmlformats.org/package/2006/relationships"></Relationships>
</file>

<file path=word/_rels/header236.xml.rels><?xml version="1.0" encoding="UTF-8" standalone="yes"?><Relationships xmlns="http://schemas.openxmlformats.org/package/2006/relationships"></Relationships>
</file>

<file path=word/_rels/header237.xml.rels><?xml version="1.0" encoding="UTF-8" standalone="yes"?><Relationships xmlns="http://schemas.openxmlformats.org/package/2006/relationships"></Relationships>
</file>

<file path=word/_rels/header238.xml.rels><?xml version="1.0" encoding="UTF-8" standalone="yes"?><Relationships xmlns="http://schemas.openxmlformats.org/package/2006/relationships"></Relationships>
</file>

<file path=word/_rels/header239.xml.rels><?xml version="1.0" encoding="UTF-8" standalone="yes"?><Relationships xmlns="http://schemas.openxmlformats.org/package/2006/relationships"></Relationships>
</file>

<file path=word/_rels/header24.xml.rels><?xml version="1.0" encoding="UTF-8" standalone="yes"?><Relationships xmlns="http://schemas.openxmlformats.org/package/2006/relationships"></Relationships>
</file>

<file path=word/_rels/header240.xml.rels><?xml version="1.0" encoding="UTF-8" standalone="yes"?><Relationships xmlns="http://schemas.openxmlformats.org/package/2006/relationships"></Relationships>
</file>

<file path=word/_rels/header241.xml.rels><?xml version="1.0" encoding="UTF-8" standalone="yes"?><Relationships xmlns="http://schemas.openxmlformats.org/package/2006/relationships"></Relationships>
</file>

<file path=word/_rels/header242.xml.rels><?xml version="1.0" encoding="UTF-8" standalone="yes"?><Relationships xmlns="http://schemas.openxmlformats.org/package/2006/relationships"></Relationships>
</file>

<file path=word/_rels/header243.xml.rels><?xml version="1.0" encoding="UTF-8" standalone="yes"?><Relationships xmlns="http://schemas.openxmlformats.org/package/2006/relationships"></Relationships>
</file>

<file path=word/_rels/header244.xml.rels><?xml version="1.0" encoding="UTF-8" standalone="yes"?><Relationships xmlns="http://schemas.openxmlformats.org/package/2006/relationships"></Relationships>
</file>

<file path=word/_rels/header245.xml.rels><?xml version="1.0" encoding="UTF-8" standalone="yes"?><Relationships xmlns="http://schemas.openxmlformats.org/package/2006/relationships"></Relationships>
</file>

<file path=word/_rels/header246.xml.rels><?xml version="1.0" encoding="UTF-8" standalone="yes"?><Relationships xmlns="http://schemas.openxmlformats.org/package/2006/relationships"></Relationships>
</file>

<file path=word/_rels/header247.xml.rels><?xml version="1.0" encoding="UTF-8" standalone="yes"?><Relationships xmlns="http://schemas.openxmlformats.org/package/2006/relationships"></Relationships>
</file>

<file path=word/_rels/header248.xml.rels><?xml version="1.0" encoding="UTF-8" standalone="yes"?><Relationships xmlns="http://schemas.openxmlformats.org/package/2006/relationships"></Relationships>
</file>

<file path=word/_rels/header249.xml.rels><?xml version="1.0" encoding="UTF-8" standalone="yes"?><Relationships xmlns="http://schemas.openxmlformats.org/package/2006/relationships"></Relationships>
</file>

<file path=word/_rels/header25.xml.rels><?xml version="1.0" encoding="UTF-8" standalone="yes"?><Relationships xmlns="http://schemas.openxmlformats.org/package/2006/relationships"></Relationships>
</file>

<file path=word/_rels/header250.xml.rels><?xml version="1.0" encoding="UTF-8" standalone="yes"?><Relationships xmlns="http://schemas.openxmlformats.org/package/2006/relationships"></Relationships>
</file>

<file path=word/_rels/header251.xml.rels><?xml version="1.0" encoding="UTF-8" standalone="yes"?><Relationships xmlns="http://schemas.openxmlformats.org/package/2006/relationships"></Relationships>
</file>

<file path=word/_rels/header252.xml.rels><?xml version="1.0" encoding="UTF-8" standalone="yes"?><Relationships xmlns="http://schemas.openxmlformats.org/package/2006/relationships"></Relationships>
</file>

<file path=word/_rels/header253.xml.rels><?xml version="1.0" encoding="UTF-8" standalone="yes"?><Relationships xmlns="http://schemas.openxmlformats.org/package/2006/relationships"></Relationships>
</file>

<file path=word/_rels/header254.xml.rels><?xml version="1.0" encoding="UTF-8" standalone="yes"?><Relationships xmlns="http://schemas.openxmlformats.org/package/2006/relationships"></Relationships>
</file>

<file path=word/_rels/header255.xml.rels><?xml version="1.0" encoding="UTF-8" standalone="yes"?><Relationships xmlns="http://schemas.openxmlformats.org/package/2006/relationships"></Relationships>
</file>

<file path=word/_rels/header256.xml.rels><?xml version="1.0" encoding="UTF-8" standalone="yes"?><Relationships xmlns="http://schemas.openxmlformats.org/package/2006/relationships"></Relationships>
</file>

<file path=word/_rels/header257.xml.rels><?xml version="1.0" encoding="UTF-8" standalone="yes"?><Relationships xmlns="http://schemas.openxmlformats.org/package/2006/relationships"></Relationships>
</file>

<file path=word/_rels/header258.xml.rels><?xml version="1.0" encoding="UTF-8" standalone="yes"?><Relationships xmlns="http://schemas.openxmlformats.org/package/2006/relationships"></Relationships>
</file>

<file path=word/_rels/header259.xml.rels><?xml version="1.0" encoding="UTF-8" standalone="yes"?><Relationships xmlns="http://schemas.openxmlformats.org/package/2006/relationships"></Relationships>
</file>

<file path=word/_rels/header26.xml.rels><?xml version="1.0" encoding="UTF-8" standalone="yes"?><Relationships xmlns="http://schemas.openxmlformats.org/package/2006/relationships"></Relationships>
</file>

<file path=word/_rels/header260.xml.rels><?xml version="1.0" encoding="UTF-8" standalone="yes"?><Relationships xmlns="http://schemas.openxmlformats.org/package/2006/relationships"></Relationships>
</file>

<file path=word/_rels/header261.xml.rels><?xml version="1.0" encoding="UTF-8" standalone="yes"?><Relationships xmlns="http://schemas.openxmlformats.org/package/2006/relationships"></Relationships>
</file>

<file path=word/_rels/header262.xml.rels><?xml version="1.0" encoding="UTF-8" standalone="yes"?><Relationships xmlns="http://schemas.openxmlformats.org/package/2006/relationships"></Relationships>
</file>

<file path=word/_rels/header263.xml.rels><?xml version="1.0" encoding="UTF-8" standalone="yes"?><Relationships xmlns="http://schemas.openxmlformats.org/package/2006/relationships"></Relationships>
</file>

<file path=word/_rels/header264.xml.rels><?xml version="1.0" encoding="UTF-8" standalone="yes"?><Relationships xmlns="http://schemas.openxmlformats.org/package/2006/relationships"></Relationships>
</file>

<file path=word/_rels/header265.xml.rels><?xml version="1.0" encoding="UTF-8" standalone="yes"?><Relationships xmlns="http://schemas.openxmlformats.org/package/2006/relationships"></Relationships>
</file>

<file path=word/_rels/header27.xml.rels><?xml version="1.0" encoding="UTF-8" standalone="yes"?><Relationships xmlns="http://schemas.openxmlformats.org/package/2006/relationships"></Relationships>
</file>

<file path=word/_rels/header28.xml.rels><?xml version="1.0" encoding="UTF-8" standalone="yes"?><Relationships xmlns="http://schemas.openxmlformats.org/package/2006/relationships"></Relationships>
</file>

<file path=word/_rels/header29.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s>
</file>

<file path=word/_rels/header30.xml.rels><?xml version="1.0" encoding="UTF-8" standalone="yes"?><Relationships xmlns="http://schemas.openxmlformats.org/package/2006/relationships"></Relationships>
</file>

<file path=word/_rels/header31.xml.rels><?xml version="1.0" encoding="UTF-8" standalone="yes"?><Relationships xmlns="http://schemas.openxmlformats.org/package/2006/relationships"></Relationships>
</file>

<file path=word/_rels/header32.xml.rels><?xml version="1.0" encoding="UTF-8" standalone="yes"?><Relationships xmlns="http://schemas.openxmlformats.org/package/2006/relationships"></Relationships>
</file>

<file path=word/_rels/header33.xml.rels><?xml version="1.0" encoding="UTF-8" standalone="yes"?><Relationships xmlns="http://schemas.openxmlformats.org/package/2006/relationships"></Relationships>
</file>

<file path=word/_rels/header34.xml.rels><?xml version="1.0" encoding="UTF-8" standalone="yes"?><Relationships xmlns="http://schemas.openxmlformats.org/package/2006/relationships"></Relationships>
</file>

<file path=word/_rels/header35.xml.rels><?xml version="1.0" encoding="UTF-8" standalone="yes"?><Relationships xmlns="http://schemas.openxmlformats.org/package/2006/relationships"></Relationships>
</file>

<file path=word/_rels/header36.xml.rels><?xml version="1.0" encoding="UTF-8" standalone="yes"?><Relationships xmlns="http://schemas.openxmlformats.org/package/2006/relationships"></Relationships>
</file>

<file path=word/_rels/header37.xml.rels><?xml version="1.0" encoding="UTF-8" standalone="yes"?><Relationships xmlns="http://schemas.openxmlformats.org/package/2006/relationships"></Relationships>
</file>

<file path=word/_rels/header38.xml.rels><?xml version="1.0" encoding="UTF-8" standalone="yes"?><Relationships xmlns="http://schemas.openxmlformats.org/package/2006/relationships"></Relationships>
</file>

<file path=word/_rels/header39.xml.rels><?xml version="1.0" encoding="UTF-8" standalone="yes"?><Relationships xmlns="http://schemas.openxmlformats.org/package/2006/relationships"></Relationships>
</file>

<file path=word/_rels/header4.xml.rels><?xml version="1.0" encoding="UTF-8" standalone="yes"?><Relationships xmlns="http://schemas.openxmlformats.org/package/2006/relationships"></Relationships>
</file>

<file path=word/_rels/header40.xml.rels><?xml version="1.0" encoding="UTF-8" standalone="yes"?><Relationships xmlns="http://schemas.openxmlformats.org/package/2006/relationships"></Relationships>
</file>

<file path=word/_rels/header41.xml.rels><?xml version="1.0" encoding="UTF-8" standalone="yes"?><Relationships xmlns="http://schemas.openxmlformats.org/package/2006/relationships"></Relationships>
</file>

<file path=word/_rels/header42.xml.rels><?xml version="1.0" encoding="UTF-8" standalone="yes"?><Relationships xmlns="http://schemas.openxmlformats.org/package/2006/relationships"></Relationships>
</file>

<file path=word/_rels/header43.xml.rels><?xml version="1.0" encoding="UTF-8" standalone="yes"?><Relationships xmlns="http://schemas.openxmlformats.org/package/2006/relationships"></Relationships>
</file>

<file path=word/_rels/header44.xml.rels><?xml version="1.0" encoding="UTF-8" standalone="yes"?><Relationships xmlns="http://schemas.openxmlformats.org/package/2006/relationships"></Relationships>
</file>

<file path=word/_rels/header45.xml.rels><?xml version="1.0" encoding="UTF-8" standalone="yes"?><Relationships xmlns="http://schemas.openxmlformats.org/package/2006/relationships"></Relationships>
</file>

<file path=word/_rels/header46.xml.rels><?xml version="1.0" encoding="UTF-8" standalone="yes"?><Relationships xmlns="http://schemas.openxmlformats.org/package/2006/relationships"></Relationships>
</file>

<file path=word/_rels/header47.xml.rels><?xml version="1.0" encoding="UTF-8" standalone="yes"?><Relationships xmlns="http://schemas.openxmlformats.org/package/2006/relationships"></Relationships>
</file>

<file path=word/_rels/header48.xml.rels><?xml version="1.0" encoding="UTF-8" standalone="yes"?><Relationships xmlns="http://schemas.openxmlformats.org/package/2006/relationships"></Relationships>
</file>

<file path=word/_rels/header49.xml.rels><?xml version="1.0" encoding="UTF-8" standalone="yes"?><Relationships xmlns="http://schemas.openxmlformats.org/package/2006/relationships"></Relationships>
</file>

<file path=word/_rels/header5.xml.rels><?xml version="1.0" encoding="UTF-8" standalone="yes"?><Relationships xmlns="http://schemas.openxmlformats.org/package/2006/relationships"></Relationships>
</file>

<file path=word/_rels/header50.xml.rels><?xml version="1.0" encoding="UTF-8" standalone="yes"?><Relationships xmlns="http://schemas.openxmlformats.org/package/2006/relationships"></Relationships>
</file>

<file path=word/_rels/header51.xml.rels><?xml version="1.0" encoding="UTF-8" standalone="yes"?><Relationships xmlns="http://schemas.openxmlformats.org/package/2006/relationships"></Relationships>
</file>

<file path=word/_rels/header52.xml.rels><?xml version="1.0" encoding="UTF-8" standalone="yes"?><Relationships xmlns="http://schemas.openxmlformats.org/package/2006/relationships"></Relationships>
</file>

<file path=word/_rels/header53.xml.rels><?xml version="1.0" encoding="UTF-8" standalone="yes"?><Relationships xmlns="http://schemas.openxmlformats.org/package/2006/relationships"></Relationships>
</file>

<file path=word/_rels/header54.xml.rels><?xml version="1.0" encoding="UTF-8" standalone="yes"?><Relationships xmlns="http://schemas.openxmlformats.org/package/2006/relationships"></Relationships>
</file>

<file path=word/_rels/header55.xml.rels><?xml version="1.0" encoding="UTF-8" standalone="yes"?><Relationships xmlns="http://schemas.openxmlformats.org/package/2006/relationships"></Relationships>
</file>

<file path=word/_rels/header56.xml.rels><?xml version="1.0" encoding="UTF-8" standalone="yes"?><Relationships xmlns="http://schemas.openxmlformats.org/package/2006/relationships"></Relationships>
</file>

<file path=word/_rels/header57.xml.rels><?xml version="1.0" encoding="UTF-8" standalone="yes"?><Relationships xmlns="http://schemas.openxmlformats.org/package/2006/relationships"></Relationships>
</file>

<file path=word/_rels/header58.xml.rels><?xml version="1.0" encoding="UTF-8" standalone="yes"?><Relationships xmlns="http://schemas.openxmlformats.org/package/2006/relationships"></Relationships>
</file>

<file path=word/_rels/header59.xml.rels><?xml version="1.0" encoding="UTF-8" standalone="yes"?><Relationships xmlns="http://schemas.openxmlformats.org/package/2006/relationships"></Relationships>
</file>

<file path=word/_rels/header6.xml.rels><?xml version="1.0" encoding="UTF-8" standalone="yes"?><Relationships xmlns="http://schemas.openxmlformats.org/package/2006/relationships"></Relationships>
</file>

<file path=word/_rels/header60.xml.rels><?xml version="1.0" encoding="UTF-8" standalone="yes"?><Relationships xmlns="http://schemas.openxmlformats.org/package/2006/relationships"></Relationships>
</file>

<file path=word/_rels/header61.xml.rels><?xml version="1.0" encoding="UTF-8" standalone="yes"?><Relationships xmlns="http://schemas.openxmlformats.org/package/2006/relationships"></Relationships>
</file>

<file path=word/_rels/header62.xml.rels><?xml version="1.0" encoding="UTF-8" standalone="yes"?><Relationships xmlns="http://schemas.openxmlformats.org/package/2006/relationships"></Relationships>
</file>

<file path=word/_rels/header63.xml.rels><?xml version="1.0" encoding="UTF-8" standalone="yes"?><Relationships xmlns="http://schemas.openxmlformats.org/package/2006/relationships"></Relationships>
</file>

<file path=word/_rels/header64.xml.rels><?xml version="1.0" encoding="UTF-8" standalone="yes"?><Relationships xmlns="http://schemas.openxmlformats.org/package/2006/relationships"></Relationships>
</file>

<file path=word/_rels/header65.xml.rels><?xml version="1.0" encoding="UTF-8" standalone="yes"?><Relationships xmlns="http://schemas.openxmlformats.org/package/2006/relationships"></Relationships>
</file>

<file path=word/_rels/header66.xml.rels><?xml version="1.0" encoding="UTF-8" standalone="yes"?><Relationships xmlns="http://schemas.openxmlformats.org/package/2006/relationships"></Relationships>
</file>

<file path=word/_rels/header67.xml.rels><?xml version="1.0" encoding="UTF-8" standalone="yes"?><Relationships xmlns="http://schemas.openxmlformats.org/package/2006/relationships"></Relationships>
</file>

<file path=word/_rels/header68.xml.rels><?xml version="1.0" encoding="UTF-8" standalone="yes"?><Relationships xmlns="http://schemas.openxmlformats.org/package/2006/relationships"></Relationships>
</file>

<file path=word/_rels/header69.xml.rels><?xml version="1.0" encoding="UTF-8" standalone="yes"?><Relationships xmlns="http://schemas.openxmlformats.org/package/2006/relationships"></Relationships>
</file>

<file path=word/_rels/header7.xml.rels><?xml version="1.0" encoding="UTF-8" standalone="yes"?><Relationships xmlns="http://schemas.openxmlformats.org/package/2006/relationships"></Relationships>
</file>

<file path=word/_rels/header70.xml.rels><?xml version="1.0" encoding="UTF-8" standalone="yes"?><Relationships xmlns="http://schemas.openxmlformats.org/package/2006/relationships"></Relationships>
</file>

<file path=word/_rels/header71.xml.rels><?xml version="1.0" encoding="UTF-8" standalone="yes"?><Relationships xmlns="http://schemas.openxmlformats.org/package/2006/relationships"></Relationships>
</file>

<file path=word/_rels/header72.xml.rels><?xml version="1.0" encoding="UTF-8" standalone="yes"?><Relationships xmlns="http://schemas.openxmlformats.org/package/2006/relationships"></Relationships>
</file>

<file path=word/_rels/header73.xml.rels><?xml version="1.0" encoding="UTF-8" standalone="yes"?><Relationships xmlns="http://schemas.openxmlformats.org/package/2006/relationships"></Relationships>
</file>

<file path=word/_rels/header74.xml.rels><?xml version="1.0" encoding="UTF-8" standalone="yes"?><Relationships xmlns="http://schemas.openxmlformats.org/package/2006/relationships"></Relationships>
</file>

<file path=word/_rels/header75.xml.rels><?xml version="1.0" encoding="UTF-8" standalone="yes"?><Relationships xmlns="http://schemas.openxmlformats.org/package/2006/relationships"></Relationships>
</file>

<file path=word/_rels/header76.xml.rels><?xml version="1.0" encoding="UTF-8" standalone="yes"?><Relationships xmlns="http://schemas.openxmlformats.org/package/2006/relationships"></Relationships>
</file>

<file path=word/_rels/header77.xml.rels><?xml version="1.0" encoding="UTF-8" standalone="yes"?><Relationships xmlns="http://schemas.openxmlformats.org/package/2006/relationships"></Relationships>
</file>

<file path=word/_rels/header78.xml.rels><?xml version="1.0" encoding="UTF-8" standalone="yes"?><Relationships xmlns="http://schemas.openxmlformats.org/package/2006/relationships"></Relationships>
</file>

<file path=word/_rels/header79.xml.rels><?xml version="1.0" encoding="UTF-8" standalone="yes"?><Relationships xmlns="http://schemas.openxmlformats.org/package/2006/relationships"></Relationships>
</file>

<file path=word/_rels/header8.xml.rels><?xml version="1.0" encoding="UTF-8" standalone="yes"?><Relationships xmlns="http://schemas.openxmlformats.org/package/2006/relationships"></Relationships>
</file>

<file path=word/_rels/header80.xml.rels><?xml version="1.0" encoding="UTF-8" standalone="yes"?><Relationships xmlns="http://schemas.openxmlformats.org/package/2006/relationships"></Relationships>
</file>

<file path=word/_rels/header81.xml.rels><?xml version="1.0" encoding="UTF-8" standalone="yes"?><Relationships xmlns="http://schemas.openxmlformats.org/package/2006/relationships"></Relationships>
</file>

<file path=word/_rels/header82.xml.rels><?xml version="1.0" encoding="UTF-8" standalone="yes"?><Relationships xmlns="http://schemas.openxmlformats.org/package/2006/relationships"></Relationships>
</file>

<file path=word/_rels/header83.xml.rels><?xml version="1.0" encoding="UTF-8" standalone="yes"?><Relationships xmlns="http://schemas.openxmlformats.org/package/2006/relationships"></Relationships>
</file>

<file path=word/_rels/header84.xml.rels><?xml version="1.0" encoding="UTF-8" standalone="yes"?><Relationships xmlns="http://schemas.openxmlformats.org/package/2006/relationships"></Relationships>
</file>

<file path=word/_rels/header85.xml.rels><?xml version="1.0" encoding="UTF-8" standalone="yes"?><Relationships xmlns="http://schemas.openxmlformats.org/package/2006/relationships"></Relationships>
</file>

<file path=word/_rels/header86.xml.rels><?xml version="1.0" encoding="UTF-8" standalone="yes"?><Relationships xmlns="http://schemas.openxmlformats.org/package/2006/relationships"></Relationships>
</file>

<file path=word/_rels/header87.xml.rels><?xml version="1.0" encoding="UTF-8" standalone="yes"?><Relationships xmlns="http://schemas.openxmlformats.org/package/2006/relationships"></Relationships>
</file>

<file path=word/_rels/header88.xml.rels><?xml version="1.0" encoding="UTF-8" standalone="yes"?><Relationships xmlns="http://schemas.openxmlformats.org/package/2006/relationships"></Relationships>
</file>

<file path=word/_rels/header89.xml.rels><?xml version="1.0" encoding="UTF-8" standalone="yes"?><Relationships xmlns="http://schemas.openxmlformats.org/package/2006/relationships"></Relationships>
</file>

<file path=word/_rels/header9.xml.rels><?xml version="1.0" encoding="UTF-8" standalone="yes"?><Relationships xmlns="http://schemas.openxmlformats.org/package/2006/relationships"></Relationships>
</file>

<file path=word/_rels/header90.xml.rels><?xml version="1.0" encoding="UTF-8" standalone="yes"?><Relationships xmlns="http://schemas.openxmlformats.org/package/2006/relationships"></Relationships>
</file>

<file path=word/_rels/header91.xml.rels><?xml version="1.0" encoding="UTF-8" standalone="yes"?><Relationships xmlns="http://schemas.openxmlformats.org/package/2006/relationships"></Relationships>
</file>

<file path=word/_rels/header92.xml.rels><?xml version="1.0" encoding="UTF-8" standalone="yes"?><Relationships xmlns="http://schemas.openxmlformats.org/package/2006/relationships"></Relationships>
</file>

<file path=word/_rels/header93.xml.rels><?xml version="1.0" encoding="UTF-8" standalone="yes"?><Relationships xmlns="http://schemas.openxmlformats.org/package/2006/relationships"></Relationships>
</file>

<file path=word/_rels/header94.xml.rels><?xml version="1.0" encoding="UTF-8" standalone="yes"?><Relationships xmlns="http://schemas.openxmlformats.org/package/2006/relationships"></Relationships>
</file>

<file path=word/_rels/header95.xml.rels><?xml version="1.0" encoding="UTF-8" standalone="yes"?><Relationships xmlns="http://schemas.openxmlformats.org/package/2006/relationships"></Relationships>
</file>

<file path=word/_rels/header96.xml.rels><?xml version="1.0" encoding="UTF-8" standalone="yes"?><Relationships xmlns="http://schemas.openxmlformats.org/package/2006/relationships"></Relationships>
</file>

<file path=word/_rels/header97.xml.rels><?xml version="1.0" encoding="UTF-8" standalone="yes"?><Relationships xmlns="http://schemas.openxmlformats.org/package/2006/relationships"></Relationships>
</file>

<file path=word/_rels/header98.xml.rels><?xml version="1.0" encoding="UTF-8" standalone="yes"?><Relationships xmlns="http://schemas.openxmlformats.org/package/2006/relationships"></Relationships>
</file>

<file path=word/_rels/header99.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gradFill>
        <a:gradFill>
          <a:gsLst>
            <a:gs pos="0">
              <a:schemeClr val="phClr">
                <a:shade val="51000"/>
              </a:schemeClr>
            </a:gs>
            <a:gs pos="80000">
              <a:schemeClr val="phClr">
                <a:shade val="93000"/>
              </a:schemeClr>
            </a:gs>
            <a:gs pos="100000">
              <a:schemeClr val="phClr">
                <a:shade val="94000"/>
              </a:schemeClr>
            </a:gs>
          </a:gsLst>
          <a:lin ang="16200000" scaled="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gradFill>
        <a:gradFill>
          <a:gsLst>
            <a:gs pos="0">
              <a:schemeClr val="phClr">
                <a:tint val="80000"/>
              </a:schemeClr>
            </a:gs>
            <a:gs pos="100000">
              <a:schemeClr val="phClr">
                <a:shade val="3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D3EC57-6AB7-4628-83A8-3F42BF027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Application>ONLYOFFICE/9.4.0.129</Application>
  <HeadingPairs>
    <vt:vector size="0" baseType="variant"/>
  </HeadingPairs>
  <TitlesOfParts>
    <vt:vector size="0" baseType="lpstr"/>
  </TitlesOfPart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dc:language>ru-RU</dc:language>
  <cp:revision>10</cp:revision>
  <dcterms:created xsi:type="dcterms:W3CDTF">2026-05-20T21:49:00Z</dcterms:created>
  <dcterms:modified xsi:type="dcterms:W3CDTF">2026-08-20T07:31:51Z</dcterms:modified>
</cp:coreProperties>
</file>